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4.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5.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6.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7.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8.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drawings/drawing9.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10.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drawings/drawing11.xml" ContentType="application/vnd.openxmlformats-officedocument.drawingml.chartshapes+xml"/>
  <Override PartName="/word/charts/chart29.xml" ContentType="application/vnd.openxmlformats-officedocument.drawingml.chart+xml"/>
  <Override PartName="/word/theme/themeOverride29.xml" ContentType="application/vnd.openxmlformats-officedocument.themeOverride+xml"/>
  <Override PartName="/word/drawings/drawing12.xml" ContentType="application/vnd.openxmlformats-officedocument.drawingml.chartshapes+xml"/>
  <Override PartName="/word/charts/chart30.xml" ContentType="application/vnd.openxmlformats-officedocument.drawingml.chart+xml"/>
  <Override PartName="/word/theme/themeOverride30.xml" ContentType="application/vnd.openxmlformats-officedocument.themeOverride+xml"/>
  <Override PartName="/word/drawings/drawing13.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14.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drawings/drawing15.xml" ContentType="application/vnd.openxmlformats-officedocument.drawingml.chartshapes+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drawings/drawing16.xml" ContentType="application/vnd.openxmlformats-officedocument.drawingml.chartshapes+xml"/>
  <Override PartName="/word/charts/chart42.xml" ContentType="application/vnd.openxmlformats-officedocument.drawingml.chart+xml"/>
  <Override PartName="/word/theme/themeOverride42.xml" ContentType="application/vnd.openxmlformats-officedocument.themeOverride+xml"/>
  <Override PartName="/word/drawings/drawing17.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drawings/drawing18.xml" ContentType="application/vnd.openxmlformats-officedocument.drawingml.chartshapes+xml"/>
  <Override PartName="/word/charts/chart44.xml" ContentType="application/vnd.openxmlformats-officedocument.drawingml.chart+xml"/>
  <Override PartName="/word/theme/themeOverride44.xml" ContentType="application/vnd.openxmlformats-officedocument.themeOverride+xml"/>
  <Override PartName="/word/drawings/drawing19.xml" ContentType="application/vnd.openxmlformats-officedocument.drawingml.chartshapes+xml"/>
  <Override PartName="/word/charts/chart45.xml" ContentType="application/vnd.openxmlformats-officedocument.drawingml.chart+xml"/>
  <Override PartName="/word/theme/themeOverride45.xml" ContentType="application/vnd.openxmlformats-officedocument.themeOverride+xml"/>
  <Override PartName="/word/drawings/drawing20.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21.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drawings/drawing22.xml" ContentType="application/vnd.openxmlformats-officedocument.drawingml.chartshapes+xml"/>
  <Override PartName="/word/charts/chart48.xml" ContentType="application/vnd.openxmlformats-officedocument.drawingml.chart+xml"/>
  <Override PartName="/word/theme/themeOverride4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EB4" w:rsidRPr="000C4EB4" w:rsidRDefault="000C4EB4" w:rsidP="000C4EB4">
      <w:pPr>
        <w:tabs>
          <w:tab w:val="right" w:leader="dot" w:pos="10198"/>
        </w:tabs>
        <w:spacing w:before="0" w:line="240" w:lineRule="auto"/>
        <w:ind w:firstLine="0"/>
        <w:contextualSpacing w:val="0"/>
        <w:jc w:val="left"/>
        <w:rPr>
          <w:rFonts w:cs="Sylfaen"/>
          <w:bCs/>
          <w:caps/>
          <w:noProof/>
          <w:color w:val="000000"/>
          <w:sz w:val="20"/>
          <w:szCs w:val="20"/>
          <w:lang w:val="en-US" w:eastAsia="en-US"/>
        </w:rPr>
      </w:pPr>
      <w:bookmarkStart w:id="0" w:name="_Toc51947410"/>
      <w:bookmarkStart w:id="1" w:name="_Toc52452083"/>
      <w:bookmarkStart w:id="2" w:name="_Toc45838512"/>
      <w:bookmarkStart w:id="3" w:name="_Toc46154342"/>
      <w:bookmarkStart w:id="4" w:name="_Toc57559411"/>
      <w:bookmarkStart w:id="5" w:name="_Toc83663893"/>
      <w:bookmarkStart w:id="6" w:name="_Toc83972829"/>
      <w:bookmarkStart w:id="7" w:name="_Toc120805189"/>
      <w:bookmarkStart w:id="8" w:name="_Toc46760415"/>
    </w:p>
    <w:p w:rsidR="000C4EB4" w:rsidRPr="000C4EB4" w:rsidRDefault="000C4EB4" w:rsidP="000C4EB4">
      <w:pPr>
        <w:spacing w:before="0" w:line="240" w:lineRule="auto"/>
        <w:ind w:firstLine="0"/>
        <w:contextualSpacing w:val="0"/>
        <w:jc w:val="left"/>
        <w:rPr>
          <w:rFonts w:ascii="Arial Armenian" w:hAnsi="Arial Armenian"/>
          <w:b w:val="0"/>
          <w:sz w:val="24"/>
          <w:lang w:val="en-US" w:eastAsia="en-US"/>
        </w:rPr>
      </w:pPr>
    </w:p>
    <w:p w:rsidR="000C4EB4" w:rsidRPr="000C4EB4" w:rsidRDefault="000C4EB4" w:rsidP="000C4EB4">
      <w:pPr>
        <w:tabs>
          <w:tab w:val="right" w:leader="dot" w:pos="10198"/>
        </w:tabs>
        <w:spacing w:before="0" w:line="240" w:lineRule="auto"/>
        <w:ind w:firstLine="0"/>
        <w:contextualSpacing w:val="0"/>
        <w:jc w:val="center"/>
        <w:rPr>
          <w:rFonts w:cs="Sylfaen"/>
          <w:bCs/>
          <w:caps/>
          <w:noProof/>
          <w:color w:val="000000"/>
          <w:sz w:val="24"/>
          <w:lang w:val="en-US" w:eastAsia="en-US"/>
        </w:rPr>
      </w:pPr>
      <w:r w:rsidRPr="000C4EB4">
        <w:rPr>
          <w:rFonts w:cs="Sylfaen"/>
          <w:bCs/>
          <w:caps/>
          <w:noProof/>
          <w:color w:val="000000"/>
          <w:sz w:val="24"/>
          <w:lang w:val="en-US" w:eastAsia="en-US"/>
        </w:rPr>
        <w:t>ԲՈՎԱՆԴԱԿՈՒԹՅՈՒՆ</w:t>
      </w:r>
    </w:p>
    <w:p w:rsidR="000C4EB4" w:rsidRPr="000C4EB4" w:rsidRDefault="000C4EB4" w:rsidP="000C4EB4">
      <w:pPr>
        <w:tabs>
          <w:tab w:val="left" w:pos="0"/>
        </w:tabs>
        <w:spacing w:before="0" w:line="240" w:lineRule="auto"/>
        <w:ind w:firstLine="0"/>
        <w:contextualSpacing w:val="0"/>
        <w:jc w:val="left"/>
        <w:rPr>
          <w:szCs w:val="22"/>
          <w:lang w:val="en-US" w:eastAsia="en-US"/>
        </w:rPr>
      </w:pPr>
      <w:bookmarkStart w:id="9" w:name="_Toc71283303"/>
      <w:bookmarkStart w:id="10" w:name="_Toc71283304"/>
    </w:p>
    <w:p w:rsidR="000C4EB4" w:rsidRPr="000C4EB4" w:rsidRDefault="000C4EB4" w:rsidP="000C4EB4">
      <w:pPr>
        <w:tabs>
          <w:tab w:val="left" w:pos="0"/>
        </w:tabs>
        <w:spacing w:before="0" w:line="240" w:lineRule="auto"/>
        <w:ind w:firstLine="0"/>
        <w:contextualSpacing w:val="0"/>
        <w:jc w:val="left"/>
        <w:rPr>
          <w:szCs w:val="22"/>
          <w:lang w:val="en-US" w:eastAsia="en-US"/>
        </w:rPr>
      </w:pPr>
    </w:p>
    <w:sdt>
      <w:sdtPr>
        <w:rPr>
          <w:rFonts w:ascii="Arial Armenian" w:hAnsi="Arial Armenian"/>
          <w:b w:val="0"/>
          <w:color w:val="0563C1"/>
          <w:szCs w:val="22"/>
          <w:u w:val="single"/>
          <w:lang w:val="hy-AM" w:eastAsia="en-US"/>
        </w:rPr>
        <w:id w:val="-1015307837"/>
        <w:docPartObj>
          <w:docPartGallery w:val="Table of Contents"/>
          <w:docPartUnique/>
        </w:docPartObj>
      </w:sdtPr>
      <w:sdtEndPr>
        <w:rPr>
          <w:color w:val="auto"/>
          <w:sz w:val="24"/>
          <w:szCs w:val="24"/>
          <w:u w:val="none"/>
          <w:lang w:val="en-US"/>
        </w:rPr>
      </w:sdtEndPr>
      <w:sdtContent>
        <w:p w:rsidR="000C4EB4" w:rsidRDefault="000C4EB4">
          <w:pPr>
            <w:pStyle w:val="TOC1"/>
            <w:rPr>
              <w:rFonts w:asciiTheme="minorHAnsi" w:eastAsiaTheme="minorEastAsia" w:hAnsiTheme="minorHAnsi" w:cstheme="minorBidi"/>
              <w:b w:val="0"/>
              <w:noProof/>
              <w:szCs w:val="22"/>
              <w:lang w:val="en-US" w:eastAsia="en-US"/>
            </w:rPr>
          </w:pPr>
          <w:r w:rsidRPr="000C4EB4">
            <w:rPr>
              <w:rFonts w:cs="Sylfaen"/>
              <w:bCs/>
              <w:caps/>
              <w:noProof/>
              <w:color w:val="000000"/>
              <w:sz w:val="20"/>
              <w:szCs w:val="20"/>
              <w:lang w:val="en-US" w:eastAsia="en-US"/>
            </w:rPr>
            <w:fldChar w:fldCharType="begin"/>
          </w:r>
          <w:r w:rsidRPr="000C4EB4">
            <w:rPr>
              <w:rFonts w:cs="Sylfaen"/>
              <w:bCs/>
              <w:caps/>
              <w:noProof/>
              <w:color w:val="000000"/>
              <w:sz w:val="20"/>
              <w:szCs w:val="20"/>
              <w:lang w:val="en-US" w:eastAsia="en-US"/>
            </w:rPr>
            <w:instrText xml:space="preserve"> TOC \o "1-3" \h \z \u </w:instrText>
          </w:r>
          <w:r w:rsidRPr="000C4EB4">
            <w:rPr>
              <w:rFonts w:cs="Sylfaen"/>
              <w:bCs/>
              <w:caps/>
              <w:noProof/>
              <w:color w:val="000000"/>
              <w:sz w:val="20"/>
              <w:szCs w:val="20"/>
              <w:lang w:val="en-US" w:eastAsia="en-US"/>
            </w:rPr>
            <w:fldChar w:fldCharType="separate"/>
          </w:r>
          <w:hyperlink w:anchor="_Toc165901401" w:history="1">
            <w:r w:rsidRPr="00F219EB">
              <w:rPr>
                <w:rStyle w:val="Hyperlink"/>
                <w:noProof/>
                <w:lang w:val="hy-AM"/>
              </w:rPr>
              <w:t>ՄԱԿՐՈՏՆՏԵՍԱԿԱՆ ԶԱՐԳԱՑՈՒՄՆԵՐ ԵՎ ԿԱՆԽԱՏԵՍՈՒՄՆԵՐ</w:t>
            </w:r>
            <w:r>
              <w:rPr>
                <w:noProof/>
                <w:webHidden/>
              </w:rPr>
              <w:tab/>
            </w:r>
            <w:r>
              <w:rPr>
                <w:noProof/>
                <w:webHidden/>
              </w:rPr>
              <w:fldChar w:fldCharType="begin"/>
            </w:r>
            <w:r>
              <w:rPr>
                <w:noProof/>
                <w:webHidden/>
              </w:rPr>
              <w:instrText xml:space="preserve"> PAGEREF _Toc165901401 \h </w:instrText>
            </w:r>
            <w:r>
              <w:rPr>
                <w:noProof/>
                <w:webHidden/>
              </w:rPr>
            </w:r>
            <w:r>
              <w:rPr>
                <w:noProof/>
                <w:webHidden/>
              </w:rPr>
              <w:fldChar w:fldCharType="separate"/>
            </w:r>
            <w:r>
              <w:rPr>
                <w:noProof/>
                <w:webHidden/>
              </w:rPr>
              <w:t>3</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02" w:history="1">
            <w:r w:rsidRPr="00F219EB">
              <w:rPr>
                <w:rStyle w:val="Hyperlink"/>
                <w:bCs/>
                <w:noProof/>
                <w:lang w:val="hy-AM"/>
              </w:rPr>
              <w:t>1.1 ՄԱԿՐՈՏՆՏԵՍԱԿԱՆ ԱՄՓՈՓԱԳԻՐ ԵՎ ՇՐՋԱՆԱԿ</w:t>
            </w:r>
            <w:r>
              <w:rPr>
                <w:noProof/>
                <w:webHidden/>
              </w:rPr>
              <w:tab/>
            </w:r>
            <w:r>
              <w:rPr>
                <w:noProof/>
                <w:webHidden/>
              </w:rPr>
              <w:fldChar w:fldCharType="begin"/>
            </w:r>
            <w:r>
              <w:rPr>
                <w:noProof/>
                <w:webHidden/>
              </w:rPr>
              <w:instrText xml:space="preserve"> PAGEREF _Toc165901402 \h </w:instrText>
            </w:r>
            <w:r>
              <w:rPr>
                <w:noProof/>
                <w:webHidden/>
              </w:rPr>
            </w:r>
            <w:r>
              <w:rPr>
                <w:noProof/>
                <w:webHidden/>
              </w:rPr>
              <w:fldChar w:fldCharType="separate"/>
            </w:r>
            <w:r>
              <w:rPr>
                <w:noProof/>
                <w:webHidden/>
              </w:rPr>
              <w:t>3</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03" w:history="1">
            <w:r w:rsidRPr="00F219EB">
              <w:rPr>
                <w:rStyle w:val="Hyperlink"/>
                <w:bCs/>
                <w:noProof/>
                <w:lang w:val="hy-AM"/>
              </w:rPr>
              <w:t>1.2. ՀԱՄԱՇԽԱՐՀԱՅԻՆ ՏՆՏԵՍՈՒԹՅԱՆ ԵՎ ԳՈՐԾԸՆԿԵՐ ԵՐԿՐՆԵՐԻ ԶԱՐԳԱՑՈՒՄՆԵՐ ԵՎ ԿԱՆԽԱՏԵՍՈՒՄՆԵՐ</w:t>
            </w:r>
            <w:r>
              <w:rPr>
                <w:noProof/>
                <w:webHidden/>
              </w:rPr>
              <w:tab/>
            </w:r>
            <w:r>
              <w:rPr>
                <w:noProof/>
                <w:webHidden/>
              </w:rPr>
              <w:fldChar w:fldCharType="begin"/>
            </w:r>
            <w:r>
              <w:rPr>
                <w:noProof/>
                <w:webHidden/>
              </w:rPr>
              <w:instrText xml:space="preserve"> PAGEREF _Toc165901403 \h </w:instrText>
            </w:r>
            <w:r>
              <w:rPr>
                <w:noProof/>
                <w:webHidden/>
              </w:rPr>
            </w:r>
            <w:r>
              <w:rPr>
                <w:noProof/>
                <w:webHidden/>
              </w:rPr>
              <w:fldChar w:fldCharType="separate"/>
            </w:r>
            <w:r>
              <w:rPr>
                <w:noProof/>
                <w:webHidden/>
              </w:rPr>
              <w:t>6</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04" w:history="1">
            <w:r w:rsidRPr="00F219EB">
              <w:rPr>
                <w:rStyle w:val="Hyperlink"/>
                <w:bCs/>
                <w:noProof/>
                <w:lang w:val="hy-AM" w:eastAsia="en-US"/>
              </w:rPr>
              <w:t>1.3. ՀՀ ՄԱԿՐՈՏՆՏԵՍԱԿԱՆ ԶԱՐԳԱՑՈՒՄՆԵՐ ԵՎ ԿԱՆԽԱՏԵՍՈՒՄՆԵՐ</w:t>
            </w:r>
            <w:r>
              <w:rPr>
                <w:noProof/>
                <w:webHidden/>
              </w:rPr>
              <w:tab/>
            </w:r>
            <w:r>
              <w:rPr>
                <w:noProof/>
                <w:webHidden/>
              </w:rPr>
              <w:fldChar w:fldCharType="begin"/>
            </w:r>
            <w:r>
              <w:rPr>
                <w:noProof/>
                <w:webHidden/>
              </w:rPr>
              <w:instrText xml:space="preserve"> PAGEREF _Toc165901404 \h </w:instrText>
            </w:r>
            <w:r>
              <w:rPr>
                <w:noProof/>
                <w:webHidden/>
              </w:rPr>
            </w:r>
            <w:r>
              <w:rPr>
                <w:noProof/>
                <w:webHidden/>
              </w:rPr>
              <w:fldChar w:fldCharType="separate"/>
            </w:r>
            <w:r>
              <w:rPr>
                <w:noProof/>
                <w:webHidden/>
              </w:rPr>
              <w:t>11</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05" w:history="1">
            <w:r w:rsidRPr="00F219EB">
              <w:rPr>
                <w:rStyle w:val="Hyperlink"/>
                <w:bCs/>
                <w:noProof/>
                <w:lang w:val="hy-AM"/>
              </w:rPr>
              <w:t>1.4. ԿԱՆԽԱՏԵՍՈՒՄՆԵՐԻ ՀԻՄՔՈՒՄ ԸՆԿԱԾ ԵՆԹԱԴՐՈՒԹՅՈՒՆՆԵՐԸ</w:t>
            </w:r>
            <w:r>
              <w:rPr>
                <w:noProof/>
                <w:webHidden/>
              </w:rPr>
              <w:tab/>
            </w:r>
            <w:r>
              <w:rPr>
                <w:noProof/>
                <w:webHidden/>
              </w:rPr>
              <w:fldChar w:fldCharType="begin"/>
            </w:r>
            <w:r>
              <w:rPr>
                <w:noProof/>
                <w:webHidden/>
              </w:rPr>
              <w:instrText xml:space="preserve"> PAGEREF _Toc165901405 \h </w:instrText>
            </w:r>
            <w:r>
              <w:rPr>
                <w:noProof/>
                <w:webHidden/>
              </w:rPr>
            </w:r>
            <w:r>
              <w:rPr>
                <w:noProof/>
                <w:webHidden/>
              </w:rPr>
              <w:fldChar w:fldCharType="separate"/>
            </w:r>
            <w:r>
              <w:rPr>
                <w:noProof/>
                <w:webHidden/>
              </w:rPr>
              <w:t>22</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06" w:history="1">
            <w:r w:rsidRPr="00F219EB">
              <w:rPr>
                <w:rStyle w:val="Hyperlink"/>
                <w:bCs/>
                <w:noProof/>
                <w:lang w:val="hy-AM" w:eastAsia="en-US"/>
              </w:rPr>
              <w:t>1.5. ՄԱԿՐՈՏՆՏԵՍԱԿԱՆ ԿԱՆԽԱՏԵՍՈՒՄՆԵՐԻ ՌԻՍԿԵՐԸ</w:t>
            </w:r>
            <w:r>
              <w:rPr>
                <w:noProof/>
                <w:webHidden/>
              </w:rPr>
              <w:tab/>
            </w:r>
            <w:r>
              <w:rPr>
                <w:noProof/>
                <w:webHidden/>
              </w:rPr>
              <w:fldChar w:fldCharType="begin"/>
            </w:r>
            <w:r>
              <w:rPr>
                <w:noProof/>
                <w:webHidden/>
              </w:rPr>
              <w:instrText xml:space="preserve"> PAGEREF _Toc165901406 \h </w:instrText>
            </w:r>
            <w:r>
              <w:rPr>
                <w:noProof/>
                <w:webHidden/>
              </w:rPr>
            </w:r>
            <w:r>
              <w:rPr>
                <w:noProof/>
                <w:webHidden/>
              </w:rPr>
              <w:fldChar w:fldCharType="separate"/>
            </w:r>
            <w:r>
              <w:rPr>
                <w:noProof/>
                <w:webHidden/>
              </w:rPr>
              <w:t>26</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07" w:history="1">
            <w:r w:rsidRPr="00F219EB">
              <w:rPr>
                <w:rStyle w:val="Hyperlink"/>
                <w:noProof/>
                <w:lang w:val="hy-AM" w:eastAsia="en-US"/>
              </w:rPr>
              <w:t>1.5.1. ՀՀ տնտեսական աճի դեպի ներքև ուղղությամբ ռիսկեր</w:t>
            </w:r>
            <w:r>
              <w:rPr>
                <w:noProof/>
                <w:webHidden/>
              </w:rPr>
              <w:tab/>
            </w:r>
            <w:r>
              <w:rPr>
                <w:noProof/>
                <w:webHidden/>
              </w:rPr>
              <w:fldChar w:fldCharType="begin"/>
            </w:r>
            <w:r>
              <w:rPr>
                <w:noProof/>
                <w:webHidden/>
              </w:rPr>
              <w:instrText xml:space="preserve"> PAGEREF _Toc165901407 \h </w:instrText>
            </w:r>
            <w:r>
              <w:rPr>
                <w:noProof/>
                <w:webHidden/>
              </w:rPr>
            </w:r>
            <w:r>
              <w:rPr>
                <w:noProof/>
                <w:webHidden/>
              </w:rPr>
              <w:fldChar w:fldCharType="separate"/>
            </w:r>
            <w:r>
              <w:rPr>
                <w:noProof/>
                <w:webHidden/>
              </w:rPr>
              <w:t>26</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08" w:history="1">
            <w:r w:rsidRPr="00F219EB">
              <w:rPr>
                <w:rStyle w:val="Hyperlink"/>
                <w:noProof/>
                <w:lang w:val="hy-AM" w:eastAsia="en-US"/>
              </w:rPr>
              <w:t>1.5.2. Տնտեսական աճի դեպի վերև ուղղությամբ ռիսկեր</w:t>
            </w:r>
            <w:r>
              <w:rPr>
                <w:noProof/>
                <w:webHidden/>
              </w:rPr>
              <w:tab/>
            </w:r>
            <w:r>
              <w:rPr>
                <w:noProof/>
                <w:webHidden/>
              </w:rPr>
              <w:fldChar w:fldCharType="begin"/>
            </w:r>
            <w:r>
              <w:rPr>
                <w:noProof/>
                <w:webHidden/>
              </w:rPr>
              <w:instrText xml:space="preserve"> PAGEREF _Toc165901408 \h </w:instrText>
            </w:r>
            <w:r>
              <w:rPr>
                <w:noProof/>
                <w:webHidden/>
              </w:rPr>
            </w:r>
            <w:r>
              <w:rPr>
                <w:noProof/>
                <w:webHidden/>
              </w:rPr>
              <w:fldChar w:fldCharType="separate"/>
            </w:r>
            <w:r>
              <w:rPr>
                <w:noProof/>
                <w:webHidden/>
              </w:rPr>
              <w:t>27</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09" w:history="1">
            <w:r w:rsidRPr="00F219EB">
              <w:rPr>
                <w:rStyle w:val="Hyperlink"/>
                <w:bCs/>
                <w:noProof/>
                <w:lang w:val="hy-AM"/>
              </w:rPr>
              <w:t>1.6. ՀԱՄԵՄԱՏՈՒԹՅՈՒՆ ՆԱԽՈՐԴ ԿԱՆԽԱՏԵՍՈՒՄՆԵՐԻ ՀԵՏ</w:t>
            </w:r>
            <w:r>
              <w:rPr>
                <w:noProof/>
                <w:webHidden/>
              </w:rPr>
              <w:tab/>
            </w:r>
            <w:r>
              <w:rPr>
                <w:noProof/>
                <w:webHidden/>
              </w:rPr>
              <w:fldChar w:fldCharType="begin"/>
            </w:r>
            <w:r>
              <w:rPr>
                <w:noProof/>
                <w:webHidden/>
              </w:rPr>
              <w:instrText xml:space="preserve"> PAGEREF _Toc165901409 \h </w:instrText>
            </w:r>
            <w:r>
              <w:rPr>
                <w:noProof/>
                <w:webHidden/>
              </w:rPr>
            </w:r>
            <w:r>
              <w:rPr>
                <w:noProof/>
                <w:webHidden/>
              </w:rPr>
              <w:fldChar w:fldCharType="separate"/>
            </w:r>
            <w:r>
              <w:rPr>
                <w:noProof/>
                <w:webHidden/>
              </w:rPr>
              <w:t>30</w:t>
            </w:r>
            <w:r>
              <w:rPr>
                <w:noProof/>
                <w:webHidden/>
              </w:rPr>
              <w:fldChar w:fldCharType="end"/>
            </w:r>
          </w:hyperlink>
        </w:p>
        <w:p w:rsidR="000C4EB4" w:rsidRDefault="000C4EB4">
          <w:pPr>
            <w:pStyle w:val="TOC1"/>
            <w:rPr>
              <w:rFonts w:asciiTheme="minorHAnsi" w:eastAsiaTheme="minorEastAsia" w:hAnsiTheme="minorHAnsi" w:cstheme="minorBidi"/>
              <w:b w:val="0"/>
              <w:noProof/>
              <w:szCs w:val="22"/>
              <w:lang w:val="en-US" w:eastAsia="en-US"/>
            </w:rPr>
          </w:pPr>
          <w:hyperlink w:anchor="_Toc165901410" w:history="1">
            <w:r w:rsidRPr="00F219EB">
              <w:rPr>
                <w:rStyle w:val="Hyperlink"/>
                <w:noProof/>
                <w:lang w:val="hy-AM"/>
              </w:rPr>
              <w:t>ՀԱՐԿԱԲՅՈՒՋԵՏԱՅԻՆ ՔԱՂԱՔԱԿԱՆՈՒԹՅԱՆ ՀԻՄՆԱԿԱՆ ՈՒՂՂՈՒԹՅՈՒՆՆԵՐԸ ԵՎ ԿԱՆԽԱՏԵՍՈՒՄՆԵՐԸ</w:t>
            </w:r>
            <w:r>
              <w:rPr>
                <w:noProof/>
                <w:webHidden/>
              </w:rPr>
              <w:tab/>
            </w:r>
            <w:r>
              <w:rPr>
                <w:noProof/>
                <w:webHidden/>
              </w:rPr>
              <w:fldChar w:fldCharType="begin"/>
            </w:r>
            <w:r>
              <w:rPr>
                <w:noProof/>
                <w:webHidden/>
              </w:rPr>
              <w:instrText xml:space="preserve"> PAGEREF _Toc165901410 \h </w:instrText>
            </w:r>
            <w:r>
              <w:rPr>
                <w:noProof/>
                <w:webHidden/>
              </w:rPr>
            </w:r>
            <w:r>
              <w:rPr>
                <w:noProof/>
                <w:webHidden/>
              </w:rPr>
              <w:fldChar w:fldCharType="separate"/>
            </w:r>
            <w:r>
              <w:rPr>
                <w:noProof/>
                <w:webHidden/>
              </w:rPr>
              <w:t>31</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11" w:history="1">
            <w:r w:rsidRPr="00F219EB">
              <w:rPr>
                <w:rStyle w:val="Hyperlink"/>
                <w:noProof/>
                <w:lang w:val="hy-AM" w:eastAsia="en-US"/>
              </w:rPr>
              <w:t>2.1. ՀԱՐԿԱԲՅՈՒՋԵՏԱՅԻՆ ԸՆԴՀԱՆՈՒՐ ԱԿՆԱՐԿ ԵՎ ՀԱՐԿԱԲՅՈՒՋԵՏԱՅԻՆ ՇՐՋԱՆԱԿ</w:t>
            </w:r>
            <w:r>
              <w:rPr>
                <w:noProof/>
                <w:webHidden/>
              </w:rPr>
              <w:tab/>
            </w:r>
            <w:r>
              <w:rPr>
                <w:noProof/>
                <w:webHidden/>
              </w:rPr>
              <w:fldChar w:fldCharType="begin"/>
            </w:r>
            <w:r>
              <w:rPr>
                <w:noProof/>
                <w:webHidden/>
              </w:rPr>
              <w:instrText xml:space="preserve"> PAGEREF _Toc165901411 \h </w:instrText>
            </w:r>
            <w:r>
              <w:rPr>
                <w:noProof/>
                <w:webHidden/>
              </w:rPr>
            </w:r>
            <w:r>
              <w:rPr>
                <w:noProof/>
                <w:webHidden/>
              </w:rPr>
              <w:fldChar w:fldCharType="separate"/>
            </w:r>
            <w:r>
              <w:rPr>
                <w:noProof/>
                <w:webHidden/>
              </w:rPr>
              <w:t>31</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12" w:history="1">
            <w:r w:rsidRPr="00F219EB">
              <w:rPr>
                <w:rStyle w:val="Hyperlink"/>
                <w:noProof/>
                <w:lang w:val="hy-AM" w:eastAsia="en-US"/>
              </w:rPr>
              <w:t>2</w:t>
            </w:r>
            <w:r w:rsidRPr="00F219EB">
              <w:rPr>
                <w:rStyle w:val="Hyperlink"/>
                <w:rFonts w:cs="Cambria Math"/>
                <w:noProof/>
                <w:lang w:val="hy-AM" w:eastAsia="en-US"/>
              </w:rPr>
              <w:t>.</w:t>
            </w:r>
            <w:r w:rsidRPr="00F219EB">
              <w:rPr>
                <w:rStyle w:val="Hyperlink"/>
                <w:noProof/>
                <w:lang w:val="hy-AM" w:eastAsia="en-US"/>
              </w:rPr>
              <w:t>2</w:t>
            </w:r>
            <w:r w:rsidRPr="00F219EB">
              <w:rPr>
                <w:rStyle w:val="Hyperlink"/>
                <w:rFonts w:cs="Cambria Math"/>
                <w:noProof/>
                <w:lang w:val="hy-AM" w:eastAsia="en-US"/>
              </w:rPr>
              <w:t>.</w:t>
            </w:r>
            <w:r w:rsidRPr="00F219EB">
              <w:rPr>
                <w:rStyle w:val="Hyperlink"/>
                <w:noProof/>
                <w:lang w:val="hy-AM" w:eastAsia="en-US"/>
              </w:rPr>
              <w:t xml:space="preserve"> ՀԱՐԿԱԲՅՈՒՋԵՏԱՅԻՆ ՔԱՂԱՔԱԿԱՆՈՒԹՅԱՆ ՄԻՏՈՒՄՆԵՐԸ ԵՎ ԿԱՆԽԱՏԵՍՈՒՄՆԵՐԸ</w:t>
            </w:r>
            <w:r>
              <w:rPr>
                <w:noProof/>
                <w:webHidden/>
              </w:rPr>
              <w:tab/>
            </w:r>
            <w:r>
              <w:rPr>
                <w:noProof/>
                <w:webHidden/>
              </w:rPr>
              <w:fldChar w:fldCharType="begin"/>
            </w:r>
            <w:r>
              <w:rPr>
                <w:noProof/>
                <w:webHidden/>
              </w:rPr>
              <w:instrText xml:space="preserve"> PAGEREF _Toc165901412 \h </w:instrText>
            </w:r>
            <w:r>
              <w:rPr>
                <w:noProof/>
                <w:webHidden/>
              </w:rPr>
            </w:r>
            <w:r>
              <w:rPr>
                <w:noProof/>
                <w:webHidden/>
              </w:rPr>
              <w:fldChar w:fldCharType="separate"/>
            </w:r>
            <w:r>
              <w:rPr>
                <w:noProof/>
                <w:webHidden/>
              </w:rPr>
              <w:t>33</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13" w:history="1">
            <w:r w:rsidRPr="00F219EB">
              <w:rPr>
                <w:rStyle w:val="Hyperlink"/>
                <w:noProof/>
                <w:lang w:val="hy-AM" w:eastAsia="en-US"/>
              </w:rPr>
              <w:t>2.3. ՀԱՐԿԱԲՅՈՒՋԵՏԱՅԻՆ ՌԻՍԿԵՐ</w:t>
            </w:r>
            <w:r>
              <w:rPr>
                <w:noProof/>
                <w:webHidden/>
              </w:rPr>
              <w:tab/>
            </w:r>
            <w:r>
              <w:rPr>
                <w:noProof/>
                <w:webHidden/>
              </w:rPr>
              <w:fldChar w:fldCharType="begin"/>
            </w:r>
            <w:r>
              <w:rPr>
                <w:noProof/>
                <w:webHidden/>
              </w:rPr>
              <w:instrText xml:space="preserve"> PAGEREF _Toc165901413 \h </w:instrText>
            </w:r>
            <w:r>
              <w:rPr>
                <w:noProof/>
                <w:webHidden/>
              </w:rPr>
            </w:r>
            <w:r>
              <w:rPr>
                <w:noProof/>
                <w:webHidden/>
              </w:rPr>
              <w:fldChar w:fldCharType="separate"/>
            </w:r>
            <w:r>
              <w:rPr>
                <w:noProof/>
                <w:webHidden/>
              </w:rPr>
              <w:t>38</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14" w:history="1">
            <w:r w:rsidRPr="00F219EB">
              <w:rPr>
                <w:rStyle w:val="Hyperlink"/>
                <w:rFonts w:eastAsia="Calibri"/>
                <w:noProof/>
                <w:lang w:val="hy-AM" w:eastAsia="en-US"/>
              </w:rPr>
              <w:t>2.4. ՀԱՐԿԱԲՅՈՒՋԵՏԱՅԻՆ  ՔԱՂԱՔԱԿԱՆՈՒԹՅԱՆ ՀԱՄԱՊԱՏԱՍԽԱՆՈՒԹՅՈՒՆԸ ՀԱՐԿԱԲՅՈՒՋԵՏԱՅԻՆ ԿԱՆՈՆՆԵՐԻՆ</w:t>
            </w:r>
            <w:r>
              <w:rPr>
                <w:noProof/>
                <w:webHidden/>
              </w:rPr>
              <w:tab/>
            </w:r>
            <w:r>
              <w:rPr>
                <w:noProof/>
                <w:webHidden/>
              </w:rPr>
              <w:fldChar w:fldCharType="begin"/>
            </w:r>
            <w:r>
              <w:rPr>
                <w:noProof/>
                <w:webHidden/>
              </w:rPr>
              <w:instrText xml:space="preserve"> PAGEREF _Toc165901414 \h </w:instrText>
            </w:r>
            <w:r>
              <w:rPr>
                <w:noProof/>
                <w:webHidden/>
              </w:rPr>
            </w:r>
            <w:r>
              <w:rPr>
                <w:noProof/>
                <w:webHidden/>
              </w:rPr>
              <w:fldChar w:fldCharType="separate"/>
            </w:r>
            <w:r>
              <w:rPr>
                <w:noProof/>
                <w:webHidden/>
              </w:rPr>
              <w:t>40</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15" w:history="1">
            <w:r w:rsidRPr="00F219EB">
              <w:rPr>
                <w:rStyle w:val="Hyperlink"/>
                <w:noProof/>
                <w:lang w:val="hy-AM" w:eastAsia="en-US"/>
              </w:rPr>
              <w:t>2.5. ՊԵՏԱԿԱՆ ԲՅՈՒՋԵԻ ՑՈՒՑԱՆԻՇՆԵՐԻ ԿԱՆԽԱՏԵՍՈՒՄՆԵՐԻ ՀԱՄԵՄԱՏԱԿԱՆ ԱՂՅՈՒՍԱԿՆԵՐ</w:t>
            </w:r>
            <w:r>
              <w:rPr>
                <w:noProof/>
                <w:webHidden/>
              </w:rPr>
              <w:tab/>
            </w:r>
            <w:r>
              <w:rPr>
                <w:noProof/>
                <w:webHidden/>
              </w:rPr>
              <w:fldChar w:fldCharType="begin"/>
            </w:r>
            <w:r>
              <w:rPr>
                <w:noProof/>
                <w:webHidden/>
              </w:rPr>
              <w:instrText xml:space="preserve"> PAGEREF _Toc165901415 \h </w:instrText>
            </w:r>
            <w:r>
              <w:rPr>
                <w:noProof/>
                <w:webHidden/>
              </w:rPr>
            </w:r>
            <w:r>
              <w:rPr>
                <w:noProof/>
                <w:webHidden/>
              </w:rPr>
              <w:fldChar w:fldCharType="separate"/>
            </w:r>
            <w:r>
              <w:rPr>
                <w:noProof/>
                <w:webHidden/>
              </w:rPr>
              <w:t>43</w:t>
            </w:r>
            <w:r>
              <w:rPr>
                <w:noProof/>
                <w:webHidden/>
              </w:rPr>
              <w:fldChar w:fldCharType="end"/>
            </w:r>
          </w:hyperlink>
        </w:p>
        <w:p w:rsidR="000C4EB4" w:rsidRDefault="000C4EB4">
          <w:pPr>
            <w:pStyle w:val="TOC1"/>
            <w:rPr>
              <w:rFonts w:asciiTheme="minorHAnsi" w:eastAsiaTheme="minorEastAsia" w:hAnsiTheme="minorHAnsi" w:cstheme="minorBidi"/>
              <w:b w:val="0"/>
              <w:noProof/>
              <w:szCs w:val="22"/>
              <w:lang w:val="en-US" w:eastAsia="en-US"/>
            </w:rPr>
          </w:pPr>
          <w:hyperlink w:anchor="_Toc165901416" w:history="1">
            <w:r w:rsidRPr="00F219EB">
              <w:rPr>
                <w:rStyle w:val="Hyperlink"/>
                <w:noProof/>
                <w:lang w:val="hy-AM" w:eastAsia="en-US"/>
              </w:rPr>
              <w:t>2. ՊԵՏԱԿԱՆ ԲՅՈՒՋԵԻ ՎՐԱ ՄԱԿՐՈՏՆՏԵՍԱԿԱՆ ԿԱՆԽԱՏԵՍՎԱԾ ՑՈՒՑԱՆԻՇՆԵՐԻՑ ՇԵՂՄԱՆ ՌԻՍԿԵՐԻ ԱԶԴԵՑՈՒԹՅԱՆ ՔԱՆԱԿԱԿԱՆ ԳՆԱՀԱՏՈՒՄ</w:t>
            </w:r>
            <w:r>
              <w:rPr>
                <w:noProof/>
                <w:webHidden/>
              </w:rPr>
              <w:tab/>
            </w:r>
            <w:r>
              <w:rPr>
                <w:noProof/>
                <w:webHidden/>
              </w:rPr>
              <w:fldChar w:fldCharType="begin"/>
            </w:r>
            <w:r>
              <w:rPr>
                <w:noProof/>
                <w:webHidden/>
              </w:rPr>
              <w:instrText xml:space="preserve"> PAGEREF _Toc165901416 \h </w:instrText>
            </w:r>
            <w:r>
              <w:rPr>
                <w:noProof/>
                <w:webHidden/>
              </w:rPr>
            </w:r>
            <w:r>
              <w:rPr>
                <w:noProof/>
                <w:webHidden/>
              </w:rPr>
              <w:fldChar w:fldCharType="separate"/>
            </w:r>
            <w:r>
              <w:rPr>
                <w:noProof/>
                <w:webHidden/>
              </w:rPr>
              <w:t>47</w:t>
            </w:r>
            <w:r>
              <w:rPr>
                <w:noProof/>
                <w:webHidden/>
              </w:rPr>
              <w:fldChar w:fldCharType="end"/>
            </w:r>
          </w:hyperlink>
        </w:p>
        <w:p w:rsidR="000C4EB4" w:rsidRDefault="000C4EB4">
          <w:pPr>
            <w:pStyle w:val="TOC3"/>
            <w:rPr>
              <w:rFonts w:asciiTheme="minorHAnsi" w:eastAsiaTheme="minorEastAsia" w:hAnsiTheme="minorHAnsi" w:cstheme="minorBidi"/>
              <w:b w:val="0"/>
              <w:noProof/>
              <w:szCs w:val="22"/>
              <w:lang w:val="en-US" w:eastAsia="en-US"/>
            </w:rPr>
          </w:pPr>
          <w:hyperlink w:anchor="_Toc165901417" w:history="1">
            <w:r w:rsidRPr="00F219EB">
              <w:rPr>
                <w:rStyle w:val="Hyperlink"/>
                <w:noProof/>
                <w:lang w:val="hy-AM" w:eastAsia="en-US"/>
              </w:rPr>
              <w:t>3. ԱՅԼ ԿԱՌՈՒՅՑՆԵՐԻ ԿՈՂՄԻՑ ՀՀ ՏՆՏԵՍԱԿԱՆ ԱՃԻ ԿԱՆԽԱՏԵՍՈՒՄՆԵՐԻ ՀԵՏ ՀԱՄԵՄԱՏԱԿԱՆ</w:t>
            </w:r>
            <w:r>
              <w:rPr>
                <w:noProof/>
                <w:webHidden/>
              </w:rPr>
              <w:tab/>
            </w:r>
            <w:r>
              <w:rPr>
                <w:noProof/>
                <w:webHidden/>
              </w:rPr>
              <w:fldChar w:fldCharType="begin"/>
            </w:r>
            <w:r>
              <w:rPr>
                <w:noProof/>
                <w:webHidden/>
              </w:rPr>
              <w:instrText xml:space="preserve"> PAGEREF _Toc165901417 \h </w:instrText>
            </w:r>
            <w:r>
              <w:rPr>
                <w:noProof/>
                <w:webHidden/>
              </w:rPr>
            </w:r>
            <w:r>
              <w:rPr>
                <w:noProof/>
                <w:webHidden/>
              </w:rPr>
              <w:fldChar w:fldCharType="separate"/>
            </w:r>
            <w:r>
              <w:rPr>
                <w:noProof/>
                <w:webHidden/>
              </w:rPr>
              <w:t>54</w:t>
            </w:r>
            <w:r>
              <w:rPr>
                <w:noProof/>
                <w:webHidden/>
              </w:rPr>
              <w:fldChar w:fldCharType="end"/>
            </w:r>
          </w:hyperlink>
        </w:p>
        <w:p w:rsidR="000C4EB4" w:rsidRPr="000C4EB4" w:rsidRDefault="000C4EB4" w:rsidP="000C4EB4">
          <w:pPr>
            <w:spacing w:before="0" w:line="240" w:lineRule="auto"/>
            <w:ind w:firstLine="0"/>
            <w:contextualSpacing w:val="0"/>
            <w:jc w:val="left"/>
            <w:rPr>
              <w:rFonts w:ascii="Arial Armenian" w:hAnsi="Arial Armenian"/>
              <w:b w:val="0"/>
              <w:sz w:val="24"/>
              <w:lang w:val="en-US" w:eastAsia="en-US"/>
            </w:rPr>
            <w:sectPr w:rsidR="000C4EB4" w:rsidRPr="000C4EB4" w:rsidSect="000C4EB4">
              <w:footerReference w:type="default" r:id="rId8"/>
              <w:pgSz w:w="11907" w:h="16840" w:code="9"/>
              <w:pgMar w:top="1134" w:right="567" w:bottom="567" w:left="1134" w:header="567" w:footer="340" w:gutter="0"/>
              <w:pgNumType w:start="2"/>
              <w:cols w:space="720"/>
            </w:sectPr>
          </w:pPr>
          <w:r w:rsidRPr="000C4EB4">
            <w:rPr>
              <w:bCs/>
              <w:noProof/>
              <w:sz w:val="24"/>
              <w:lang w:val="en-US" w:eastAsia="en-US"/>
            </w:rPr>
            <w:fldChar w:fldCharType="end"/>
          </w:r>
        </w:p>
      </w:sdtContent>
    </w:sdt>
    <w:bookmarkEnd w:id="9"/>
    <w:bookmarkEnd w:id="10"/>
    <w:p w:rsidR="000C4EB4" w:rsidRDefault="000C4EB4">
      <w:pPr>
        <w:spacing w:before="0" w:line="240" w:lineRule="auto"/>
        <w:ind w:firstLine="0"/>
        <w:contextualSpacing w:val="0"/>
        <w:jc w:val="left"/>
        <w:rPr>
          <w:sz w:val="28"/>
          <w:szCs w:val="20"/>
          <w:lang w:val="hy-AM"/>
        </w:rPr>
      </w:pPr>
    </w:p>
    <w:p w:rsidR="00F04DA1" w:rsidRPr="00F04DA1" w:rsidRDefault="00F04DA1" w:rsidP="00F04DA1">
      <w:pPr>
        <w:keepNext/>
        <w:tabs>
          <w:tab w:val="left" w:pos="567"/>
        </w:tabs>
        <w:spacing w:before="0" w:line="276" w:lineRule="auto"/>
        <w:ind w:firstLine="426"/>
        <w:jc w:val="center"/>
        <w:outlineLvl w:val="0"/>
        <w:rPr>
          <w:bCs/>
          <w:sz w:val="28"/>
          <w:szCs w:val="20"/>
          <w:lang w:val="hy-AM"/>
        </w:rPr>
      </w:pPr>
      <w:bookmarkStart w:id="11" w:name="_Toc165901401"/>
      <w:r w:rsidRPr="00F04DA1">
        <w:rPr>
          <w:sz w:val="28"/>
          <w:szCs w:val="20"/>
          <w:lang w:val="hy-AM"/>
        </w:rPr>
        <w:t>ՄԱԿՐՈՏՆՏԵՍԱԿԱՆ ԶԱՐԳԱՑՈՒՄՆԵՐ ԵՎ ԿԱՆԽԱՏԵՍՈՒՄՆԵՐ</w:t>
      </w:r>
      <w:bookmarkEnd w:id="0"/>
      <w:bookmarkEnd w:id="1"/>
      <w:bookmarkEnd w:id="2"/>
      <w:bookmarkEnd w:id="3"/>
      <w:bookmarkEnd w:id="4"/>
      <w:bookmarkEnd w:id="5"/>
      <w:bookmarkEnd w:id="6"/>
      <w:bookmarkEnd w:id="7"/>
      <w:bookmarkEnd w:id="11"/>
    </w:p>
    <w:p w:rsidR="00D178DD" w:rsidRPr="00D178DD" w:rsidRDefault="00D178DD" w:rsidP="00D178DD">
      <w:pPr>
        <w:keepNext/>
        <w:keepLines/>
        <w:spacing w:before="0" w:line="276" w:lineRule="auto"/>
        <w:outlineLvl w:val="2"/>
        <w:rPr>
          <w:b w:val="0"/>
          <w:bCs/>
          <w:sz w:val="24"/>
          <w:lang w:val="hy-AM"/>
        </w:rPr>
      </w:pPr>
      <w:bookmarkStart w:id="12" w:name="_Toc51947412"/>
      <w:bookmarkStart w:id="13" w:name="_Toc52452085"/>
      <w:bookmarkStart w:id="14" w:name="_Toc57559412"/>
      <w:bookmarkStart w:id="15" w:name="_Toc83663894"/>
      <w:bookmarkStart w:id="16" w:name="_Toc83972830"/>
      <w:bookmarkStart w:id="17" w:name="_Toc115686016"/>
      <w:bookmarkStart w:id="18" w:name="_Toc120805190"/>
      <w:bookmarkStart w:id="19" w:name="_Toc83972842"/>
      <w:bookmarkStart w:id="20" w:name="_Toc165901402"/>
      <w:bookmarkEnd w:id="8"/>
      <w:r w:rsidRPr="00D178DD">
        <w:rPr>
          <w:bCs/>
          <w:sz w:val="24"/>
          <w:lang w:val="hy-AM"/>
        </w:rPr>
        <w:t>1.1 ՄԱԿՐՈՏՆՏԵՍԱԿԱՆ ԱՄՓՈՓԱԳԻՐ ԵՎ ՇՐՋԱՆԱԿ</w:t>
      </w:r>
      <w:bookmarkEnd w:id="12"/>
      <w:bookmarkEnd w:id="13"/>
      <w:bookmarkEnd w:id="14"/>
      <w:bookmarkEnd w:id="15"/>
      <w:bookmarkEnd w:id="16"/>
      <w:bookmarkEnd w:id="17"/>
      <w:bookmarkEnd w:id="18"/>
      <w:bookmarkEnd w:id="20"/>
      <w:r w:rsidRPr="00D178DD">
        <w:rPr>
          <w:bCs/>
          <w:sz w:val="24"/>
          <w:lang w:val="hy-AM"/>
        </w:rPr>
        <w:t xml:space="preserve"> </w:t>
      </w:r>
    </w:p>
    <w:p w:rsidR="00D178DD" w:rsidRPr="00D178DD" w:rsidRDefault="00D178DD" w:rsidP="00D178DD">
      <w:pPr>
        <w:numPr>
          <w:ilvl w:val="0"/>
          <w:numId w:val="24"/>
        </w:numPr>
        <w:tabs>
          <w:tab w:val="right" w:pos="0"/>
        </w:tabs>
        <w:spacing w:before="40" w:after="120" w:line="276" w:lineRule="auto"/>
        <w:contextualSpacing w:val="0"/>
        <w:rPr>
          <w:b w:val="0"/>
          <w:lang w:val="hy-AM"/>
        </w:rPr>
      </w:pPr>
      <w:r w:rsidRPr="00D178DD">
        <w:rPr>
          <w:rFonts w:eastAsia="Calibri"/>
          <w:b w:val="0"/>
          <w:lang w:val="hy-AM"/>
        </w:rPr>
        <w:t xml:space="preserve">Համավարակի հետևանքները դեռևս ամբողջությամբ չհաղթահարած ներկայումս աշխարհը բախվել է ռուս-ուկրաինական հակամարտության շուրջ առաջացրած աշխարհաքաղաքական և տնտեսական մարտահրավերներին, ինչի բացասական հետևանքներն արդեն տեսանելի են ոչ միայն տարածաշրջանում, այլ նաև ամբողջ աշխարհում։ ՀՀ հիմնական գործընկեր երկրների տնտեսություններում տեղի են ունեցել տնտեսական աճի էական դանդաղումներ՝ պայմանավորված համաշխարհային արժեշղթաների խաթարումներով,  պարենային և հումքային ապրանքների միջազգային գների բարձրացմամբ, դրանց հետևանքով առաջացած բարձր գնաճերին հակազդող աննախադեպ զսպող դրամավարկային քաղաքականություններով ու համաշխարհային ֆինանսական պայմանների խստացմամբ: Այս պայմաններում գործընկեր երկրներից ՌԴ-ում 2022-2023թթ. կանխատեսվում է տնտեսական անկում, իսկ մյուսներում՝ աճի էական դանդաղում: </w:t>
      </w:r>
    </w:p>
    <w:p w:rsidR="00D178DD" w:rsidRPr="00D178DD" w:rsidRDefault="00D178DD" w:rsidP="00D178DD">
      <w:pPr>
        <w:numPr>
          <w:ilvl w:val="0"/>
          <w:numId w:val="24"/>
        </w:numPr>
        <w:spacing w:line="276" w:lineRule="auto"/>
        <w:rPr>
          <w:rFonts w:eastAsia="Calibri"/>
          <w:b w:val="0"/>
          <w:lang w:val="hy-AM"/>
        </w:rPr>
      </w:pPr>
      <w:r w:rsidRPr="00D178DD">
        <w:rPr>
          <w:rFonts w:eastAsia="Calibri"/>
          <w:b w:val="0"/>
          <w:lang w:val="hy-AM"/>
        </w:rPr>
        <w:t xml:space="preserve">Համավարակի և </w:t>
      </w:r>
      <w:r w:rsidR="00822D2B" w:rsidRPr="00822D2B">
        <w:rPr>
          <w:rFonts w:eastAsia="Calibri"/>
          <w:b w:val="0"/>
          <w:lang w:val="hy-AM"/>
        </w:rPr>
        <w:t>Ղարաբաղ</w:t>
      </w:r>
      <w:r w:rsidRPr="00D178DD">
        <w:rPr>
          <w:rFonts w:eastAsia="Calibri"/>
          <w:b w:val="0"/>
          <w:lang w:val="hy-AM"/>
        </w:rPr>
        <w:t>յան պատերազմի շոկերից հետո՝ տնտեսության 2021 թվականի վերականգնման տեմպերը 2022 թվականի տարեսկզբին արագացան։ Չնայած փետրվարի վերջերից սկիզբ առած ռուս-ուկրաինական հակամարտության և Ռուսաստանի դեմ կիրառված պատժամիջոցների բացասական ազդեցությունների հետևանքով տնտեսական ակտիվության մարտ ամսի որոշակի դանդաղմանը, ապրիլ ամսից տնտեսության աճի տեմպը կտրուկ արագացավ պայմանավորված՝</w:t>
      </w:r>
      <w:bookmarkStart w:id="21" w:name="_Hlk115027419"/>
      <w:r w:rsidRPr="00D178DD">
        <w:rPr>
          <w:rFonts w:eastAsia="Calibri"/>
          <w:b w:val="0"/>
          <w:lang w:val="hy-AM"/>
        </w:rPr>
        <w:t xml:space="preserve"> ՌԴ-ից դեպի Հայաստան մարդկանց և կապիտալի աննախադեպ ներհոսքերով, ինչպես նաև ՏՏ տեխնոլոգիաների ոլորտի ընկերությունների և աշխատակիցների ՀՀ տեղափոխմամբ։</w:t>
      </w:r>
      <w:r w:rsidRPr="00D178DD">
        <w:rPr>
          <w:rFonts w:cs="GHEA Grapalat"/>
          <w:szCs w:val="22"/>
          <w:lang w:val="hy-AM"/>
        </w:rPr>
        <w:t xml:space="preserve"> </w:t>
      </w:r>
      <w:r w:rsidRPr="00D178DD">
        <w:rPr>
          <w:rFonts w:eastAsia="Calibri"/>
          <w:b w:val="0"/>
          <w:lang w:val="hy-AM"/>
        </w:rPr>
        <w:t>Մյուս կողմից՝ պատժամիջոցների հետևանքով որոշ երկրներից ՌԴ ներմուծման շուկայի սահմանափակումները նպաստեցին ՀՀ-ից դեպի Ռուսաստան արտահանման պահանջարկի ավելացմանը</w:t>
      </w:r>
      <w:bookmarkEnd w:id="21"/>
      <w:r w:rsidRPr="00D178DD">
        <w:rPr>
          <w:rFonts w:eastAsia="Calibri"/>
          <w:b w:val="0"/>
          <w:lang w:val="hy-AM"/>
        </w:rPr>
        <w:t>։ Վերոնշյալ զարգացումների պայմաններում ՀՀ-ում 2022թ</w:t>
      </w:r>
      <w:r w:rsidRPr="00D178DD">
        <w:rPr>
          <w:rFonts w:ascii="Cambria Math" w:eastAsia="Calibri" w:hAnsi="Cambria Math" w:cs="Cambria Math"/>
          <w:b w:val="0"/>
          <w:lang w:val="hy-AM"/>
        </w:rPr>
        <w:t>․</w:t>
      </w:r>
      <w:r w:rsidRPr="00D178DD">
        <w:rPr>
          <w:rFonts w:eastAsia="Calibri"/>
          <w:b w:val="0"/>
          <w:lang w:val="hy-AM"/>
        </w:rPr>
        <w:t xml:space="preserve"> համար սպասվում է 11% տնտես</w:t>
      </w:r>
      <w:bookmarkStart w:id="22" w:name="_GoBack"/>
      <w:bookmarkEnd w:id="22"/>
      <w:r w:rsidRPr="00D178DD">
        <w:rPr>
          <w:rFonts w:eastAsia="Calibri"/>
          <w:b w:val="0"/>
          <w:lang w:val="hy-AM"/>
        </w:rPr>
        <w:t>ական աճ։</w:t>
      </w:r>
      <w:bookmarkStart w:id="23" w:name="_Hlk115027291"/>
    </w:p>
    <w:p w:rsidR="00D178DD" w:rsidRPr="00D178DD" w:rsidRDefault="00D178DD" w:rsidP="00D178DD">
      <w:pPr>
        <w:numPr>
          <w:ilvl w:val="0"/>
          <w:numId w:val="24"/>
        </w:numPr>
        <w:spacing w:line="276" w:lineRule="auto"/>
        <w:rPr>
          <w:rFonts w:eastAsia="Calibri"/>
          <w:b w:val="0"/>
          <w:lang w:val="hy-AM"/>
        </w:rPr>
      </w:pPr>
      <w:r w:rsidRPr="00D178DD">
        <w:rPr>
          <w:b w:val="0"/>
          <w:lang w:val="hy-AM"/>
        </w:rPr>
        <w:t>Վերոնշյալ դրական զարգացումների որոշակի պահպանման և ՀՀ կառավարության 2021-2026թթ. ծրագրով նախատեսված տնտեսության և տնտեսական աճի ներուժի բարձրացմանն ուղղված  քաղաքականությունների և դրանցից բխող միջոցառումների պայմաններում, 2023թ</w:t>
      </w:r>
      <w:r w:rsidRPr="00D178DD">
        <w:rPr>
          <w:rFonts w:ascii="Times New Roman" w:hAnsi="Times New Roman"/>
          <w:b w:val="0"/>
          <w:lang w:val="hy-AM"/>
        </w:rPr>
        <w:t>․</w:t>
      </w:r>
      <w:r w:rsidRPr="00D178DD">
        <w:rPr>
          <w:b w:val="0"/>
          <w:lang w:val="hy-AM"/>
        </w:rPr>
        <w:t xml:space="preserve"> կանխատեսվում է 7% տնտեսական աճ։ </w:t>
      </w:r>
      <w:bookmarkEnd w:id="23"/>
      <w:r w:rsidRPr="00D178DD">
        <w:rPr>
          <w:b w:val="0"/>
          <w:lang w:val="hy-AM"/>
        </w:rPr>
        <w:t>Կանխատեսված տնտեսական աճի հիմքում ընկած են ՀՀ կառավարության կողմից թիրախավորված տնտեսական աճի ներուժի բարձրացման ուղղված այնպիսի միջոցառումներ, ինչպիսիք են մեծածավալ պետական ներդրումների իրականացումը ենթակառուցվածքներում և մարդկային կապիտալի զարգացմանը միտված ոլորտներում, տնտեսության արդիականացման և գործարար միջավայրի բարելավման, տեխնոլոգիական առաջընթացի ապահովման, տնտեսության արտահանելի հատվածի և արտահանման խթանմանն ուղղված քաղաքականությունները, որոնք կխթանեն ինչպես ներքին, այնպես էլ օտարերկրյա միջոցներով ֆինանսավորվող մասնավոր ներդրումների իրականացումը, կնպաստեն արտահանման ծավալների մեծացմանը, ինչպես նաև ընդհանուր արտադրողականության բարձրացմանը։</w:t>
      </w:r>
      <w:r w:rsidRPr="00D178DD">
        <w:rPr>
          <w:rFonts w:eastAsia="Calibri"/>
          <w:lang w:val="hy-AM"/>
        </w:rPr>
        <w:t xml:space="preserve"> </w:t>
      </w:r>
    </w:p>
    <w:p w:rsidR="00D178DD" w:rsidRPr="00D178DD" w:rsidRDefault="00D178DD" w:rsidP="00D178DD">
      <w:pPr>
        <w:numPr>
          <w:ilvl w:val="0"/>
          <w:numId w:val="24"/>
        </w:numPr>
        <w:tabs>
          <w:tab w:val="right" w:pos="0"/>
        </w:tabs>
        <w:spacing w:before="40" w:after="120" w:line="276" w:lineRule="auto"/>
        <w:contextualSpacing w:val="0"/>
        <w:rPr>
          <w:rFonts w:cs="Times Armenian"/>
          <w:b w:val="0"/>
          <w:bCs/>
          <w:szCs w:val="22"/>
          <w:lang w:val="hy-AM" w:eastAsia="en-US"/>
        </w:rPr>
      </w:pPr>
      <w:r w:rsidRPr="00D178DD">
        <w:rPr>
          <w:b w:val="0"/>
          <w:lang w:val="hy-AM"/>
        </w:rPr>
        <w:t xml:space="preserve">Որոշ շուկաներում արտաքին պահանջարկի աճով, ՌԴ-ում ՀՀ-ից արտահանվող ապրանքների շուկաների ընդյալնմամբ, զբոսաշրջության ու ներքին պահանջարկի աճի </w:t>
      </w:r>
      <w:r w:rsidRPr="00D178DD">
        <w:rPr>
          <w:b w:val="0"/>
          <w:lang w:val="hy-AM"/>
        </w:rPr>
        <w:lastRenderedPageBreak/>
        <w:t>պայմաններում 2022թ</w:t>
      </w:r>
      <w:r w:rsidRPr="00D178DD">
        <w:rPr>
          <w:rFonts w:ascii="Cambria Math" w:hAnsi="Cambria Math" w:cs="Cambria Math"/>
          <w:b w:val="0"/>
          <w:lang w:val="hy-AM"/>
        </w:rPr>
        <w:t>․</w:t>
      </w:r>
      <w:r w:rsidRPr="00D178DD">
        <w:rPr>
          <w:b w:val="0"/>
          <w:lang w:val="hy-AM"/>
        </w:rPr>
        <w:t xml:space="preserve"> </w:t>
      </w:r>
      <w:r w:rsidRPr="00D178DD">
        <w:rPr>
          <w:rFonts w:cs="GHEA Grapalat"/>
          <w:b w:val="0"/>
          <w:lang w:val="hy-AM"/>
        </w:rPr>
        <w:t>տեղի</w:t>
      </w:r>
      <w:r w:rsidRPr="00D178DD">
        <w:rPr>
          <w:b w:val="0"/>
          <w:lang w:val="hy-AM"/>
        </w:rPr>
        <w:t xml:space="preserve"> </w:t>
      </w:r>
      <w:r w:rsidRPr="00D178DD">
        <w:rPr>
          <w:rFonts w:cs="GHEA Grapalat"/>
          <w:b w:val="0"/>
          <w:lang w:val="hy-AM"/>
        </w:rPr>
        <w:t>կունենա</w:t>
      </w:r>
      <w:r w:rsidRPr="00D178DD">
        <w:rPr>
          <w:b w:val="0"/>
          <w:lang w:val="hy-AM"/>
        </w:rPr>
        <w:t xml:space="preserve"> </w:t>
      </w:r>
      <w:r w:rsidRPr="00D178DD">
        <w:rPr>
          <w:rFonts w:cs="GHEA Grapalat"/>
          <w:b w:val="0"/>
          <w:lang w:val="hy-AM"/>
        </w:rPr>
        <w:t>և՛</w:t>
      </w:r>
      <w:r w:rsidRPr="00D178DD">
        <w:rPr>
          <w:b w:val="0"/>
          <w:lang w:val="hy-AM"/>
        </w:rPr>
        <w:t xml:space="preserve"> </w:t>
      </w:r>
      <w:r w:rsidRPr="00D178DD">
        <w:rPr>
          <w:rFonts w:cs="GHEA Grapalat"/>
          <w:b w:val="0"/>
          <w:lang w:val="hy-AM"/>
        </w:rPr>
        <w:t>արտահանման</w:t>
      </w:r>
      <w:r w:rsidRPr="00D178DD">
        <w:rPr>
          <w:b w:val="0"/>
          <w:lang w:val="hy-AM"/>
        </w:rPr>
        <w:t xml:space="preserve">, </w:t>
      </w:r>
      <w:r w:rsidRPr="00D178DD">
        <w:rPr>
          <w:rFonts w:cs="GHEA Grapalat"/>
          <w:b w:val="0"/>
          <w:lang w:val="hy-AM"/>
        </w:rPr>
        <w:t>և՛</w:t>
      </w:r>
      <w:r w:rsidRPr="00D178DD">
        <w:rPr>
          <w:b w:val="0"/>
          <w:lang w:val="hy-AM"/>
        </w:rPr>
        <w:t xml:space="preserve"> </w:t>
      </w:r>
      <w:r w:rsidRPr="00D178DD">
        <w:rPr>
          <w:rFonts w:cs="GHEA Grapalat"/>
          <w:b w:val="0"/>
          <w:lang w:val="hy-AM"/>
        </w:rPr>
        <w:t>ներմուծման</w:t>
      </w:r>
      <w:r w:rsidRPr="00D178DD">
        <w:rPr>
          <w:b w:val="0"/>
          <w:lang w:val="hy-AM"/>
        </w:rPr>
        <w:t xml:space="preserve"> </w:t>
      </w:r>
      <w:r w:rsidRPr="00D178DD">
        <w:rPr>
          <w:rFonts w:cs="GHEA Grapalat"/>
          <w:b w:val="0"/>
          <w:lang w:val="hy-AM"/>
        </w:rPr>
        <w:t>ծավալների</w:t>
      </w:r>
      <w:r w:rsidRPr="00D178DD">
        <w:rPr>
          <w:b w:val="0"/>
          <w:lang w:val="hy-AM"/>
        </w:rPr>
        <w:t xml:space="preserve"> </w:t>
      </w:r>
      <w:r w:rsidRPr="00D178DD">
        <w:rPr>
          <w:rFonts w:cs="GHEA Grapalat"/>
          <w:b w:val="0"/>
          <w:lang w:val="hy-AM"/>
        </w:rPr>
        <w:t>աճ</w:t>
      </w:r>
      <w:r w:rsidRPr="00D178DD">
        <w:rPr>
          <w:b w:val="0"/>
          <w:lang w:val="hy-AM"/>
        </w:rPr>
        <w:t xml:space="preserve">: </w:t>
      </w:r>
      <w:r w:rsidRPr="00D178DD">
        <w:rPr>
          <w:rFonts w:cs="GHEA Grapalat"/>
          <w:b w:val="0"/>
          <w:lang w:val="hy-AM"/>
        </w:rPr>
        <w:t xml:space="preserve">Առևտրային հաշվեկշռի և ոչ առևտրային բնույթի (աշխատավարձ և տրասնֆերտներ) դրամական փոխանցումների ՀՆԱ-ում դերի վատթարացմամբ պայմանավորված </w:t>
      </w:r>
      <w:r w:rsidRPr="00D178DD">
        <w:rPr>
          <w:b w:val="0"/>
          <w:lang w:val="hy-AM"/>
        </w:rPr>
        <w:t>2022թ. ընթացիկ հաշվի պակասուրդը փոքր-ինչ կվատթարանա՝ մոտենալով ՀՆԱ-ի 4.2%-ին:  2023 թվականին ընթացիկ հաշվի պակասուրդը կշարունակի խորանալ:</w:t>
      </w:r>
    </w:p>
    <w:p w:rsidR="00D178DD" w:rsidRPr="00D178DD" w:rsidRDefault="00D178DD" w:rsidP="00250E4C">
      <w:pPr>
        <w:numPr>
          <w:ilvl w:val="0"/>
          <w:numId w:val="24"/>
        </w:numPr>
        <w:tabs>
          <w:tab w:val="right" w:pos="0"/>
        </w:tabs>
        <w:spacing w:before="40" w:after="120" w:line="276" w:lineRule="auto"/>
        <w:contextualSpacing w:val="0"/>
        <w:rPr>
          <w:rFonts w:cs="Times Armenian"/>
          <w:b w:val="0"/>
          <w:bCs/>
          <w:szCs w:val="22"/>
          <w:lang w:val="hy-AM" w:eastAsia="en-US"/>
        </w:rPr>
      </w:pPr>
      <w:r w:rsidRPr="00D178DD">
        <w:rPr>
          <w:rFonts w:cs="Times Armenian"/>
          <w:b w:val="0"/>
          <w:bCs/>
          <w:szCs w:val="22"/>
          <w:lang w:val="hy-AM" w:eastAsia="en-US"/>
        </w:rPr>
        <w:t>Իրականացվող զսպող դրամավարկային քաղաքականության և աստիճանաբար մեղմվող ամբողջական պահանջարկի պարագայում գնաճը, կարճաժամկետ հատվածում մնալով թիրախից բարձր մակարդակում, կսկսի աստիճանաբար նվազել՝ 2023թ. ընթացքում մոտենալով իր նպատակային ցուցանիշին։ Գ</w:t>
      </w:r>
      <w:r w:rsidRPr="00D178DD">
        <w:rPr>
          <w:rFonts w:cs="Times Armenian"/>
          <w:b w:val="0"/>
          <w:bCs/>
          <w:lang w:val="hy-AM"/>
        </w:rPr>
        <w:t>նաճի նպատակային ցուցանիշից շեղման ռիսկերի դրսևորման պարագայում ՀՀ ԿԲ-ն համապատասխանորեն կարձագանքի։</w:t>
      </w:r>
    </w:p>
    <w:p w:rsidR="00D178DD" w:rsidRPr="00D178DD" w:rsidRDefault="00D178DD" w:rsidP="00D178DD">
      <w:pPr>
        <w:numPr>
          <w:ilvl w:val="0"/>
          <w:numId w:val="24"/>
        </w:numPr>
        <w:tabs>
          <w:tab w:val="right" w:pos="0"/>
        </w:tabs>
        <w:spacing w:before="40" w:after="120" w:line="276" w:lineRule="auto"/>
        <w:contextualSpacing w:val="0"/>
        <w:rPr>
          <w:rFonts w:cs="Times Armenian"/>
          <w:b w:val="0"/>
          <w:bCs/>
          <w:szCs w:val="22"/>
          <w:lang w:val="hy-AM" w:eastAsia="en-US"/>
        </w:rPr>
      </w:pPr>
      <w:r w:rsidRPr="00D178DD">
        <w:rPr>
          <w:b w:val="0"/>
          <w:lang w:val="hy-AM"/>
        </w:rPr>
        <w:t>2021թ. ՀՀ Կառավարությունը իրականացրել է սահուն հարկաբյուջետային կոնսոլիդացիա՝ նպատակ ունենալով չխաթարել տնտեսության վերականգնումը և ապահովել պարտքի բեռի աճի տեմպի դանդաղում, իսկ 2022 թվականի առաջին կիսամյակում բարձր տնտեսական աճի պայմաններում հարկաբյուջետային քաղաքականությունն ամբողջական պահանջարկի վրա ունեցել է էական զսպող ազդեցութուն:</w:t>
      </w:r>
      <w:r w:rsidRPr="00D178DD">
        <w:rPr>
          <w:rFonts w:cs="Times Armenian"/>
          <w:b w:val="0"/>
          <w:bCs/>
          <w:szCs w:val="22"/>
          <w:lang w:val="hy-AM" w:eastAsia="en-US"/>
        </w:rPr>
        <w:t xml:space="preserve"> </w:t>
      </w:r>
    </w:p>
    <w:p w:rsidR="00D178DD" w:rsidRPr="00D178DD" w:rsidRDefault="00D178DD" w:rsidP="00D178DD">
      <w:pPr>
        <w:numPr>
          <w:ilvl w:val="0"/>
          <w:numId w:val="24"/>
        </w:numPr>
        <w:tabs>
          <w:tab w:val="right" w:pos="0"/>
        </w:tabs>
        <w:spacing w:before="40" w:after="120" w:line="276" w:lineRule="auto"/>
        <w:contextualSpacing w:val="0"/>
        <w:rPr>
          <w:rFonts w:cs="Times Armenian"/>
          <w:b w:val="0"/>
          <w:bCs/>
          <w:szCs w:val="22"/>
          <w:lang w:val="hy-AM" w:eastAsia="en-US"/>
        </w:rPr>
      </w:pPr>
      <w:r w:rsidRPr="00D178DD">
        <w:rPr>
          <w:rFonts w:cs="Times Armenian"/>
          <w:b w:val="0"/>
          <w:bCs/>
          <w:szCs w:val="22"/>
          <w:lang w:val="hy-AM" w:eastAsia="en-US"/>
        </w:rPr>
        <w:t>2023 թվականին հարկաբյուջետային քաղաքականությունը ՀՀ կառավարության 2021-2026թթ. ծրագրին համահունչ ուղղված կլինի թիրախավորված 7% տնտեսական աճի թիրախի ապահովմանը՝ շեշտադրելով պետական ներդրումների մասնաբաժնի էական մեծացումը (կապիտալ ծախսերի կշիռը ՀՆԱ-ում հասցնելով 5.9%-ի) և ծախսերի իրականացման արդյունավետության բարձրացումը, ինչպես նաև՝ պարտքի կայունության պահպանմանը: Արդյունքում հարկաբյուջետային քաղաքականությունը ամբողջական պահանջարկի վրա 2023թ. կունենա չեզոք ազդեցություն և կխթանի տնտեսության ներուժը:</w:t>
      </w:r>
    </w:p>
    <w:p w:rsidR="00D178DD" w:rsidRPr="00D178DD" w:rsidRDefault="00D178DD" w:rsidP="00D178DD">
      <w:pPr>
        <w:numPr>
          <w:ilvl w:val="0"/>
          <w:numId w:val="24"/>
        </w:numPr>
        <w:tabs>
          <w:tab w:val="right" w:pos="0"/>
        </w:tabs>
        <w:spacing w:before="40" w:after="120" w:line="276" w:lineRule="auto"/>
        <w:contextualSpacing w:val="0"/>
        <w:rPr>
          <w:rFonts w:cs="Times Armenian"/>
          <w:b w:val="0"/>
          <w:bCs/>
          <w:szCs w:val="22"/>
          <w:lang w:val="hy-AM" w:eastAsia="en-US"/>
        </w:rPr>
      </w:pPr>
      <w:r w:rsidRPr="00D178DD">
        <w:rPr>
          <w:rFonts w:cs="Times Armenian"/>
          <w:b w:val="0"/>
          <w:bCs/>
          <w:szCs w:val="22"/>
          <w:lang w:val="hy-AM" w:eastAsia="en-US"/>
        </w:rPr>
        <w:t>Ռուս-ուկրաինական հակամարտությունը և Ռուսաստանի դեմ կիրառված աննախադեպ պատժամիջոցները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 Այս պայմաններում, ինչպես աշխարհի և ՀՀ գործընկերների, այնպես էլ պետական բյուջեի շրջանակում ՀՀ տնտեսական աճի կանխատեսումների համար առկա են երկկողմանի ռիսկեր, սակայն դեպի ներքև ռիսկերը համեմատաբար մեծ են։</w:t>
      </w:r>
    </w:p>
    <w:p w:rsidR="00D178DD" w:rsidRPr="00D178DD" w:rsidRDefault="00D178DD" w:rsidP="00D178DD">
      <w:pPr>
        <w:tabs>
          <w:tab w:val="right" w:pos="0"/>
        </w:tabs>
        <w:spacing w:before="0" w:line="276" w:lineRule="auto"/>
        <w:ind w:firstLine="284"/>
        <w:rPr>
          <w:rFonts w:eastAsia="Calibri" w:cs="Sylfaen"/>
          <w:bCs/>
          <w:i/>
          <w:iCs/>
          <w:color w:val="000000"/>
          <w:szCs w:val="22"/>
          <w:lang w:val="hy-AM"/>
        </w:rPr>
      </w:pPr>
    </w:p>
    <w:p w:rsidR="00D178DD" w:rsidRDefault="00D178DD" w:rsidP="00D178DD">
      <w:pPr>
        <w:tabs>
          <w:tab w:val="right" w:pos="0"/>
        </w:tabs>
        <w:spacing w:before="0" w:line="276" w:lineRule="auto"/>
        <w:ind w:firstLine="284"/>
        <w:rPr>
          <w:rFonts w:eastAsia="Calibri" w:cs="Sylfaen"/>
          <w:bCs/>
          <w:i/>
          <w:iCs/>
          <w:color w:val="000000"/>
          <w:szCs w:val="22"/>
          <w:lang w:val="hy-AM"/>
        </w:rPr>
      </w:pPr>
    </w:p>
    <w:p w:rsidR="00FB546F" w:rsidRPr="00D178DD" w:rsidRDefault="00FB546F" w:rsidP="00D178DD">
      <w:pPr>
        <w:tabs>
          <w:tab w:val="right" w:pos="0"/>
        </w:tabs>
        <w:spacing w:before="0" w:line="276" w:lineRule="auto"/>
        <w:ind w:firstLine="284"/>
        <w:rPr>
          <w:rFonts w:eastAsia="Calibri" w:cs="Sylfaen"/>
          <w:bCs/>
          <w:i/>
          <w:iCs/>
          <w:color w:val="000000"/>
          <w:szCs w:val="22"/>
          <w:lang w:val="hy-AM"/>
        </w:rPr>
      </w:pPr>
    </w:p>
    <w:p w:rsidR="00D178DD" w:rsidRPr="00D178DD" w:rsidRDefault="00D178DD" w:rsidP="00D178DD">
      <w:pPr>
        <w:tabs>
          <w:tab w:val="right" w:pos="0"/>
        </w:tabs>
        <w:spacing w:before="0" w:line="276" w:lineRule="auto"/>
        <w:ind w:firstLine="284"/>
        <w:rPr>
          <w:rFonts w:eastAsia="Calibri" w:cs="Sylfaen"/>
          <w:bCs/>
          <w:i/>
          <w:iCs/>
          <w:color w:val="000000"/>
          <w:szCs w:val="22"/>
          <w:lang w:val="hy-AM"/>
        </w:rPr>
      </w:pPr>
    </w:p>
    <w:p w:rsidR="00D178DD" w:rsidRPr="00D178DD" w:rsidRDefault="00D178DD" w:rsidP="00D178DD">
      <w:pPr>
        <w:tabs>
          <w:tab w:val="right" w:pos="0"/>
        </w:tabs>
        <w:spacing w:before="0" w:line="276" w:lineRule="auto"/>
        <w:ind w:firstLine="284"/>
        <w:rPr>
          <w:rFonts w:eastAsia="Calibri" w:cs="Sylfaen"/>
          <w:bCs/>
          <w:i/>
          <w:iCs/>
          <w:color w:val="000000"/>
          <w:szCs w:val="22"/>
          <w:lang w:val="hy-AM"/>
        </w:rPr>
      </w:pPr>
    </w:p>
    <w:p w:rsidR="00D178DD" w:rsidRPr="00D178DD" w:rsidRDefault="00D178DD" w:rsidP="00D178DD">
      <w:pPr>
        <w:tabs>
          <w:tab w:val="right" w:pos="0"/>
        </w:tabs>
        <w:spacing w:before="0" w:line="276" w:lineRule="auto"/>
        <w:ind w:firstLine="284"/>
        <w:rPr>
          <w:rFonts w:eastAsia="Calibri" w:cs="Sylfaen"/>
          <w:bCs/>
          <w:i/>
          <w:iCs/>
          <w:color w:val="000000"/>
          <w:szCs w:val="22"/>
          <w:lang w:val="hy-AM"/>
        </w:rPr>
      </w:pPr>
    </w:p>
    <w:p w:rsidR="00D178DD" w:rsidRDefault="00D178DD" w:rsidP="00D178DD">
      <w:pPr>
        <w:tabs>
          <w:tab w:val="right" w:pos="0"/>
        </w:tabs>
        <w:spacing w:before="0" w:line="276" w:lineRule="auto"/>
        <w:ind w:firstLine="284"/>
        <w:rPr>
          <w:rFonts w:eastAsia="Calibri" w:cs="Sylfaen"/>
          <w:bCs/>
          <w:i/>
          <w:iCs/>
          <w:color w:val="000000"/>
          <w:szCs w:val="22"/>
          <w:lang w:val="hy-AM"/>
        </w:rPr>
      </w:pPr>
    </w:p>
    <w:p w:rsidR="00B46612" w:rsidRDefault="00B46612" w:rsidP="00D178DD">
      <w:pPr>
        <w:tabs>
          <w:tab w:val="right" w:pos="0"/>
        </w:tabs>
        <w:spacing w:before="0" w:line="276" w:lineRule="auto"/>
        <w:ind w:firstLine="284"/>
        <w:rPr>
          <w:rFonts w:eastAsia="Calibri" w:cs="Sylfaen"/>
          <w:bCs/>
          <w:i/>
          <w:iCs/>
          <w:color w:val="000000"/>
          <w:szCs w:val="22"/>
          <w:lang w:val="hy-AM"/>
        </w:rPr>
      </w:pPr>
    </w:p>
    <w:p w:rsidR="00B46612" w:rsidRDefault="00B46612" w:rsidP="00D178DD">
      <w:pPr>
        <w:tabs>
          <w:tab w:val="right" w:pos="0"/>
        </w:tabs>
        <w:spacing w:before="0" w:line="276" w:lineRule="auto"/>
        <w:ind w:firstLine="284"/>
        <w:rPr>
          <w:rFonts w:eastAsia="Calibri" w:cs="Sylfaen"/>
          <w:bCs/>
          <w:i/>
          <w:iCs/>
          <w:color w:val="000000"/>
          <w:szCs w:val="22"/>
          <w:lang w:val="hy-AM"/>
        </w:rPr>
      </w:pPr>
    </w:p>
    <w:p w:rsidR="00250E4C" w:rsidRPr="00F77CAF" w:rsidRDefault="00250E4C" w:rsidP="00D178DD">
      <w:pPr>
        <w:tabs>
          <w:tab w:val="right" w:pos="0"/>
        </w:tabs>
        <w:spacing w:before="0" w:line="276" w:lineRule="auto"/>
        <w:ind w:firstLine="284"/>
        <w:rPr>
          <w:rFonts w:eastAsia="Calibri" w:cs="Sylfaen"/>
          <w:bCs/>
          <w:i/>
          <w:iCs/>
          <w:color w:val="000000"/>
          <w:szCs w:val="22"/>
          <w:lang w:val="hy-AM"/>
        </w:rPr>
      </w:pPr>
    </w:p>
    <w:p w:rsidR="00D178DD" w:rsidRPr="00D178DD" w:rsidRDefault="00D178DD" w:rsidP="00D178DD">
      <w:pPr>
        <w:tabs>
          <w:tab w:val="right" w:pos="0"/>
        </w:tabs>
        <w:spacing w:before="0" w:line="276" w:lineRule="auto"/>
        <w:ind w:firstLine="284"/>
        <w:rPr>
          <w:rFonts w:cs="Times Armenian"/>
          <w:bCs/>
          <w:szCs w:val="22"/>
          <w:lang w:val="hy-AM"/>
        </w:rPr>
      </w:pPr>
      <w:r w:rsidRPr="00D178DD">
        <w:rPr>
          <w:rFonts w:eastAsia="Calibri" w:cs="Sylfaen"/>
          <w:bCs/>
          <w:i/>
          <w:iCs/>
          <w:color w:val="000000"/>
          <w:szCs w:val="22"/>
          <w:lang w:val="hy-AM"/>
        </w:rPr>
        <w:t>Աղյուսակ</w:t>
      </w:r>
      <w:r w:rsidRPr="00D178DD">
        <w:rPr>
          <w:rFonts w:eastAsia="Calibri"/>
          <w:bCs/>
          <w:i/>
          <w:iCs/>
          <w:color w:val="000000"/>
          <w:szCs w:val="22"/>
          <w:lang w:val="hy-AM"/>
        </w:rPr>
        <w:t xml:space="preserve"> 1.1. </w:t>
      </w:r>
      <w:r w:rsidRPr="00D178DD">
        <w:rPr>
          <w:rFonts w:eastAsia="Calibri"/>
          <w:b w:val="0"/>
          <w:i/>
          <w:iCs/>
          <w:color w:val="000000"/>
          <w:szCs w:val="22"/>
          <w:lang w:val="hy-AM"/>
        </w:rPr>
        <w:t>2023թ. պետական բյուջեի մակրոտնտեսական շրջանակ</w:t>
      </w:r>
    </w:p>
    <w:tbl>
      <w:tblPr>
        <w:tblStyle w:val="GridTable1Light-Accent51112"/>
        <w:tblpPr w:leftFromText="180" w:rightFromText="180" w:vertAnchor="text" w:horzAnchor="margin" w:tblpXSpec="right" w:tblpY="107"/>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91"/>
        <w:gridCol w:w="1134"/>
        <w:gridCol w:w="1153"/>
        <w:gridCol w:w="1134"/>
        <w:gridCol w:w="1281"/>
      </w:tblGrid>
      <w:tr w:rsidR="00D178DD" w:rsidRPr="00D178DD" w:rsidTr="004B2286">
        <w:trPr>
          <w:trHeight w:val="258"/>
          <w:tblHeader/>
        </w:trPr>
        <w:tc>
          <w:tcPr>
            <w:tcW w:w="3595" w:type="dxa"/>
            <w:vMerge w:val="restart"/>
            <w:noWrap/>
          </w:tcPr>
          <w:p w:rsidR="00D178DD" w:rsidRPr="00D178DD" w:rsidRDefault="00D178DD" w:rsidP="00D178DD">
            <w:pPr>
              <w:spacing w:before="0" w:line="276" w:lineRule="auto"/>
              <w:rPr>
                <w:rFonts w:cs="Sylfaen"/>
                <w:i/>
                <w:iCs/>
                <w:sz w:val="20"/>
                <w:szCs w:val="20"/>
              </w:rPr>
            </w:pPr>
            <w:r w:rsidRPr="00D178DD">
              <w:rPr>
                <w:rFonts w:cs="Sylfaen"/>
                <w:i/>
                <w:iCs/>
                <w:sz w:val="20"/>
                <w:szCs w:val="20"/>
              </w:rPr>
              <w:t>Հիմնական մակրոտնտեսական ցուցանիշներ</w:t>
            </w:r>
          </w:p>
        </w:tc>
        <w:tc>
          <w:tcPr>
            <w:tcW w:w="1191" w:type="dxa"/>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201</w:t>
            </w:r>
            <w:r w:rsidRPr="00D178DD">
              <w:rPr>
                <w:rFonts w:cs="Arial"/>
                <w:bCs/>
                <w:sz w:val="20"/>
                <w:szCs w:val="20"/>
                <w:lang w:val="en-US"/>
              </w:rPr>
              <w:t>9</w:t>
            </w:r>
          </w:p>
        </w:tc>
        <w:tc>
          <w:tcPr>
            <w:tcW w:w="1134" w:type="dxa"/>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w:t>
            </w:r>
            <w:r w:rsidRPr="00D178DD">
              <w:rPr>
                <w:rFonts w:cs="Arial"/>
                <w:bCs/>
                <w:sz w:val="20"/>
                <w:szCs w:val="20"/>
                <w:lang w:val="en-US"/>
              </w:rPr>
              <w:t>20</w:t>
            </w:r>
          </w:p>
        </w:tc>
        <w:tc>
          <w:tcPr>
            <w:tcW w:w="1153" w:type="dxa"/>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202</w:t>
            </w:r>
            <w:r w:rsidRPr="00D178DD">
              <w:rPr>
                <w:rFonts w:cs="Arial"/>
                <w:bCs/>
                <w:sz w:val="20"/>
                <w:szCs w:val="20"/>
                <w:lang w:val="en-US"/>
              </w:rPr>
              <w:t>1</w:t>
            </w:r>
          </w:p>
        </w:tc>
        <w:tc>
          <w:tcPr>
            <w:tcW w:w="1134" w:type="dxa"/>
            <w:shd w:val="clear" w:color="auto" w:fill="D9E2F3"/>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202</w:t>
            </w:r>
            <w:r w:rsidRPr="00D178DD">
              <w:rPr>
                <w:rFonts w:cs="Arial"/>
                <w:bCs/>
                <w:sz w:val="20"/>
                <w:szCs w:val="20"/>
                <w:lang w:val="en-US"/>
              </w:rPr>
              <w:t>2</w:t>
            </w:r>
          </w:p>
        </w:tc>
        <w:tc>
          <w:tcPr>
            <w:tcW w:w="1281" w:type="dxa"/>
            <w:shd w:val="clear" w:color="auto" w:fill="D9E2F3"/>
          </w:tcPr>
          <w:p w:rsidR="00D178DD" w:rsidRPr="00D178DD" w:rsidRDefault="00D178DD" w:rsidP="00D178DD">
            <w:pPr>
              <w:spacing w:before="0" w:line="276" w:lineRule="auto"/>
              <w:ind w:firstLine="0"/>
              <w:jc w:val="center"/>
              <w:rPr>
                <w:rFonts w:cs="Arial"/>
                <w:bCs/>
                <w:sz w:val="20"/>
                <w:szCs w:val="20"/>
              </w:rPr>
            </w:pPr>
            <w:r w:rsidRPr="00D178DD">
              <w:rPr>
                <w:rFonts w:cs="Arial"/>
                <w:bCs/>
                <w:sz w:val="20"/>
                <w:szCs w:val="20"/>
              </w:rPr>
              <w:t>202</w:t>
            </w:r>
            <w:r w:rsidRPr="00D178DD">
              <w:rPr>
                <w:rFonts w:cs="Arial"/>
                <w:bCs/>
                <w:sz w:val="20"/>
                <w:szCs w:val="20"/>
                <w:lang w:val="en-US"/>
              </w:rPr>
              <w:t>3</w:t>
            </w:r>
          </w:p>
        </w:tc>
      </w:tr>
      <w:tr w:rsidR="00D178DD" w:rsidRPr="00D178DD" w:rsidTr="004B2286">
        <w:trPr>
          <w:trHeight w:val="272"/>
          <w:tblHeader/>
        </w:trPr>
        <w:tc>
          <w:tcPr>
            <w:tcW w:w="3595" w:type="dxa"/>
            <w:vMerge/>
            <w:noWrap/>
          </w:tcPr>
          <w:p w:rsidR="00D178DD" w:rsidRPr="00D178DD" w:rsidRDefault="00D178DD" w:rsidP="00D178DD">
            <w:pPr>
              <w:spacing w:before="0" w:line="276" w:lineRule="auto"/>
              <w:rPr>
                <w:rFonts w:cs="Sylfaen"/>
                <w:sz w:val="20"/>
                <w:szCs w:val="20"/>
              </w:rPr>
            </w:pPr>
          </w:p>
        </w:tc>
        <w:tc>
          <w:tcPr>
            <w:tcW w:w="1191" w:type="dxa"/>
          </w:tcPr>
          <w:p w:rsidR="00D178DD" w:rsidRPr="00D178DD" w:rsidRDefault="00D178DD" w:rsidP="00D178DD">
            <w:pPr>
              <w:spacing w:before="0" w:line="276" w:lineRule="auto"/>
              <w:ind w:firstLine="0"/>
              <w:jc w:val="center"/>
              <w:rPr>
                <w:rFonts w:cs="Arial"/>
                <w:bCs/>
                <w:sz w:val="20"/>
                <w:szCs w:val="20"/>
              </w:rPr>
            </w:pPr>
            <w:r w:rsidRPr="00D178DD">
              <w:rPr>
                <w:rFonts w:cs="Sylfaen"/>
                <w:sz w:val="20"/>
                <w:szCs w:val="20"/>
              </w:rPr>
              <w:t>փաստ</w:t>
            </w:r>
          </w:p>
        </w:tc>
        <w:tc>
          <w:tcPr>
            <w:tcW w:w="1134" w:type="dxa"/>
          </w:tcPr>
          <w:p w:rsidR="00D178DD" w:rsidRPr="00D178DD" w:rsidRDefault="00D178DD" w:rsidP="00D178DD">
            <w:pPr>
              <w:spacing w:before="0" w:line="276" w:lineRule="auto"/>
              <w:ind w:firstLine="0"/>
              <w:jc w:val="center"/>
              <w:rPr>
                <w:rFonts w:cs="Arial"/>
                <w:bCs/>
                <w:sz w:val="20"/>
                <w:szCs w:val="20"/>
              </w:rPr>
            </w:pPr>
            <w:r w:rsidRPr="00D178DD">
              <w:rPr>
                <w:rFonts w:cs="Sylfaen"/>
                <w:sz w:val="20"/>
                <w:szCs w:val="20"/>
              </w:rPr>
              <w:t>փաստ</w:t>
            </w:r>
          </w:p>
        </w:tc>
        <w:tc>
          <w:tcPr>
            <w:tcW w:w="1153" w:type="dxa"/>
          </w:tcPr>
          <w:p w:rsidR="00D178DD" w:rsidRPr="00D178DD" w:rsidRDefault="00D178DD" w:rsidP="00D178DD">
            <w:pPr>
              <w:spacing w:before="0" w:line="276" w:lineRule="auto"/>
              <w:ind w:firstLine="0"/>
              <w:jc w:val="center"/>
              <w:rPr>
                <w:rFonts w:cs="Arial"/>
                <w:bCs/>
                <w:sz w:val="20"/>
                <w:szCs w:val="20"/>
              </w:rPr>
            </w:pPr>
            <w:r w:rsidRPr="00D178DD">
              <w:rPr>
                <w:rFonts w:cs="Sylfaen"/>
                <w:sz w:val="20"/>
                <w:szCs w:val="20"/>
              </w:rPr>
              <w:t>Փաստ</w:t>
            </w:r>
          </w:p>
        </w:tc>
        <w:tc>
          <w:tcPr>
            <w:tcW w:w="1134" w:type="dxa"/>
            <w:shd w:val="clear" w:color="auto" w:fill="D9E2F3"/>
          </w:tcPr>
          <w:p w:rsidR="00D178DD" w:rsidRPr="00D178DD" w:rsidRDefault="00D178DD" w:rsidP="00D178DD">
            <w:pPr>
              <w:spacing w:before="0" w:line="276" w:lineRule="auto"/>
              <w:ind w:firstLine="0"/>
              <w:jc w:val="center"/>
              <w:rPr>
                <w:rFonts w:cs="Arial"/>
                <w:bCs/>
                <w:sz w:val="20"/>
                <w:szCs w:val="20"/>
              </w:rPr>
            </w:pPr>
            <w:r w:rsidRPr="00D178DD">
              <w:rPr>
                <w:rFonts w:cs="Sylfaen"/>
                <w:sz w:val="20"/>
                <w:szCs w:val="20"/>
              </w:rPr>
              <w:t>սպասում</w:t>
            </w:r>
          </w:p>
        </w:tc>
        <w:tc>
          <w:tcPr>
            <w:tcW w:w="1281" w:type="dxa"/>
            <w:shd w:val="clear" w:color="auto" w:fill="D9E2F3"/>
          </w:tcPr>
          <w:p w:rsidR="00D178DD" w:rsidRPr="00D178DD" w:rsidRDefault="00D178DD" w:rsidP="00D178DD">
            <w:pPr>
              <w:spacing w:before="0" w:line="276" w:lineRule="auto"/>
              <w:ind w:firstLine="0"/>
              <w:jc w:val="center"/>
              <w:rPr>
                <w:rFonts w:cs="Arial"/>
                <w:bCs/>
                <w:sz w:val="20"/>
                <w:szCs w:val="20"/>
              </w:rPr>
            </w:pPr>
            <w:r w:rsidRPr="00D178DD">
              <w:rPr>
                <w:sz w:val="20"/>
                <w:szCs w:val="20"/>
              </w:rPr>
              <w:t>ծրագիր</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bCs/>
                <w:sz w:val="20"/>
                <w:szCs w:val="20"/>
              </w:rPr>
            </w:pPr>
            <w:r w:rsidRPr="00D178DD">
              <w:rPr>
                <w:rFonts w:cs="Sylfaen"/>
                <w:bCs/>
                <w:sz w:val="20"/>
                <w:szCs w:val="20"/>
              </w:rPr>
              <w:t>Անվանական ՀՆԱ, մլրդ դրամ</w:t>
            </w:r>
          </w:p>
        </w:tc>
        <w:tc>
          <w:tcPr>
            <w:tcW w:w="1191" w:type="dxa"/>
            <w:shd w:val="clear" w:color="auto" w:fill="auto"/>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 xml:space="preserve"> 6,543.3 </w:t>
            </w:r>
          </w:p>
        </w:tc>
        <w:tc>
          <w:tcPr>
            <w:tcW w:w="1134"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 xml:space="preserve"> 6,181.9 </w:t>
            </w:r>
          </w:p>
        </w:tc>
        <w:tc>
          <w:tcPr>
            <w:tcW w:w="1153"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 xml:space="preserve"> 6,983.0 </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bCs/>
                <w:color w:val="000000"/>
                <w:sz w:val="20"/>
                <w:szCs w:val="20"/>
              </w:rPr>
              <w:t xml:space="preserve"> 8,293.7 </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bCs/>
                <w:color w:val="000000"/>
                <w:sz w:val="20"/>
                <w:szCs w:val="20"/>
              </w:rPr>
              <w:t xml:space="preserve"> 9,317.9 </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Տնտեսական աճ, %</w:t>
            </w:r>
          </w:p>
        </w:tc>
        <w:tc>
          <w:tcPr>
            <w:tcW w:w="1191" w:type="dxa"/>
            <w:shd w:val="clear" w:color="auto" w:fill="auto"/>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7.6</w:t>
            </w:r>
          </w:p>
        </w:tc>
        <w:tc>
          <w:tcPr>
            <w:tcW w:w="1134"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-7.2</w:t>
            </w:r>
          </w:p>
        </w:tc>
        <w:tc>
          <w:tcPr>
            <w:tcW w:w="1153" w:type="dxa"/>
            <w:shd w:val="clear" w:color="auto" w:fill="auto"/>
          </w:tcPr>
          <w:p w:rsidR="00D178DD" w:rsidRPr="00D178DD" w:rsidRDefault="00D178DD" w:rsidP="00D178DD">
            <w:pPr>
              <w:spacing w:before="0" w:line="276" w:lineRule="auto"/>
              <w:ind w:firstLine="0"/>
              <w:jc w:val="center"/>
              <w:rPr>
                <w:sz w:val="20"/>
                <w:szCs w:val="20"/>
                <w:lang w:val="en-US"/>
              </w:rPr>
            </w:pPr>
            <w:r w:rsidRPr="00D178DD">
              <w:rPr>
                <w:bCs/>
                <w:color w:val="000000"/>
                <w:sz w:val="20"/>
                <w:szCs w:val="20"/>
              </w:rPr>
              <w:t>5.7</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bCs/>
                <w:color w:val="000000"/>
                <w:sz w:val="20"/>
                <w:szCs w:val="20"/>
              </w:rPr>
              <w:t>11.0</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bCs/>
                <w:color w:val="000000"/>
                <w:sz w:val="20"/>
                <w:szCs w:val="20"/>
              </w:rPr>
              <w:t>7.0</w:t>
            </w:r>
          </w:p>
        </w:tc>
      </w:tr>
      <w:tr w:rsidR="00D178DD" w:rsidRPr="00D178DD" w:rsidTr="004B2286">
        <w:trPr>
          <w:trHeight w:val="26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ՀՆԱ դեֆլյատորի աճ, %</w:t>
            </w:r>
          </w:p>
        </w:tc>
        <w:tc>
          <w:tcPr>
            <w:tcW w:w="1191" w:type="dxa"/>
            <w:shd w:val="clear" w:color="auto" w:fill="auto"/>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1.0</w:t>
            </w:r>
          </w:p>
        </w:tc>
        <w:tc>
          <w:tcPr>
            <w:tcW w:w="1134"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1.8</w:t>
            </w:r>
          </w:p>
        </w:tc>
        <w:tc>
          <w:tcPr>
            <w:tcW w:w="1153" w:type="dxa"/>
            <w:shd w:val="clear" w:color="auto" w:fill="auto"/>
          </w:tcPr>
          <w:p w:rsidR="00D178DD" w:rsidRPr="00D178DD" w:rsidRDefault="00D178DD" w:rsidP="00D178DD">
            <w:pPr>
              <w:spacing w:before="0" w:line="276" w:lineRule="auto"/>
              <w:ind w:firstLine="0"/>
              <w:jc w:val="center"/>
              <w:rPr>
                <w:sz w:val="20"/>
                <w:szCs w:val="20"/>
              </w:rPr>
            </w:pPr>
            <w:r w:rsidRPr="00D178DD">
              <w:rPr>
                <w:bCs/>
                <w:color w:val="000000"/>
                <w:sz w:val="20"/>
                <w:szCs w:val="20"/>
              </w:rPr>
              <w:t>6.9</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bCs/>
                <w:color w:val="000000"/>
                <w:sz w:val="20"/>
                <w:szCs w:val="20"/>
              </w:rPr>
              <w:t>7.0</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bCs/>
                <w:color w:val="000000"/>
                <w:sz w:val="20"/>
                <w:szCs w:val="20"/>
              </w:rPr>
              <w:t>5.0</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lang w:val="hy-AM"/>
              </w:rPr>
              <w:t>Գնաճ (ժամանակաշրջանի վերջ), %</w:t>
            </w:r>
          </w:p>
        </w:tc>
        <w:tc>
          <w:tcPr>
            <w:tcW w:w="1191" w:type="dxa"/>
            <w:vAlign w:val="center"/>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1.8</w:t>
            </w:r>
          </w:p>
        </w:tc>
        <w:tc>
          <w:tcPr>
            <w:tcW w:w="1134" w:type="dxa"/>
            <w:vAlign w:val="center"/>
          </w:tcPr>
          <w:p w:rsidR="00D178DD" w:rsidRPr="00D178DD" w:rsidRDefault="00D178DD" w:rsidP="00D178DD">
            <w:pPr>
              <w:spacing w:before="0" w:line="276" w:lineRule="auto"/>
              <w:ind w:firstLine="0"/>
              <w:jc w:val="center"/>
              <w:rPr>
                <w:sz w:val="20"/>
                <w:szCs w:val="20"/>
              </w:rPr>
            </w:pPr>
            <w:r w:rsidRPr="00D178DD">
              <w:rPr>
                <w:sz w:val="20"/>
                <w:szCs w:val="20"/>
                <w:lang w:val="hy-AM"/>
              </w:rPr>
              <w:t>0.7</w:t>
            </w:r>
          </w:p>
        </w:tc>
        <w:tc>
          <w:tcPr>
            <w:tcW w:w="1153" w:type="dxa"/>
            <w:shd w:val="clear" w:color="auto" w:fill="auto"/>
            <w:vAlign w:val="center"/>
          </w:tcPr>
          <w:p w:rsidR="00D178DD" w:rsidRPr="00D178DD" w:rsidRDefault="00D178DD" w:rsidP="00D178DD">
            <w:pPr>
              <w:spacing w:before="0" w:line="276" w:lineRule="auto"/>
              <w:ind w:firstLine="0"/>
              <w:jc w:val="center"/>
              <w:rPr>
                <w:sz w:val="20"/>
                <w:szCs w:val="20"/>
              </w:rPr>
            </w:pPr>
            <w:r w:rsidRPr="00D178DD">
              <w:rPr>
                <w:sz w:val="20"/>
                <w:szCs w:val="20"/>
                <w:lang w:val="hy-AM"/>
              </w:rPr>
              <w:t>3.7</w:t>
            </w:r>
          </w:p>
        </w:tc>
        <w:tc>
          <w:tcPr>
            <w:tcW w:w="1134" w:type="dxa"/>
            <w:shd w:val="clear" w:color="auto" w:fill="D9E2F3"/>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8.5</w:t>
            </w:r>
          </w:p>
        </w:tc>
        <w:tc>
          <w:tcPr>
            <w:tcW w:w="1281" w:type="dxa"/>
            <w:shd w:val="clear" w:color="auto" w:fill="D9E2F3"/>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3.6</w:t>
            </w:r>
          </w:p>
        </w:tc>
      </w:tr>
      <w:tr w:rsidR="00D178DD" w:rsidRPr="00D178DD" w:rsidTr="004B2286">
        <w:trPr>
          <w:trHeight w:val="265"/>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lang w:val="hy-AM"/>
              </w:rPr>
              <w:t>Գնաճ (միջին), %</w:t>
            </w:r>
          </w:p>
        </w:tc>
        <w:tc>
          <w:tcPr>
            <w:tcW w:w="1191" w:type="dxa"/>
            <w:vAlign w:val="center"/>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2.5</w:t>
            </w:r>
          </w:p>
        </w:tc>
        <w:tc>
          <w:tcPr>
            <w:tcW w:w="1134" w:type="dxa"/>
            <w:vAlign w:val="center"/>
          </w:tcPr>
          <w:p w:rsidR="00D178DD" w:rsidRPr="00D178DD" w:rsidRDefault="00D178DD" w:rsidP="00D178DD">
            <w:pPr>
              <w:spacing w:before="0" w:line="276" w:lineRule="auto"/>
              <w:ind w:firstLine="0"/>
              <w:jc w:val="center"/>
              <w:rPr>
                <w:sz w:val="20"/>
                <w:szCs w:val="20"/>
              </w:rPr>
            </w:pPr>
            <w:r w:rsidRPr="00D178DD">
              <w:rPr>
                <w:sz w:val="20"/>
                <w:szCs w:val="20"/>
                <w:lang w:val="hy-AM"/>
              </w:rPr>
              <w:t>1.4</w:t>
            </w:r>
          </w:p>
        </w:tc>
        <w:tc>
          <w:tcPr>
            <w:tcW w:w="1153" w:type="dxa"/>
            <w:shd w:val="clear" w:color="auto" w:fill="auto"/>
            <w:vAlign w:val="center"/>
          </w:tcPr>
          <w:p w:rsidR="00D178DD" w:rsidRPr="00D178DD" w:rsidRDefault="00D178DD" w:rsidP="00D178DD">
            <w:pPr>
              <w:spacing w:before="0" w:line="276" w:lineRule="auto"/>
              <w:ind w:firstLine="0"/>
              <w:jc w:val="center"/>
              <w:rPr>
                <w:sz w:val="20"/>
                <w:szCs w:val="20"/>
              </w:rPr>
            </w:pPr>
            <w:r w:rsidRPr="00D178DD">
              <w:rPr>
                <w:sz w:val="20"/>
                <w:szCs w:val="20"/>
                <w:lang w:val="hy-AM"/>
              </w:rPr>
              <w:t>1.2</w:t>
            </w:r>
          </w:p>
        </w:tc>
        <w:tc>
          <w:tcPr>
            <w:tcW w:w="1134" w:type="dxa"/>
            <w:shd w:val="clear" w:color="auto" w:fill="D9E2F3"/>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8.1</w:t>
            </w:r>
          </w:p>
        </w:tc>
        <w:tc>
          <w:tcPr>
            <w:tcW w:w="1281" w:type="dxa"/>
            <w:shd w:val="clear" w:color="auto" w:fill="D9E2F3"/>
          </w:tcPr>
          <w:p w:rsidR="00D178DD" w:rsidRPr="00D178DD" w:rsidRDefault="00D178DD" w:rsidP="00D178DD">
            <w:pPr>
              <w:spacing w:before="0" w:line="276" w:lineRule="auto"/>
              <w:ind w:firstLine="0"/>
              <w:jc w:val="center"/>
              <w:rPr>
                <w:bCs/>
                <w:color w:val="000000"/>
                <w:sz w:val="20"/>
                <w:szCs w:val="20"/>
              </w:rPr>
            </w:pPr>
            <w:r w:rsidRPr="00D178DD">
              <w:rPr>
                <w:bCs/>
                <w:color w:val="000000"/>
                <w:sz w:val="20"/>
                <w:szCs w:val="20"/>
              </w:rPr>
              <w:t>5.6</w:t>
            </w:r>
          </w:p>
        </w:tc>
      </w:tr>
      <w:tr w:rsidR="00D178DD" w:rsidRPr="00D178DD" w:rsidTr="004B2286">
        <w:trPr>
          <w:trHeight w:val="258"/>
        </w:trPr>
        <w:tc>
          <w:tcPr>
            <w:tcW w:w="9488" w:type="dxa"/>
            <w:gridSpan w:val="6"/>
            <w:shd w:val="clear" w:color="auto" w:fill="auto"/>
            <w:noWrap/>
            <w:vAlign w:val="center"/>
          </w:tcPr>
          <w:p w:rsidR="00D178DD" w:rsidRPr="00D178DD" w:rsidRDefault="00D178DD" w:rsidP="00D178DD">
            <w:pPr>
              <w:spacing w:before="0" w:line="276" w:lineRule="auto"/>
              <w:jc w:val="center"/>
              <w:rPr>
                <w:rFonts w:cs="Arial"/>
                <w:bCs/>
                <w:sz w:val="20"/>
                <w:szCs w:val="20"/>
              </w:rPr>
            </w:pPr>
            <w:r w:rsidRPr="00D178DD">
              <w:rPr>
                <w:rFonts w:cs="Sylfaen"/>
                <w:sz w:val="20"/>
                <w:szCs w:val="20"/>
                <w:u w:val="single"/>
              </w:rPr>
              <w:t>ՀՆԱ իրական աճն ըստ ճյուղերի ավելացված արժեքների, %</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Արդյունաբերություն</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11.9</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-1.4</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3.5</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5.0</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5.1</w:t>
            </w:r>
          </w:p>
        </w:tc>
      </w:tr>
      <w:tr w:rsidR="00D178DD" w:rsidRPr="00D178DD" w:rsidTr="004B2286">
        <w:trPr>
          <w:trHeight w:val="65"/>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Գյուղատնտեսություն </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-5.8</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-3.7</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-0.6</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2.2</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3.0</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Շինարարություն </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6.5</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-5.9</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3.1</w:t>
            </w:r>
          </w:p>
        </w:tc>
        <w:tc>
          <w:tcPr>
            <w:tcW w:w="1134"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16.9</w:t>
            </w:r>
          </w:p>
        </w:tc>
        <w:tc>
          <w:tcPr>
            <w:tcW w:w="1281" w:type="dxa"/>
            <w:shd w:val="clear" w:color="auto" w:fill="D9E2F3"/>
          </w:tcPr>
          <w:p w:rsidR="00D178DD" w:rsidRPr="00D178DD" w:rsidRDefault="00D178DD" w:rsidP="00D178DD">
            <w:pPr>
              <w:spacing w:before="0" w:line="276" w:lineRule="auto"/>
              <w:ind w:firstLine="0"/>
              <w:jc w:val="center"/>
              <w:rPr>
                <w:sz w:val="20"/>
                <w:szCs w:val="20"/>
                <w:lang w:val="hy-AM"/>
              </w:rPr>
            </w:pPr>
            <w:r w:rsidRPr="00D178DD">
              <w:rPr>
                <w:color w:val="000000"/>
                <w:sz w:val="20"/>
                <w:szCs w:val="20"/>
              </w:rPr>
              <w:t>9.6</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Ծառայություններ</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10.0</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-9.6</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7.9</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15.6</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8.2</w:t>
            </w:r>
          </w:p>
        </w:tc>
      </w:tr>
      <w:tr w:rsidR="00D178DD" w:rsidRPr="00D178DD" w:rsidTr="004B2286">
        <w:trPr>
          <w:trHeight w:val="258"/>
        </w:trPr>
        <w:tc>
          <w:tcPr>
            <w:tcW w:w="3595" w:type="dxa"/>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Զուտ հարկեր</w:t>
            </w:r>
          </w:p>
        </w:tc>
        <w:tc>
          <w:tcPr>
            <w:tcW w:w="1191"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7.1</w:t>
            </w:r>
          </w:p>
        </w:tc>
        <w:tc>
          <w:tcPr>
            <w:tcW w:w="1134"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-9.9</w:t>
            </w:r>
          </w:p>
        </w:tc>
        <w:tc>
          <w:tcPr>
            <w:tcW w:w="1153" w:type="dxa"/>
          </w:tcPr>
          <w:p w:rsidR="00D178DD" w:rsidRPr="00D178DD" w:rsidRDefault="00D178DD" w:rsidP="00D178DD">
            <w:pPr>
              <w:spacing w:before="0" w:after="200" w:line="276" w:lineRule="auto"/>
              <w:ind w:firstLine="0"/>
              <w:jc w:val="center"/>
              <w:rPr>
                <w:sz w:val="20"/>
                <w:szCs w:val="20"/>
                <w:lang w:val="hy-AM"/>
              </w:rPr>
            </w:pPr>
            <w:r w:rsidRPr="00D178DD">
              <w:rPr>
                <w:color w:val="000000"/>
                <w:sz w:val="20"/>
                <w:szCs w:val="20"/>
              </w:rPr>
              <w:t>7.4</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6.2</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7.2</w:t>
            </w:r>
          </w:p>
        </w:tc>
      </w:tr>
      <w:tr w:rsidR="00D178DD" w:rsidRPr="00D178DD" w:rsidTr="004B2286">
        <w:trPr>
          <w:trHeight w:val="258"/>
        </w:trPr>
        <w:tc>
          <w:tcPr>
            <w:tcW w:w="9488" w:type="dxa"/>
            <w:gridSpan w:val="6"/>
            <w:shd w:val="clear" w:color="auto" w:fill="auto"/>
            <w:noWrap/>
            <w:vAlign w:val="center"/>
          </w:tcPr>
          <w:p w:rsidR="00D178DD" w:rsidRPr="00D178DD" w:rsidRDefault="00D178DD" w:rsidP="00D178DD">
            <w:pPr>
              <w:spacing w:before="0" w:line="276" w:lineRule="auto"/>
              <w:jc w:val="center"/>
              <w:rPr>
                <w:rFonts w:cs="Arial"/>
                <w:bCs/>
                <w:sz w:val="20"/>
                <w:szCs w:val="20"/>
              </w:rPr>
            </w:pPr>
            <w:r w:rsidRPr="00D178DD">
              <w:rPr>
                <w:rFonts w:cs="Sylfaen"/>
                <w:sz w:val="20"/>
                <w:szCs w:val="20"/>
                <w:u w:val="single"/>
              </w:rPr>
              <w:t>ՀՆԱ ծախսային բաղադրիչների իրական աճերը, %</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rPr>
              <w:t>Վերջնական սպառում</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11.7</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-10.9</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4.4</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7.8</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4.0</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i/>
                <w:sz w:val="20"/>
                <w:szCs w:val="20"/>
              </w:rPr>
            </w:pPr>
            <w:r w:rsidRPr="00D178DD">
              <w:rPr>
                <w:rFonts w:cs="Sylfaen"/>
                <w:i/>
                <w:sz w:val="20"/>
                <w:szCs w:val="20"/>
              </w:rPr>
              <w:t>Պետական</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12.9</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9.2</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8.4</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-5.3</w:t>
            </w:r>
          </w:p>
        </w:tc>
        <w:tc>
          <w:tcPr>
            <w:tcW w:w="1281" w:type="dxa"/>
            <w:shd w:val="clear" w:color="auto" w:fill="D9E2F3"/>
          </w:tcPr>
          <w:p w:rsidR="00D178DD" w:rsidRPr="00D178DD" w:rsidRDefault="00D178DD" w:rsidP="00D178DD">
            <w:pPr>
              <w:spacing w:before="0" w:line="276" w:lineRule="auto"/>
              <w:ind w:firstLine="0"/>
              <w:jc w:val="center"/>
              <w:rPr>
                <w:sz w:val="20"/>
                <w:szCs w:val="20"/>
                <w:lang w:val="en-US"/>
              </w:rPr>
            </w:pPr>
            <w:r w:rsidRPr="00D178DD">
              <w:rPr>
                <w:color w:val="000000"/>
                <w:sz w:val="20"/>
                <w:szCs w:val="20"/>
                <w:lang w:val="en-US"/>
              </w:rPr>
              <w:t>-2.2</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i/>
                <w:sz w:val="20"/>
                <w:szCs w:val="20"/>
              </w:rPr>
            </w:pPr>
            <w:r w:rsidRPr="00D178DD">
              <w:rPr>
                <w:rFonts w:cs="Sylfaen"/>
                <w:i/>
                <w:sz w:val="20"/>
                <w:szCs w:val="20"/>
              </w:rPr>
              <w:t>Մասնավոր</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11.5</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-14.0</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3.7</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10.7</w:t>
            </w:r>
          </w:p>
        </w:tc>
        <w:tc>
          <w:tcPr>
            <w:tcW w:w="1281" w:type="dxa"/>
            <w:shd w:val="clear" w:color="auto" w:fill="D9E2F3"/>
          </w:tcPr>
          <w:p w:rsidR="00D178DD" w:rsidRPr="00D178DD" w:rsidRDefault="00D178DD" w:rsidP="00D178DD">
            <w:pPr>
              <w:spacing w:before="0" w:after="200" w:line="276" w:lineRule="auto"/>
              <w:ind w:firstLine="0"/>
              <w:jc w:val="center"/>
              <w:rPr>
                <w:sz w:val="20"/>
                <w:szCs w:val="20"/>
                <w:lang w:val="en-US"/>
              </w:rPr>
            </w:pPr>
            <w:r w:rsidRPr="00D178DD">
              <w:rPr>
                <w:color w:val="000000"/>
                <w:sz w:val="20"/>
                <w:szCs w:val="20"/>
                <w:lang w:val="en-US"/>
              </w:rPr>
              <w:t>5.2</w:t>
            </w:r>
          </w:p>
        </w:tc>
      </w:tr>
      <w:tr w:rsidR="00D178DD" w:rsidRPr="00D178DD" w:rsidTr="004B2286">
        <w:trPr>
          <w:trHeight w:val="258"/>
        </w:trPr>
        <w:tc>
          <w:tcPr>
            <w:tcW w:w="3595" w:type="dxa"/>
          </w:tcPr>
          <w:p w:rsidR="00D178DD" w:rsidRPr="00D178DD" w:rsidRDefault="00D178DD" w:rsidP="00D178DD">
            <w:pPr>
              <w:spacing w:before="0" w:line="276" w:lineRule="auto"/>
              <w:ind w:firstLine="0"/>
              <w:jc w:val="left"/>
              <w:rPr>
                <w:rFonts w:cs="Sylfaen"/>
                <w:sz w:val="20"/>
                <w:szCs w:val="20"/>
              </w:rPr>
            </w:pPr>
            <w:r w:rsidRPr="00D178DD">
              <w:rPr>
                <w:rFonts w:cs="Sylfaen"/>
                <w:sz w:val="20"/>
                <w:szCs w:val="20"/>
              </w:rPr>
              <w:t>Հիմնական միջոցներում ներդրումներ</w:t>
            </w:r>
            <w:r w:rsidRPr="00D178DD">
              <w:rPr>
                <w:rFonts w:cs="Sylfaen"/>
                <w:sz w:val="20"/>
                <w:szCs w:val="20"/>
                <w:vertAlign w:val="superscript"/>
              </w:rPr>
              <w:footnoteReference w:id="1"/>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4.4</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-1.5</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6.3</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18.3</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18.4</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i/>
                <w:sz w:val="20"/>
                <w:szCs w:val="20"/>
              </w:rPr>
            </w:pPr>
            <w:r w:rsidRPr="00D178DD">
              <w:rPr>
                <w:rFonts w:cs="Sylfaen"/>
                <w:i/>
                <w:sz w:val="20"/>
                <w:szCs w:val="20"/>
              </w:rPr>
              <w:t>Պետական</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13.7</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6.1</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26.0</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19.4</w:t>
            </w:r>
          </w:p>
        </w:tc>
        <w:tc>
          <w:tcPr>
            <w:tcW w:w="1281" w:type="dxa"/>
            <w:shd w:val="clear" w:color="auto" w:fill="D9E2F3"/>
          </w:tcPr>
          <w:p w:rsidR="00D178DD" w:rsidRPr="00D178DD" w:rsidRDefault="00D178DD" w:rsidP="00D178DD">
            <w:pPr>
              <w:spacing w:before="0" w:line="276" w:lineRule="auto"/>
              <w:ind w:firstLine="0"/>
              <w:jc w:val="center"/>
              <w:rPr>
                <w:sz w:val="20"/>
                <w:szCs w:val="20"/>
                <w:lang w:val="en-US"/>
              </w:rPr>
            </w:pPr>
            <w:r w:rsidRPr="00D178DD">
              <w:rPr>
                <w:color w:val="000000"/>
                <w:sz w:val="20"/>
                <w:szCs w:val="20"/>
              </w:rPr>
              <w:t>38.1</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i/>
                <w:sz w:val="20"/>
                <w:szCs w:val="20"/>
              </w:rPr>
            </w:pPr>
            <w:r w:rsidRPr="00D178DD">
              <w:rPr>
                <w:rFonts w:cs="Sylfaen"/>
                <w:i/>
                <w:sz w:val="20"/>
                <w:szCs w:val="20"/>
              </w:rPr>
              <w:t>Մասնավոր</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2.6</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-3.1</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1.7</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18.0</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12.7</w:t>
            </w:r>
          </w:p>
        </w:tc>
      </w:tr>
      <w:tr w:rsidR="00D178DD" w:rsidRPr="00D178DD" w:rsidTr="004B2286">
        <w:trPr>
          <w:trHeight w:val="258"/>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Արտահանում </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16.0</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-33.5</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16.6</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33.9</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9.3</w:t>
            </w:r>
          </w:p>
        </w:tc>
      </w:tr>
      <w:tr w:rsidR="00D178DD" w:rsidRPr="00D178DD" w:rsidTr="004B2286">
        <w:trPr>
          <w:trHeight w:val="272"/>
        </w:trPr>
        <w:tc>
          <w:tcPr>
            <w:tcW w:w="3595" w:type="dxa"/>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Ներմուծում </w:t>
            </w:r>
          </w:p>
        </w:tc>
        <w:tc>
          <w:tcPr>
            <w:tcW w:w="1191" w:type="dxa"/>
          </w:tcPr>
          <w:p w:rsidR="00D178DD" w:rsidRPr="00D178DD" w:rsidRDefault="00D178DD" w:rsidP="00D178DD">
            <w:pPr>
              <w:spacing w:before="0" w:line="276" w:lineRule="auto"/>
              <w:ind w:firstLine="0"/>
              <w:jc w:val="center"/>
              <w:rPr>
                <w:color w:val="000000"/>
                <w:sz w:val="20"/>
                <w:szCs w:val="20"/>
              </w:rPr>
            </w:pPr>
            <w:r w:rsidRPr="00D178DD">
              <w:rPr>
                <w:color w:val="000000"/>
                <w:sz w:val="20"/>
                <w:szCs w:val="20"/>
              </w:rPr>
              <w:t>11.6</w:t>
            </w:r>
          </w:p>
        </w:tc>
        <w:tc>
          <w:tcPr>
            <w:tcW w:w="1134" w:type="dxa"/>
          </w:tcPr>
          <w:p w:rsidR="00D178DD" w:rsidRPr="00D178DD" w:rsidRDefault="00D178DD" w:rsidP="00D178DD">
            <w:pPr>
              <w:spacing w:before="0" w:line="276" w:lineRule="auto"/>
              <w:ind w:firstLine="0"/>
              <w:jc w:val="center"/>
              <w:rPr>
                <w:sz w:val="20"/>
                <w:szCs w:val="20"/>
              </w:rPr>
            </w:pPr>
            <w:r w:rsidRPr="00D178DD">
              <w:rPr>
                <w:color w:val="000000"/>
                <w:sz w:val="20"/>
                <w:szCs w:val="20"/>
              </w:rPr>
              <w:t>-31.5</w:t>
            </w:r>
          </w:p>
        </w:tc>
        <w:tc>
          <w:tcPr>
            <w:tcW w:w="1153" w:type="dxa"/>
          </w:tcPr>
          <w:p w:rsidR="00D178DD" w:rsidRPr="00D178DD" w:rsidRDefault="00D178DD" w:rsidP="00D178DD">
            <w:pPr>
              <w:spacing w:before="0" w:line="276" w:lineRule="auto"/>
              <w:ind w:firstLine="0"/>
              <w:jc w:val="center"/>
              <w:rPr>
                <w:sz w:val="20"/>
                <w:szCs w:val="20"/>
              </w:rPr>
            </w:pPr>
            <w:r w:rsidRPr="00D178DD">
              <w:rPr>
                <w:color w:val="000000"/>
                <w:sz w:val="20"/>
                <w:szCs w:val="20"/>
              </w:rPr>
              <w:t>12.9</w:t>
            </w:r>
          </w:p>
        </w:tc>
        <w:tc>
          <w:tcPr>
            <w:tcW w:w="1134"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21.4</w:t>
            </w:r>
          </w:p>
        </w:tc>
        <w:tc>
          <w:tcPr>
            <w:tcW w:w="1281" w:type="dxa"/>
            <w:shd w:val="clear" w:color="auto" w:fill="D9E2F3"/>
          </w:tcPr>
          <w:p w:rsidR="00D178DD" w:rsidRPr="00D178DD" w:rsidRDefault="00D178DD" w:rsidP="00D178DD">
            <w:pPr>
              <w:spacing w:before="0" w:line="276" w:lineRule="auto"/>
              <w:ind w:firstLine="0"/>
              <w:jc w:val="center"/>
              <w:rPr>
                <w:sz w:val="20"/>
                <w:szCs w:val="20"/>
              </w:rPr>
            </w:pPr>
            <w:r w:rsidRPr="00D178DD">
              <w:rPr>
                <w:color w:val="000000"/>
                <w:sz w:val="20"/>
                <w:szCs w:val="20"/>
              </w:rPr>
              <w:t>5.8</w:t>
            </w:r>
          </w:p>
        </w:tc>
      </w:tr>
      <w:tr w:rsidR="00D178DD" w:rsidRPr="00D178DD" w:rsidTr="004B2286">
        <w:trPr>
          <w:trHeight w:val="258"/>
        </w:trPr>
        <w:tc>
          <w:tcPr>
            <w:tcW w:w="9488" w:type="dxa"/>
            <w:gridSpan w:val="6"/>
            <w:shd w:val="clear" w:color="auto" w:fill="auto"/>
            <w:noWrap/>
            <w:vAlign w:val="center"/>
          </w:tcPr>
          <w:p w:rsidR="00D178DD" w:rsidRPr="00D178DD" w:rsidRDefault="00D178DD" w:rsidP="00D178DD">
            <w:pPr>
              <w:spacing w:before="0" w:line="276" w:lineRule="auto"/>
              <w:jc w:val="center"/>
              <w:rPr>
                <w:rFonts w:cs="Arial"/>
                <w:bCs/>
                <w:sz w:val="20"/>
                <w:szCs w:val="20"/>
              </w:rPr>
            </w:pPr>
            <w:r w:rsidRPr="00D178DD">
              <w:rPr>
                <w:rFonts w:cs="Sylfaen"/>
                <w:sz w:val="20"/>
                <w:szCs w:val="20"/>
                <w:u w:val="single"/>
              </w:rPr>
              <w:t>Արտաքին հատված (մլն ԱՄՆ դոլար)</w:t>
            </w:r>
          </w:p>
        </w:tc>
      </w:tr>
      <w:tr w:rsidR="00D178DD" w:rsidRPr="00D178DD" w:rsidTr="004B2286">
        <w:trPr>
          <w:trHeight w:val="258"/>
        </w:trPr>
        <w:tc>
          <w:tcPr>
            <w:tcW w:w="3595"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Ընթացիկ հաշիվ</w:t>
            </w:r>
          </w:p>
        </w:tc>
        <w:tc>
          <w:tcPr>
            <w:tcW w:w="1191" w:type="dxa"/>
          </w:tcPr>
          <w:p w:rsidR="00D178DD" w:rsidRPr="00D178DD" w:rsidRDefault="00D178DD" w:rsidP="00D178DD">
            <w:pPr>
              <w:spacing w:before="0" w:line="276" w:lineRule="auto"/>
              <w:ind w:firstLine="0"/>
              <w:jc w:val="center"/>
              <w:rPr>
                <w:color w:val="000000"/>
                <w:sz w:val="20"/>
                <w:szCs w:val="20"/>
              </w:rPr>
            </w:pPr>
            <w:r w:rsidRPr="00D178DD">
              <w:t>-997.0</w:t>
            </w:r>
          </w:p>
        </w:tc>
        <w:tc>
          <w:tcPr>
            <w:tcW w:w="1134" w:type="dxa"/>
          </w:tcPr>
          <w:p w:rsidR="00D178DD" w:rsidRPr="00D178DD" w:rsidRDefault="00D178DD" w:rsidP="00D178DD">
            <w:pPr>
              <w:spacing w:before="0" w:line="276" w:lineRule="auto"/>
              <w:ind w:firstLine="0"/>
              <w:jc w:val="center"/>
              <w:rPr>
                <w:color w:val="000000"/>
                <w:sz w:val="20"/>
                <w:szCs w:val="20"/>
              </w:rPr>
            </w:pPr>
            <w:r w:rsidRPr="00D178DD">
              <w:t>-477.8</w:t>
            </w:r>
          </w:p>
        </w:tc>
        <w:tc>
          <w:tcPr>
            <w:tcW w:w="1153"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-515.1</w:t>
            </w:r>
          </w:p>
        </w:tc>
        <w:tc>
          <w:tcPr>
            <w:tcW w:w="1134"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-768.9</w:t>
            </w:r>
          </w:p>
        </w:tc>
        <w:tc>
          <w:tcPr>
            <w:tcW w:w="1281"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-1,213.7</w:t>
            </w:r>
          </w:p>
        </w:tc>
      </w:tr>
      <w:tr w:rsidR="00D178DD" w:rsidRPr="00D178DD" w:rsidTr="004B2286">
        <w:trPr>
          <w:trHeight w:val="258"/>
        </w:trPr>
        <w:tc>
          <w:tcPr>
            <w:tcW w:w="3595" w:type="dxa"/>
            <w:shd w:val="clear" w:color="auto" w:fill="auto"/>
          </w:tcPr>
          <w:p w:rsidR="00D178DD" w:rsidRPr="00D178DD" w:rsidRDefault="00D178DD" w:rsidP="00D178DD">
            <w:pPr>
              <w:spacing w:before="0" w:line="276" w:lineRule="auto"/>
              <w:ind w:firstLine="0"/>
              <w:jc w:val="left"/>
              <w:rPr>
                <w:rFonts w:cs="Sylfaen"/>
                <w:sz w:val="20"/>
                <w:szCs w:val="20"/>
              </w:rPr>
            </w:pPr>
            <w:r w:rsidRPr="00D178DD">
              <w:rPr>
                <w:rFonts w:cs="Sylfaen"/>
                <w:sz w:val="20"/>
                <w:szCs w:val="20"/>
              </w:rPr>
              <w:t>Ապրանքների և ծառայությունների հաշվեկշիռ</w:t>
            </w:r>
          </w:p>
        </w:tc>
        <w:tc>
          <w:tcPr>
            <w:tcW w:w="1191" w:type="dxa"/>
          </w:tcPr>
          <w:p w:rsidR="00D178DD" w:rsidRPr="00D178DD" w:rsidRDefault="00D178DD" w:rsidP="00D178DD">
            <w:pPr>
              <w:spacing w:before="0" w:line="276" w:lineRule="auto"/>
              <w:ind w:firstLine="0"/>
              <w:jc w:val="center"/>
              <w:rPr>
                <w:color w:val="000000"/>
                <w:sz w:val="20"/>
                <w:szCs w:val="20"/>
              </w:rPr>
            </w:pPr>
            <w:r w:rsidRPr="00D178DD">
              <w:t>-1,809.0</w:t>
            </w:r>
          </w:p>
        </w:tc>
        <w:tc>
          <w:tcPr>
            <w:tcW w:w="1134" w:type="dxa"/>
          </w:tcPr>
          <w:p w:rsidR="00D178DD" w:rsidRPr="00D178DD" w:rsidRDefault="00D178DD" w:rsidP="00D178DD">
            <w:pPr>
              <w:spacing w:before="0" w:line="276" w:lineRule="auto"/>
              <w:ind w:firstLine="0"/>
              <w:jc w:val="center"/>
              <w:rPr>
                <w:color w:val="000000"/>
                <w:sz w:val="20"/>
                <w:szCs w:val="20"/>
              </w:rPr>
            </w:pPr>
            <w:r w:rsidRPr="00D178DD">
              <w:t>-1,264.1</w:t>
            </w:r>
          </w:p>
        </w:tc>
        <w:tc>
          <w:tcPr>
            <w:tcW w:w="1153" w:type="dxa"/>
          </w:tcPr>
          <w:p w:rsidR="00D178DD" w:rsidRPr="00D178DD" w:rsidRDefault="00D178DD" w:rsidP="00D178DD">
            <w:pPr>
              <w:spacing w:before="0" w:line="276" w:lineRule="auto"/>
              <w:ind w:firstLine="0"/>
              <w:jc w:val="center"/>
              <w:rPr>
                <w:color w:val="000000"/>
                <w:sz w:val="20"/>
                <w:szCs w:val="20"/>
              </w:rPr>
            </w:pPr>
            <w:r w:rsidRPr="00D178DD">
              <w:t>-1,107.9</w:t>
            </w:r>
          </w:p>
        </w:tc>
        <w:tc>
          <w:tcPr>
            <w:tcW w:w="1134"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-1,113.0</w:t>
            </w:r>
          </w:p>
        </w:tc>
        <w:tc>
          <w:tcPr>
            <w:tcW w:w="1281"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-1,272.5</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Արտահանում</w:t>
            </w:r>
          </w:p>
        </w:tc>
        <w:tc>
          <w:tcPr>
            <w:tcW w:w="0" w:type="dxa"/>
          </w:tcPr>
          <w:p w:rsidR="00D178DD" w:rsidRPr="00D178DD" w:rsidRDefault="00D178DD" w:rsidP="00D178DD">
            <w:pPr>
              <w:spacing w:before="0" w:line="276" w:lineRule="auto"/>
              <w:ind w:firstLine="0"/>
              <w:jc w:val="center"/>
              <w:rPr>
                <w:color w:val="000000"/>
                <w:sz w:val="20"/>
                <w:szCs w:val="20"/>
              </w:rPr>
            </w:pPr>
            <w:r w:rsidRPr="00D178DD">
              <w:t>5,794.4</w:t>
            </w:r>
          </w:p>
        </w:tc>
        <w:tc>
          <w:tcPr>
            <w:tcW w:w="0" w:type="dxa"/>
          </w:tcPr>
          <w:p w:rsidR="00D178DD" w:rsidRPr="00D178DD" w:rsidRDefault="00D178DD" w:rsidP="00D178DD">
            <w:pPr>
              <w:spacing w:before="0" w:line="276" w:lineRule="auto"/>
              <w:ind w:firstLine="0"/>
              <w:jc w:val="center"/>
              <w:rPr>
                <w:color w:val="000000"/>
                <w:sz w:val="20"/>
                <w:szCs w:val="20"/>
              </w:rPr>
            </w:pPr>
            <w:r w:rsidRPr="00D178DD">
              <w:t>3,818.2</w:t>
            </w:r>
          </w:p>
        </w:tc>
        <w:tc>
          <w:tcPr>
            <w:tcW w:w="0" w:type="dxa"/>
          </w:tcPr>
          <w:p w:rsidR="00D178DD" w:rsidRPr="00D178DD" w:rsidRDefault="00D178DD" w:rsidP="00D178DD">
            <w:pPr>
              <w:spacing w:before="0" w:line="276" w:lineRule="auto"/>
              <w:ind w:firstLine="0"/>
              <w:jc w:val="center"/>
              <w:rPr>
                <w:color w:val="000000"/>
                <w:sz w:val="20"/>
                <w:szCs w:val="20"/>
              </w:rPr>
            </w:pPr>
            <w:r w:rsidRPr="00D178DD">
              <w:t>5,011.9</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7,682.8</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8,784.1</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Փոփոխություն, %</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17.6</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-34.1</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31.3</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53.3</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14.3</w:t>
            </w:r>
          </w:p>
        </w:tc>
      </w:tr>
      <w:tr w:rsidR="00D178DD" w:rsidRPr="00D178DD" w:rsidTr="004B2286">
        <w:trPr>
          <w:trHeight w:val="335"/>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Ներմուծում</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7,603.4</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5,082.3</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6,119.7</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8,795.8</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10,056.6</w:t>
            </w:r>
          </w:p>
        </w:tc>
      </w:tr>
      <w:tr w:rsidR="00D178DD" w:rsidRPr="00D178DD" w:rsidTr="004B2286">
        <w:trPr>
          <w:trHeight w:val="258"/>
        </w:trPr>
        <w:tc>
          <w:tcPr>
            <w:tcW w:w="0" w:type="dxa"/>
            <w:shd w:val="clear" w:color="auto" w:fill="auto"/>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Փոփոխություն, %</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13.8</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-33.2</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20.4</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43.7</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14.3</w:t>
            </w:r>
          </w:p>
        </w:tc>
      </w:tr>
      <w:tr w:rsidR="00D178DD" w:rsidRPr="00D178DD" w:rsidTr="004B2286">
        <w:trPr>
          <w:trHeight w:val="258"/>
        </w:trPr>
        <w:tc>
          <w:tcPr>
            <w:tcW w:w="0" w:type="dxa"/>
            <w:shd w:val="clear" w:color="auto" w:fill="auto"/>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Դրամական փոխանցումներ</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1,162.5</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1,046.2</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1,243.1</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1,324.1</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1,371.2</w:t>
            </w:r>
          </w:p>
        </w:tc>
      </w:tr>
      <w:tr w:rsidR="00D178DD" w:rsidRPr="00D178DD" w:rsidTr="004B2286">
        <w:trPr>
          <w:trHeight w:val="177"/>
        </w:trPr>
        <w:tc>
          <w:tcPr>
            <w:tcW w:w="9488" w:type="dxa"/>
            <w:gridSpan w:val="6"/>
            <w:shd w:val="clear" w:color="auto" w:fill="auto"/>
            <w:noWrap/>
            <w:vAlign w:val="center"/>
          </w:tcPr>
          <w:p w:rsidR="00D178DD" w:rsidRPr="00D178DD" w:rsidRDefault="00D178DD" w:rsidP="00D178DD">
            <w:pPr>
              <w:spacing w:before="0" w:line="276" w:lineRule="auto"/>
              <w:jc w:val="center"/>
              <w:rPr>
                <w:sz w:val="20"/>
                <w:szCs w:val="20"/>
              </w:rPr>
            </w:pPr>
            <w:r w:rsidRPr="00D178DD">
              <w:rPr>
                <w:rFonts w:cs="Sylfaen"/>
                <w:sz w:val="20"/>
                <w:szCs w:val="20"/>
                <w:u w:val="single"/>
              </w:rPr>
              <w:t>ՀՆԱ-ի նկատմամբ %</w:t>
            </w:r>
          </w:p>
        </w:tc>
      </w:tr>
      <w:tr w:rsidR="00D178DD" w:rsidRPr="00D178DD" w:rsidTr="004B2286">
        <w:trPr>
          <w:trHeight w:val="258"/>
        </w:trPr>
        <w:tc>
          <w:tcPr>
            <w:tcW w:w="0" w:type="dxa"/>
            <w:shd w:val="clear" w:color="auto" w:fill="auto"/>
            <w:noWrap/>
          </w:tcPr>
          <w:p w:rsidR="00D178DD" w:rsidRPr="00D178DD" w:rsidRDefault="00D178DD" w:rsidP="00D178DD">
            <w:pPr>
              <w:spacing w:before="0" w:line="276" w:lineRule="auto"/>
              <w:ind w:firstLine="0"/>
              <w:rPr>
                <w:rFonts w:cs="Sylfaen"/>
                <w:sz w:val="20"/>
                <w:szCs w:val="20"/>
              </w:rPr>
            </w:pPr>
            <w:r w:rsidRPr="00D178DD">
              <w:rPr>
                <w:rFonts w:cs="Sylfaen"/>
                <w:sz w:val="20"/>
                <w:szCs w:val="20"/>
              </w:rPr>
              <w:t xml:space="preserve">Ընթացիկ հաշիվ </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-7.3</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-3.8</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-3.7</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-4.2</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-5.7</w:t>
            </w:r>
          </w:p>
        </w:tc>
      </w:tr>
      <w:tr w:rsidR="00D178DD" w:rsidRPr="00D178DD" w:rsidTr="004B2286">
        <w:trPr>
          <w:trHeight w:val="258"/>
        </w:trPr>
        <w:tc>
          <w:tcPr>
            <w:tcW w:w="0" w:type="dxa"/>
            <w:shd w:val="clear" w:color="auto" w:fill="auto"/>
            <w:noWrap/>
          </w:tcPr>
          <w:p w:rsidR="00D178DD" w:rsidRPr="00D178DD" w:rsidRDefault="00D178DD" w:rsidP="00D178DD">
            <w:pPr>
              <w:spacing w:before="0" w:line="276" w:lineRule="auto"/>
              <w:ind w:firstLine="0"/>
              <w:jc w:val="left"/>
              <w:rPr>
                <w:rFonts w:cs="Sylfaen"/>
                <w:sz w:val="20"/>
                <w:szCs w:val="20"/>
                <w:u w:val="single"/>
              </w:rPr>
            </w:pPr>
            <w:r w:rsidRPr="00D178DD">
              <w:rPr>
                <w:rFonts w:cs="Sylfaen"/>
                <w:sz w:val="20"/>
                <w:szCs w:val="20"/>
              </w:rPr>
              <w:t>Ապրանքների և ծառայությունների հաշվեկշիռ</w:t>
            </w:r>
          </w:p>
        </w:tc>
        <w:tc>
          <w:tcPr>
            <w:tcW w:w="0" w:type="dxa"/>
            <w:shd w:val="clear" w:color="auto" w:fill="auto"/>
            <w:vAlign w:val="center"/>
          </w:tcPr>
          <w:p w:rsidR="00D178DD" w:rsidRPr="00D178DD" w:rsidRDefault="00D178DD" w:rsidP="00D178DD">
            <w:pPr>
              <w:spacing w:before="0" w:line="276" w:lineRule="auto"/>
              <w:ind w:firstLine="0"/>
              <w:jc w:val="center"/>
              <w:rPr>
                <w:color w:val="000000"/>
                <w:sz w:val="20"/>
                <w:szCs w:val="20"/>
              </w:rPr>
            </w:pPr>
            <w:r w:rsidRPr="00D178DD">
              <w:t>-13.3</w:t>
            </w:r>
          </w:p>
        </w:tc>
        <w:tc>
          <w:tcPr>
            <w:tcW w:w="0" w:type="dxa"/>
            <w:shd w:val="clear" w:color="auto" w:fill="auto"/>
            <w:vAlign w:val="center"/>
          </w:tcPr>
          <w:p w:rsidR="00D178DD" w:rsidRPr="00D178DD" w:rsidRDefault="00D178DD" w:rsidP="00D178DD">
            <w:pPr>
              <w:spacing w:before="0" w:line="276" w:lineRule="auto"/>
              <w:ind w:firstLine="0"/>
              <w:jc w:val="center"/>
              <w:rPr>
                <w:color w:val="000000"/>
                <w:sz w:val="20"/>
                <w:szCs w:val="20"/>
              </w:rPr>
            </w:pPr>
            <w:r w:rsidRPr="00D178DD">
              <w:t>-10.0</w:t>
            </w:r>
          </w:p>
        </w:tc>
        <w:tc>
          <w:tcPr>
            <w:tcW w:w="0" w:type="dxa"/>
            <w:shd w:val="clear" w:color="auto" w:fill="auto"/>
            <w:vAlign w:val="center"/>
          </w:tcPr>
          <w:p w:rsidR="00D178DD" w:rsidRPr="00D178DD" w:rsidRDefault="00D178DD" w:rsidP="00D178DD">
            <w:pPr>
              <w:spacing w:before="0" w:line="276" w:lineRule="auto"/>
              <w:ind w:firstLine="0"/>
              <w:jc w:val="center"/>
              <w:rPr>
                <w:color w:val="000000"/>
                <w:sz w:val="20"/>
                <w:szCs w:val="20"/>
              </w:rPr>
            </w:pPr>
            <w:r w:rsidRPr="00D178DD">
              <w:t>-8.0</w:t>
            </w:r>
          </w:p>
        </w:tc>
        <w:tc>
          <w:tcPr>
            <w:tcW w:w="0" w:type="dxa"/>
            <w:shd w:val="clear" w:color="auto" w:fill="D9E2F3"/>
            <w:vAlign w:val="center"/>
          </w:tcPr>
          <w:p w:rsidR="00D178DD" w:rsidRPr="00D178DD" w:rsidRDefault="00D178DD" w:rsidP="00D178DD">
            <w:pPr>
              <w:spacing w:before="0" w:line="276" w:lineRule="auto"/>
              <w:ind w:firstLine="0"/>
              <w:jc w:val="center"/>
              <w:rPr>
                <w:color w:val="000000"/>
                <w:sz w:val="20"/>
                <w:szCs w:val="20"/>
              </w:rPr>
            </w:pPr>
            <w:r w:rsidRPr="00D178DD">
              <w:t>-6.0</w:t>
            </w:r>
          </w:p>
        </w:tc>
        <w:tc>
          <w:tcPr>
            <w:tcW w:w="0" w:type="dxa"/>
            <w:shd w:val="clear" w:color="auto" w:fill="D9E2F3"/>
            <w:vAlign w:val="center"/>
          </w:tcPr>
          <w:p w:rsidR="00D178DD" w:rsidRPr="00D178DD" w:rsidRDefault="00D178DD" w:rsidP="00D178DD">
            <w:pPr>
              <w:spacing w:before="0" w:line="276" w:lineRule="auto"/>
              <w:ind w:firstLine="0"/>
              <w:jc w:val="center"/>
              <w:rPr>
                <w:color w:val="000000"/>
                <w:sz w:val="20"/>
                <w:szCs w:val="20"/>
              </w:rPr>
            </w:pPr>
            <w:r w:rsidRPr="00D178DD">
              <w:t>-6.0</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Արտահանում</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42.5</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30.2</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36.2</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41.7</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41.1</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lastRenderedPageBreak/>
              <w:t>Ներմուծում</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55.8</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40.2</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44.1</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47.8</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47.1</w:t>
            </w:r>
          </w:p>
        </w:tc>
      </w:tr>
      <w:tr w:rsidR="00D178DD" w:rsidRPr="00D178DD" w:rsidTr="004B2286">
        <w:trPr>
          <w:trHeight w:val="258"/>
        </w:trPr>
        <w:tc>
          <w:tcPr>
            <w:tcW w:w="0" w:type="dxa"/>
            <w:shd w:val="clear" w:color="auto" w:fill="auto"/>
          </w:tcPr>
          <w:p w:rsidR="00D178DD" w:rsidRPr="00D178DD" w:rsidRDefault="00D178DD" w:rsidP="00D178DD">
            <w:pPr>
              <w:spacing w:before="0" w:line="276" w:lineRule="auto"/>
              <w:ind w:firstLine="0"/>
              <w:rPr>
                <w:rFonts w:cs="Sylfaen"/>
                <w:sz w:val="20"/>
                <w:szCs w:val="20"/>
              </w:rPr>
            </w:pPr>
            <w:r w:rsidRPr="00D178DD">
              <w:rPr>
                <w:rFonts w:cs="Sylfaen"/>
                <w:sz w:val="20"/>
                <w:szCs w:val="20"/>
              </w:rPr>
              <w:t>Դրամական փոխանցումներ</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8.5</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8.3</w:t>
            </w:r>
          </w:p>
        </w:tc>
        <w:tc>
          <w:tcPr>
            <w:tcW w:w="0" w:type="dxa"/>
            <w:shd w:val="clear" w:color="auto" w:fill="auto"/>
          </w:tcPr>
          <w:p w:rsidR="00D178DD" w:rsidRPr="00D178DD" w:rsidRDefault="00D178DD" w:rsidP="00D178DD">
            <w:pPr>
              <w:spacing w:before="0" w:line="276" w:lineRule="auto"/>
              <w:ind w:firstLine="0"/>
              <w:jc w:val="center"/>
              <w:rPr>
                <w:color w:val="000000"/>
                <w:sz w:val="20"/>
                <w:szCs w:val="20"/>
              </w:rPr>
            </w:pPr>
            <w:r w:rsidRPr="00D178DD">
              <w:t>9.0</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7.2</w:t>
            </w:r>
          </w:p>
        </w:tc>
        <w:tc>
          <w:tcPr>
            <w:tcW w:w="0" w:type="dxa"/>
            <w:shd w:val="clear" w:color="auto" w:fill="D9E2F3"/>
          </w:tcPr>
          <w:p w:rsidR="00D178DD" w:rsidRPr="00D178DD" w:rsidRDefault="00D178DD" w:rsidP="00D178DD">
            <w:pPr>
              <w:spacing w:before="0" w:line="276" w:lineRule="auto"/>
              <w:ind w:firstLine="0"/>
              <w:jc w:val="center"/>
              <w:rPr>
                <w:color w:val="000000"/>
                <w:sz w:val="20"/>
                <w:szCs w:val="20"/>
              </w:rPr>
            </w:pPr>
            <w:r w:rsidRPr="00D178DD">
              <w:t>6.4</w:t>
            </w:r>
          </w:p>
        </w:tc>
      </w:tr>
    </w:tbl>
    <w:p w:rsidR="00D178DD" w:rsidRPr="00D178DD" w:rsidRDefault="00D178DD" w:rsidP="00D178DD">
      <w:pPr>
        <w:keepNext/>
        <w:keepLines/>
        <w:spacing w:before="0" w:after="240" w:line="276" w:lineRule="auto"/>
        <w:outlineLvl w:val="2"/>
        <w:rPr>
          <w:bCs/>
          <w:sz w:val="24"/>
          <w:lang w:val="hy-AM"/>
        </w:rPr>
      </w:pPr>
      <w:bookmarkStart w:id="24" w:name="_Toc51947413"/>
      <w:bookmarkStart w:id="25" w:name="_Toc52452086"/>
      <w:bookmarkStart w:id="26" w:name="_Toc57559413"/>
      <w:bookmarkStart w:id="27" w:name="_Toc83663895"/>
      <w:bookmarkStart w:id="28" w:name="_Toc83972831"/>
      <w:bookmarkStart w:id="29" w:name="_Toc115686017"/>
      <w:bookmarkStart w:id="30" w:name="_Toc120805191"/>
      <w:bookmarkStart w:id="31" w:name="_Toc165901403"/>
      <w:r w:rsidRPr="00D178DD">
        <w:rPr>
          <w:bCs/>
          <w:sz w:val="24"/>
          <w:lang w:val="hy-AM"/>
        </w:rPr>
        <w:t>1.2. ՀԱՄԱՇԽԱՐՀԱՅԻՆ ՏՆՏԵՍՈՒԹՅԱՆ ԵՎ ԳՈՐԾԸՆԿԵՐ ԵՐԿՐՆԵՐԻ ԶԱՐԳԱՑՈՒՄՆԵՐ ԵՎ ԿԱՆԽԱՏԵՍՈՒՄՆԵՐ</w:t>
      </w:r>
      <w:bookmarkEnd w:id="24"/>
      <w:bookmarkEnd w:id="25"/>
      <w:bookmarkEnd w:id="26"/>
      <w:bookmarkEnd w:id="27"/>
      <w:bookmarkEnd w:id="28"/>
      <w:bookmarkEnd w:id="29"/>
      <w:bookmarkEnd w:id="30"/>
      <w:bookmarkEnd w:id="31"/>
    </w:p>
    <w:p w:rsidR="00D178DD" w:rsidRPr="00D178DD" w:rsidRDefault="00D178DD" w:rsidP="00D178DD">
      <w:pPr>
        <w:spacing w:before="0" w:line="276" w:lineRule="auto"/>
        <w:rPr>
          <w:rFonts w:eastAsia="Calibri"/>
          <w:bCs/>
          <w:lang w:val="hy-AM"/>
        </w:rPr>
      </w:pPr>
    </w:p>
    <w:p w:rsidR="00D178DD" w:rsidRPr="00D178DD" w:rsidRDefault="00D178DD" w:rsidP="00D178DD">
      <w:pPr>
        <w:spacing w:before="0" w:line="276" w:lineRule="auto"/>
        <w:rPr>
          <w:rFonts w:eastAsia="Calibri"/>
          <w:b w:val="0"/>
          <w:lang w:val="hy-AM"/>
        </w:rPr>
      </w:pPr>
      <w:r w:rsidRPr="00D178DD">
        <w:rPr>
          <w:rFonts w:eastAsia="Calibri"/>
          <w:bCs/>
          <w:lang w:val="hy-AM"/>
        </w:rPr>
        <w:t>Համաշխարհային տնտեսությունը կորոնավիրուսի համավարակի (COVID-19) հետևանքով առաջացած խորը անկումից հետո 2021թ. սկսել էր արագ վերականգնվել:</w:t>
      </w:r>
      <w:r w:rsidRPr="00D178DD">
        <w:rPr>
          <w:rFonts w:eastAsia="Calibri"/>
          <w:lang w:val="hy-AM"/>
        </w:rPr>
        <w:t xml:space="preserve"> </w:t>
      </w:r>
      <w:r w:rsidRPr="00D178DD">
        <w:rPr>
          <w:rFonts w:eastAsia="Calibri"/>
          <w:b w:val="0"/>
          <w:lang w:val="hy-AM"/>
        </w:rPr>
        <w:t>Կիրառված հարկաբյուջետային և դրամավարկային աննախադեպ խթանող միջոցառումների, ինչպես նաև պատվաստումների ակտիվ քաղաքականության հետևանքով 2021թ. ինչպես համաշխարհային տնտեսությունը, այնպես էլ հիմնական գործընկեր երկրների տնտեսությունները զգալի աճեր են գրանցել:  Արժույթի միջազգային հիմնադրամի (ԱՄՀ) գնահատականներով 2021թ. համաշխարհային տնտեսական աճը կազմել է 6.1%, իսկ ՀՀ հիմնական գործընկեր երկրներից ՌԴ-ում գրանցվել է 4.7% աճ, Եվրոգոտում 5.4%, ԱՄՆ-ում 5.7% և Չինաստանում՝ 8.1% աճ:</w:t>
      </w:r>
    </w:p>
    <w:p w:rsidR="00D178DD" w:rsidRPr="00D178DD" w:rsidRDefault="00D178DD" w:rsidP="00D178DD">
      <w:pPr>
        <w:spacing w:before="0" w:line="276" w:lineRule="auto"/>
        <w:rPr>
          <w:lang w:val="hy-AM"/>
        </w:rPr>
      </w:pPr>
      <w:r w:rsidRPr="00D178DD">
        <w:rPr>
          <w:rFonts w:cs="Courier New"/>
          <w:lang w:val="hy-AM"/>
        </w:rPr>
        <w:t>Չնայած 2022թ. առաջին եռամսյակում ՀՀ բոլոր հիմնական գործընկեր երկրներում գրանցվել է տնտեսական աճ, սակայն փետրվարի վերջին մեկնարկած ռուս-ուկրաինական հակամարտության և ՌԴ նկատմամբ կիրառվող աննախադեպ պատժամիջոցների կիրառման հետևանքով տնտեսական աճի տեմպերը սկսել են դանդաղել:</w:t>
      </w:r>
      <w:r w:rsidRPr="00D178DD">
        <w:rPr>
          <w:lang w:val="hy-AM"/>
        </w:rPr>
        <w:t xml:space="preserve"> </w:t>
      </w:r>
      <w:r w:rsidRPr="00D178DD">
        <w:rPr>
          <w:b w:val="0"/>
          <w:lang w:val="hy-AM"/>
        </w:rPr>
        <w:t>2022 թվականի առաջին կիսամյակում նախորդ տարվա համապատասխան ժամանակահատվածի նկատմամբ ԱՄՆ տնտեսությունը գրանցել է 2.6% աճ, ընդ որում՝ երկրորդ եռամսյակում արձանագրվել է 1.6% աճ, Եվրոգոտու տնտեսությունն աճել է 4.7%-ով  (երկրորդ եռամսյակում` 4%), իսկ Չինաստանում գրանցվել է 2.6% տնտեսական աճ (երկրորդ եռամսյակում` 0.4%): Ռուսաստանի տնտեսությունը 2022 թվականի առաջին կիսամյակում նախորդ տարվա նույն ժամանակահատվածի նկատմամբ 0.5% նվազում է գրանցել, ընդ որում՝ երկրորդ եռամսյակում տնտեսական անկումներ են գրանցվել։ Այսպես՝ Ռուսաստանի տնտեսական ակտիվությունը մինչև մարտ գրանցած աճի տեմպերի դանդաղումից հետո ապրիլին նախորդ տարվա ապրիլի նկատմամբ նվազել է 2</w:t>
      </w:r>
      <w:r w:rsidRPr="00D178DD">
        <w:rPr>
          <w:rFonts w:ascii="Cambria Math" w:hAnsi="Cambria Math" w:cs="Cambria Math"/>
          <w:b w:val="0"/>
          <w:lang w:val="hy-AM"/>
        </w:rPr>
        <w:t>․</w:t>
      </w:r>
      <w:r w:rsidRPr="00D178DD">
        <w:rPr>
          <w:b w:val="0"/>
          <w:lang w:val="hy-AM"/>
        </w:rPr>
        <w:t>8%-</w:t>
      </w:r>
      <w:r w:rsidRPr="00D178DD">
        <w:rPr>
          <w:rFonts w:cs="GHEA Grapalat"/>
          <w:b w:val="0"/>
          <w:lang w:val="hy-AM"/>
        </w:rPr>
        <w:t>ով</w:t>
      </w:r>
      <w:r w:rsidRPr="00D178DD">
        <w:rPr>
          <w:b w:val="0"/>
          <w:lang w:val="hy-AM"/>
        </w:rPr>
        <w:t xml:space="preserve">, </w:t>
      </w:r>
      <w:r w:rsidRPr="00D178DD">
        <w:rPr>
          <w:rFonts w:cs="GHEA Grapalat"/>
          <w:b w:val="0"/>
          <w:lang w:val="hy-AM"/>
        </w:rPr>
        <w:t>մայիսին՝</w:t>
      </w:r>
      <w:r w:rsidRPr="00D178DD">
        <w:rPr>
          <w:b w:val="0"/>
          <w:lang w:val="hy-AM"/>
        </w:rPr>
        <w:t xml:space="preserve"> 4.3%-</w:t>
      </w:r>
      <w:r w:rsidRPr="00D178DD">
        <w:rPr>
          <w:rFonts w:cs="GHEA Grapalat"/>
          <w:b w:val="0"/>
          <w:lang w:val="hy-AM"/>
        </w:rPr>
        <w:t>ով</w:t>
      </w:r>
      <w:r w:rsidRPr="00D178DD">
        <w:rPr>
          <w:b w:val="0"/>
          <w:lang w:val="hy-AM"/>
        </w:rPr>
        <w:t xml:space="preserve">, </w:t>
      </w:r>
      <w:r w:rsidRPr="00D178DD">
        <w:rPr>
          <w:rFonts w:cs="GHEA Grapalat"/>
          <w:b w:val="0"/>
          <w:lang w:val="hy-AM"/>
        </w:rPr>
        <w:t>ի</w:t>
      </w:r>
      <w:r w:rsidRPr="00D178DD">
        <w:rPr>
          <w:b w:val="0"/>
          <w:lang w:val="hy-AM"/>
        </w:rPr>
        <w:t>սկ հունիսին՝ 4.9%-ով։</w:t>
      </w:r>
    </w:p>
    <w:p w:rsidR="00D178DD" w:rsidRPr="00D178DD" w:rsidRDefault="00D178DD" w:rsidP="00D178DD">
      <w:pPr>
        <w:spacing w:before="0" w:line="276" w:lineRule="auto"/>
        <w:rPr>
          <w:rFonts w:cs="Sylfaen"/>
          <w:b w:val="0"/>
          <w:szCs w:val="22"/>
          <w:lang w:val="hy-AM"/>
        </w:rPr>
      </w:pPr>
      <w:r w:rsidRPr="00D178DD">
        <w:rPr>
          <w:rFonts w:cs="Courier New"/>
          <w:lang w:val="hy-AM"/>
        </w:rPr>
        <w:t>Կանխատեսում:</w:t>
      </w:r>
      <w:r w:rsidRPr="00D178DD">
        <w:rPr>
          <w:rFonts w:cs="Courier New"/>
          <w:b w:val="0"/>
          <w:lang w:val="hy-AM"/>
        </w:rPr>
        <w:t xml:space="preserve"> </w:t>
      </w:r>
      <w:r w:rsidRPr="00D178DD">
        <w:rPr>
          <w:rFonts w:cs="Courier New"/>
          <w:lang w:val="hy-AM"/>
        </w:rPr>
        <w:t>ԱՄՀ հուլիս ամսվա կանխատեսումների համաձայն 2022թ. համաշխարհային տնտեսական աճը կդանդաղի՝ կազմելով 3.2%: 2022թ. ՀՀ հիմնական գործընկեր երկրների տնտեսություններում տեղի կունենան տնտեսական աճի էական դանդաղումներ՝ պայմանավորված ռուս-ուկրաինական հակամարտությամբ, համաշխարհային արժեշղթաների խաթարումներով,  պարենային և հումքային ապրանքների միջազգային գների բարձրացմամբ, դրանց հետևանքով առաջացած բարձր գնաճերին հակազդող աննախադեպ զսպող դրամավարկային քաղաքականություններով ու համաշխարհային ֆինանսական պայմանների խստացմամբ, ինչպես նաև Չինաստանում համավարակի տարածման դեմ կիրառվող սահմանափակող միջոցառումներով:</w:t>
      </w:r>
      <w:r w:rsidRPr="00D178DD">
        <w:rPr>
          <w:rFonts w:cs="Courier New"/>
          <w:b w:val="0"/>
          <w:lang w:val="hy-AM"/>
        </w:rPr>
        <w:t xml:space="preserve"> ՀՀ ամենամեծ առևտևրատնտեսական գործընկեր ՌԴ-ում 2022թ. կանխատեսվում է 6% անկում, որը պայմանավորված է հակամարտության արդյունքում հիմնականում արևմյան երկրների կողմից կիրառվող աննախադեպ լայնածավալ պատժամիջոցների կիրառմամբ: 2022թ. Եվրոգոտում կանխատեսվում է տնտեսական աճի դանդաղում (2.6%), որը հիմնականում պայմանավորված է ռուս-ուկրաինական հակամարտության հետևանքով ՌԴ նկատմամբ կիրառվող պատժամիջացների արդյունքում Եվրոգոտում առևտրային պայմանների (հիմնականում նավթի և գազի գների աճի հետևանքով) կտրուկ վատացմամբ: ԱՄՆ-ում և  Չինաստանում 2022թ. </w:t>
      </w:r>
      <w:r w:rsidRPr="00D178DD">
        <w:rPr>
          <w:rFonts w:cs="Courier New"/>
          <w:b w:val="0"/>
          <w:lang w:val="hy-AM"/>
        </w:rPr>
        <w:lastRenderedPageBreak/>
        <w:t xml:space="preserve">տնտեսական աճերը կկազմեն համապատասախանաբար 2.3% և 3.3%, որոնցից առաջինի դանդաղումը նախորդ կանխատեսումների համեմատ հիմնականում կպայմանավորվի բարձր գնաճով և դրան հակազդող զսպող դրամավարկային քաղաքականությանբ, իսկ երկրորդինը՝ համավարակի տարածման դեմ կիրառվող սահմանափակումներով: Այս զարգացումների հետևանքով </w:t>
      </w:r>
      <w:r w:rsidRPr="00D178DD">
        <w:rPr>
          <w:rFonts w:cs="Sylfaen"/>
          <w:b w:val="0"/>
          <w:szCs w:val="22"/>
          <w:lang w:val="hy-AM"/>
        </w:rPr>
        <w:t>բոլոր գործընկեր երկրներում 2023թ.</w:t>
      </w:r>
      <w:r w:rsidRPr="00D178DD">
        <w:rPr>
          <w:rFonts w:eastAsia="Calibri"/>
          <w:b w:val="0"/>
          <w:lang w:val="hy-AM"/>
        </w:rPr>
        <w:t xml:space="preserve"> </w:t>
      </w:r>
      <w:r w:rsidRPr="00D178DD">
        <w:rPr>
          <w:rFonts w:cs="Sylfaen"/>
          <w:b w:val="0"/>
          <w:szCs w:val="22"/>
          <w:lang w:val="hy-AM"/>
        </w:rPr>
        <w:t xml:space="preserve">կանխատեսվում է  տնտեսական աճերի դանդաղում, իսկ ՌԴ-ում շարունակելու է տնտեսական անկման միտումը: </w:t>
      </w:r>
    </w:p>
    <w:p w:rsidR="00D178DD" w:rsidRPr="00D178DD" w:rsidRDefault="00D178DD" w:rsidP="00D178DD">
      <w:pPr>
        <w:spacing w:before="0" w:line="276" w:lineRule="auto"/>
        <w:rPr>
          <w:rFonts w:cs="Sylfaen"/>
          <w:b w:val="0"/>
          <w:szCs w:val="22"/>
          <w:lang w:val="hy-AM"/>
        </w:rPr>
      </w:pPr>
    </w:p>
    <w:p w:rsidR="00D178DD" w:rsidRPr="00D178DD" w:rsidRDefault="00D178DD" w:rsidP="00D178DD">
      <w:pPr>
        <w:keepNext/>
        <w:keepLines/>
        <w:spacing w:before="0" w:line="276" w:lineRule="auto"/>
        <w:rPr>
          <w:rFonts w:cs="Sylfaen"/>
          <w:b w:val="0"/>
          <w:bCs/>
          <w:i/>
          <w:color w:val="000000"/>
          <w:szCs w:val="22"/>
          <w:lang w:val="hy-AM"/>
        </w:rPr>
      </w:pPr>
      <w:r w:rsidRPr="00D178DD">
        <w:rPr>
          <w:rFonts w:cs="Sylfaen"/>
          <w:bCs/>
          <w:i/>
          <w:color w:val="000000"/>
          <w:szCs w:val="22"/>
          <w:lang w:val="hy-AM"/>
        </w:rPr>
        <w:t xml:space="preserve">Աղյուսակ 1.2. </w:t>
      </w:r>
      <w:r w:rsidRPr="00D178DD">
        <w:rPr>
          <w:rFonts w:cs="Sylfaen"/>
          <w:b w:val="0"/>
          <w:bCs/>
          <w:i/>
          <w:color w:val="000000"/>
          <w:szCs w:val="22"/>
          <w:lang w:val="hy-AM"/>
        </w:rPr>
        <w:t>ԱՄՀ կանխատեսումներ</w:t>
      </w:r>
    </w:p>
    <w:tbl>
      <w:tblPr>
        <w:tblpPr w:leftFromText="180" w:rightFromText="180" w:bottomFromText="160" w:vertAnchor="text" w:horzAnchor="margin" w:tblpY="40"/>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050"/>
        <w:gridCol w:w="829"/>
        <w:gridCol w:w="1243"/>
        <w:gridCol w:w="1020"/>
        <w:gridCol w:w="1014"/>
        <w:gridCol w:w="1237"/>
        <w:gridCol w:w="1152"/>
        <w:gridCol w:w="1201"/>
      </w:tblGrid>
      <w:tr w:rsidR="00D178DD" w:rsidRPr="00D178DD" w:rsidTr="004B2286">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rsidR="00D178DD" w:rsidRPr="00D178DD" w:rsidRDefault="00D178DD" w:rsidP="00D178DD">
            <w:pPr>
              <w:spacing w:before="0" w:line="276" w:lineRule="auto"/>
              <w:jc w:val="center"/>
              <w:rPr>
                <w:rFonts w:eastAsia="Calibri" w:cs="Sylfaen"/>
                <w:b w:val="0"/>
                <w:bCs/>
                <w:color w:val="FFFFFF" w:themeColor="background1"/>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rsidR="00D178DD" w:rsidRPr="00D178DD" w:rsidRDefault="00D178DD" w:rsidP="00D178DD">
            <w:pPr>
              <w:spacing w:before="0" w:line="276" w:lineRule="auto"/>
              <w:ind w:right="-14" w:firstLine="0"/>
              <w:jc w:val="center"/>
              <w:rPr>
                <w:rFonts w:eastAsia="Calibri"/>
                <w:bCs/>
                <w:color w:val="FFFFFF" w:themeColor="background1"/>
                <w:sz w:val="20"/>
                <w:szCs w:val="20"/>
                <w:lang w:val="hy-AM"/>
              </w:rPr>
            </w:pPr>
            <w:r w:rsidRPr="00D178DD">
              <w:rPr>
                <w:rFonts w:eastAsia="Calibri"/>
                <w:bCs/>
                <w:color w:val="FFFFFF" w:themeColor="background1"/>
                <w:sz w:val="20"/>
                <w:szCs w:val="20"/>
                <w:lang w:val="hy-AM"/>
              </w:rPr>
              <w:t>2021</w:t>
            </w:r>
          </w:p>
        </w:tc>
        <w:tc>
          <w:tcPr>
            <w:tcW w:w="0" w:type="auto"/>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rsidR="00D178DD" w:rsidRPr="00D178DD" w:rsidRDefault="00D178DD" w:rsidP="00D178DD">
            <w:pPr>
              <w:spacing w:before="0" w:line="276" w:lineRule="auto"/>
              <w:ind w:right="-14" w:firstLine="0"/>
              <w:jc w:val="center"/>
              <w:rPr>
                <w:rFonts w:eastAsia="Calibri"/>
                <w:b w:val="0"/>
                <w:color w:val="FFFFFF" w:themeColor="background1"/>
                <w:sz w:val="20"/>
                <w:szCs w:val="20"/>
                <w:lang w:val="hy-AM"/>
              </w:rPr>
            </w:pPr>
            <w:r w:rsidRPr="00D178DD">
              <w:rPr>
                <w:rFonts w:eastAsia="Calibri"/>
                <w:bCs/>
                <w:color w:val="FFFFFF" w:themeColor="background1"/>
                <w:sz w:val="20"/>
                <w:szCs w:val="20"/>
                <w:lang w:val="hy-AM"/>
              </w:rPr>
              <w:t>2022թ</w:t>
            </w:r>
            <w:r w:rsidRPr="00D178DD">
              <w:rPr>
                <w:rFonts w:ascii="Cambria Math" w:eastAsia="Calibri" w:hAnsi="Cambria Math" w:cs="Cambria Math"/>
                <w:bCs/>
                <w:color w:val="FFFFFF" w:themeColor="background1"/>
                <w:sz w:val="20"/>
                <w:szCs w:val="20"/>
                <w:lang w:val="hy-AM"/>
              </w:rPr>
              <w:t>․</w:t>
            </w:r>
            <w:r w:rsidRPr="00D178DD">
              <w:rPr>
                <w:rFonts w:eastAsia="Calibri"/>
                <w:bCs/>
                <w:color w:val="FFFFFF" w:themeColor="background1"/>
                <w:sz w:val="20"/>
                <w:szCs w:val="20"/>
                <w:lang w:val="hy-AM"/>
              </w:rPr>
              <w:t>-ի կանխատեսում</w:t>
            </w:r>
          </w:p>
        </w:tc>
        <w:tc>
          <w:tcPr>
            <w:tcW w:w="3590" w:type="dxa"/>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rsidR="00D178DD" w:rsidRPr="00D178DD" w:rsidRDefault="00D178DD" w:rsidP="00D178DD">
            <w:pPr>
              <w:spacing w:before="0" w:after="200" w:line="276" w:lineRule="auto"/>
              <w:ind w:right="-14" w:firstLine="0"/>
              <w:jc w:val="center"/>
              <w:rPr>
                <w:rFonts w:eastAsia="Calibri"/>
                <w:b w:val="0"/>
                <w:color w:val="FFFFFF" w:themeColor="background1"/>
                <w:sz w:val="20"/>
                <w:szCs w:val="20"/>
                <w:lang w:val="hy-AM"/>
              </w:rPr>
            </w:pPr>
            <w:r w:rsidRPr="00D178DD">
              <w:rPr>
                <w:rFonts w:eastAsia="Calibri"/>
                <w:bCs/>
                <w:color w:val="FFFFFF" w:themeColor="background1"/>
                <w:sz w:val="20"/>
                <w:szCs w:val="20"/>
                <w:lang w:val="hy-AM"/>
              </w:rPr>
              <w:t xml:space="preserve">2023 թ.-ի </w:t>
            </w:r>
            <w:r w:rsidRPr="00D178DD">
              <w:rPr>
                <w:rFonts w:eastAsia="Calibri"/>
                <w:bCs/>
                <w:color w:val="FFFFFF" w:themeColor="background1"/>
                <w:sz w:val="20"/>
                <w:szCs w:val="20"/>
                <w:lang w:val="en-US"/>
              </w:rPr>
              <w:t xml:space="preserve">                                        </w:t>
            </w:r>
            <w:r w:rsidRPr="00D178DD">
              <w:rPr>
                <w:rFonts w:eastAsia="Calibri"/>
                <w:bCs/>
                <w:color w:val="FFFFFF" w:themeColor="background1"/>
                <w:sz w:val="20"/>
                <w:szCs w:val="20"/>
                <w:lang w:val="hy-AM"/>
              </w:rPr>
              <w:t>կանխատեսում</w:t>
            </w:r>
          </w:p>
        </w:tc>
      </w:tr>
      <w:tr w:rsidR="00D178DD" w:rsidRPr="00D178DD" w:rsidTr="004B2286">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tcPr>
          <w:p w:rsidR="00D178DD" w:rsidRPr="00D178DD" w:rsidRDefault="00D178DD" w:rsidP="00D178DD">
            <w:pPr>
              <w:spacing w:before="0" w:line="276" w:lineRule="auto"/>
              <w:jc w:val="center"/>
              <w:rPr>
                <w:rFonts w:eastAsia="Calibri" w:cs="Sylfaen"/>
                <w:b w:val="0"/>
                <w:bCs/>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Փաստ</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2022 Հունվար</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2022 Ապրիլ</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en-US"/>
              </w:rPr>
            </w:pPr>
            <w:r w:rsidRPr="00D178DD">
              <w:rPr>
                <w:rFonts w:eastAsia="Calibri"/>
                <w:b w:val="0"/>
                <w:sz w:val="20"/>
                <w:szCs w:val="20"/>
                <w:lang w:val="hy-AM"/>
              </w:rPr>
              <w:t>202</w:t>
            </w:r>
            <w:r w:rsidRPr="00D178DD">
              <w:rPr>
                <w:rFonts w:eastAsia="Calibri"/>
                <w:b w:val="0"/>
                <w:sz w:val="20"/>
                <w:szCs w:val="20"/>
                <w:lang w:val="en-US"/>
              </w:rPr>
              <w:t>2</w:t>
            </w:r>
            <w:r w:rsidRPr="00D178DD">
              <w:rPr>
                <w:rFonts w:eastAsia="Calibri"/>
                <w:b w:val="0"/>
                <w:sz w:val="20"/>
                <w:szCs w:val="20"/>
                <w:lang w:val="hy-AM"/>
              </w:rPr>
              <w:t xml:space="preserve"> Հուլիս</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2023 Հունվար</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w:t>
            </w:r>
            <w:r w:rsidRPr="00D178DD">
              <w:rPr>
                <w:rFonts w:eastAsia="Calibri"/>
                <w:b w:val="0"/>
                <w:sz w:val="20"/>
                <w:szCs w:val="20"/>
              </w:rPr>
              <w:t>02</w:t>
            </w:r>
            <w:r w:rsidRPr="00D178DD">
              <w:rPr>
                <w:rFonts w:eastAsia="Calibri"/>
                <w:b w:val="0"/>
                <w:sz w:val="20"/>
                <w:szCs w:val="20"/>
                <w:lang w:val="hy-AM"/>
              </w:rPr>
              <w:t>3</w:t>
            </w:r>
          </w:p>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rPr>
              <w:t>Ապրիլ</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right="-14" w:firstLine="0"/>
              <w:jc w:val="center"/>
              <w:rPr>
                <w:rFonts w:eastAsia="Calibri"/>
                <w:b w:val="0"/>
                <w:sz w:val="20"/>
                <w:szCs w:val="20"/>
              </w:rPr>
            </w:pPr>
            <w:r w:rsidRPr="00D178DD">
              <w:rPr>
                <w:rFonts w:eastAsia="Calibri"/>
                <w:b w:val="0"/>
                <w:sz w:val="20"/>
                <w:szCs w:val="20"/>
              </w:rPr>
              <w:t>2023</w:t>
            </w:r>
          </w:p>
          <w:p w:rsidR="00D178DD" w:rsidRPr="00D178DD" w:rsidRDefault="00D178DD" w:rsidP="00D178DD">
            <w:pPr>
              <w:spacing w:before="0" w:line="276" w:lineRule="auto"/>
              <w:ind w:right="-14" w:firstLine="0"/>
              <w:jc w:val="center"/>
              <w:rPr>
                <w:rFonts w:eastAsia="Calibri"/>
                <w:b w:val="0"/>
                <w:sz w:val="20"/>
                <w:szCs w:val="20"/>
              </w:rPr>
            </w:pPr>
            <w:r w:rsidRPr="00D178DD">
              <w:rPr>
                <w:rFonts w:eastAsia="Calibri"/>
                <w:b w:val="0"/>
                <w:sz w:val="20"/>
                <w:szCs w:val="20"/>
                <w:lang w:val="en-US"/>
              </w:rPr>
              <w:t xml:space="preserve"> </w:t>
            </w:r>
            <w:r w:rsidRPr="00D178DD">
              <w:rPr>
                <w:rFonts w:eastAsia="Calibri"/>
                <w:b w:val="0"/>
                <w:sz w:val="20"/>
                <w:szCs w:val="20"/>
                <w:lang w:val="hy-AM"/>
              </w:rPr>
              <w:t xml:space="preserve">   </w:t>
            </w:r>
            <w:r w:rsidRPr="00D178DD">
              <w:rPr>
                <w:rFonts w:eastAsia="Calibri"/>
                <w:b w:val="0"/>
                <w:sz w:val="20"/>
                <w:szCs w:val="20"/>
              </w:rPr>
              <w:t>Հու</w:t>
            </w:r>
            <w:r w:rsidRPr="00D178DD">
              <w:rPr>
                <w:rFonts w:eastAsia="Calibri"/>
                <w:b w:val="0"/>
                <w:sz w:val="20"/>
                <w:szCs w:val="20"/>
                <w:lang w:val="hy-AM"/>
              </w:rPr>
              <w:t>լ</w:t>
            </w:r>
            <w:r w:rsidRPr="00D178DD">
              <w:rPr>
                <w:rFonts w:eastAsia="Calibri"/>
                <w:b w:val="0"/>
                <w:sz w:val="20"/>
                <w:szCs w:val="20"/>
              </w:rPr>
              <w:t>իս</w:t>
            </w:r>
          </w:p>
        </w:tc>
      </w:tr>
      <w:tr w:rsidR="00D178DD" w:rsidRPr="00D178DD" w:rsidTr="004B2286">
        <w:trPr>
          <w:trHeight w:val="14"/>
        </w:trPr>
        <w:tc>
          <w:tcPr>
            <w:tcW w:w="0" w:type="auto"/>
            <w:tcBorders>
              <w:top w:val="single" w:sz="4" w:space="0" w:color="8EAADB"/>
              <w:left w:val="single" w:sz="4" w:space="0" w:color="8EAADB"/>
              <w:bottom w:val="single" w:sz="4" w:space="0" w:color="8EAADB"/>
              <w:right w:val="single" w:sz="4" w:space="0" w:color="8EAADB"/>
            </w:tcBorders>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Աշխարհ</w:t>
            </w:r>
            <w:r w:rsidRPr="00D178DD">
              <w:rPr>
                <w:rFonts w:eastAsia="Calibri"/>
                <w:bCs/>
                <w:color w:val="000000"/>
                <w:sz w:val="16"/>
                <w:szCs w:val="16"/>
                <w:lang w:val="hy-AM"/>
              </w:rPr>
              <w:t xml:space="preserve">ի տնտեսական աճ, </w:t>
            </w:r>
            <w:r w:rsidRPr="00D178DD">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cs="Sylfaen"/>
                <w:b w:val="0"/>
                <w:sz w:val="20"/>
                <w:szCs w:val="20"/>
                <w:lang w:val="hy-AM"/>
              </w:rPr>
            </w:pPr>
            <w:r w:rsidRPr="00D178DD">
              <w:rPr>
                <w:rFonts w:eastAsia="Calibri"/>
                <w:b w:val="0"/>
                <w:sz w:val="20"/>
                <w:szCs w:val="20"/>
                <w:lang w:val="hy-AM"/>
              </w:rPr>
              <w:t>6.1</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4.4</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3.6</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3.2</w:t>
            </w:r>
          </w:p>
        </w:tc>
        <w:tc>
          <w:tcPr>
            <w:tcW w:w="1237"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3.8</w:t>
            </w:r>
          </w:p>
        </w:tc>
        <w:tc>
          <w:tcPr>
            <w:tcW w:w="1152"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3.6</w:t>
            </w:r>
          </w:p>
        </w:tc>
        <w:tc>
          <w:tcPr>
            <w:tcW w:w="1201"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2.9</w:t>
            </w:r>
          </w:p>
        </w:tc>
      </w:tr>
      <w:tr w:rsidR="00D178DD" w:rsidRPr="00D178DD" w:rsidTr="004B2286">
        <w:trPr>
          <w:trHeight w:val="265"/>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sz w:val="16"/>
                <w:szCs w:val="16"/>
              </w:rPr>
              <w:t>ՌԴ</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cs="Sylfaen"/>
                <w:b w:val="0"/>
                <w:sz w:val="20"/>
                <w:szCs w:val="20"/>
                <w:lang w:val="en-US"/>
              </w:rPr>
            </w:pPr>
            <w:r w:rsidRPr="00D178DD">
              <w:rPr>
                <w:rFonts w:eastAsia="Calibri"/>
                <w:b w:val="0"/>
                <w:sz w:val="20"/>
                <w:szCs w:val="20"/>
                <w:lang w:val="en-US"/>
              </w:rPr>
              <w:t>4.7</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2.8</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-8.5</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-6.0</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2.1</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-2.3</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-3.5</w:t>
            </w:r>
          </w:p>
        </w:tc>
      </w:tr>
      <w:tr w:rsidR="00D178DD" w:rsidRPr="00D178DD" w:rsidTr="004B2286">
        <w:trPr>
          <w:trHeight w:val="352"/>
        </w:trPr>
        <w:tc>
          <w:tcPr>
            <w:tcW w:w="0" w:type="auto"/>
            <w:tcBorders>
              <w:top w:val="single" w:sz="4" w:space="0" w:color="8EAADB"/>
              <w:left w:val="single" w:sz="4" w:space="0" w:color="8EAADB"/>
              <w:bottom w:val="single" w:sz="4" w:space="0" w:color="8EAADB"/>
              <w:right w:val="single" w:sz="4" w:space="0" w:color="8EAADB"/>
            </w:tcBorders>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Եվրոգոտի</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cs="Sylfaen"/>
                <w:b w:val="0"/>
                <w:sz w:val="20"/>
                <w:szCs w:val="20"/>
              </w:rPr>
            </w:pPr>
            <w:r w:rsidRPr="00D178DD">
              <w:rPr>
                <w:rFonts w:eastAsia="Calibri"/>
                <w:b w:val="0"/>
                <w:sz w:val="20"/>
                <w:szCs w:val="20"/>
              </w:rPr>
              <w:t>5.4</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3.9</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2.8</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2.6</w:t>
            </w:r>
          </w:p>
        </w:tc>
        <w:tc>
          <w:tcPr>
            <w:tcW w:w="1237"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2.5</w:t>
            </w:r>
          </w:p>
        </w:tc>
        <w:tc>
          <w:tcPr>
            <w:tcW w:w="1152"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2.3</w:t>
            </w:r>
          </w:p>
        </w:tc>
        <w:tc>
          <w:tcPr>
            <w:tcW w:w="1201"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1.2</w:t>
            </w:r>
          </w:p>
        </w:tc>
      </w:tr>
      <w:tr w:rsidR="00D178DD" w:rsidRPr="00D178DD" w:rsidTr="004B2286">
        <w:trPr>
          <w:trHeight w:val="267"/>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Չինաստան</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cs="Sylfaen"/>
                <w:b w:val="0"/>
                <w:sz w:val="20"/>
                <w:szCs w:val="20"/>
                <w:lang w:val="en-US"/>
              </w:rPr>
            </w:pPr>
            <w:r w:rsidRPr="00D178DD">
              <w:rPr>
                <w:rFonts w:eastAsia="Calibri"/>
                <w:b w:val="0"/>
                <w:sz w:val="20"/>
                <w:szCs w:val="20"/>
                <w:lang w:val="en-US"/>
              </w:rPr>
              <w:t>8.1</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4.8</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4.4</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3.3</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5.2</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5.1</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4.6</w:t>
            </w:r>
          </w:p>
        </w:tc>
      </w:tr>
      <w:tr w:rsidR="00D178DD" w:rsidRPr="00D178DD" w:rsidTr="004B2286">
        <w:trPr>
          <w:trHeight w:val="234"/>
        </w:trPr>
        <w:tc>
          <w:tcPr>
            <w:tcW w:w="0" w:type="auto"/>
            <w:tcBorders>
              <w:top w:val="single" w:sz="4" w:space="0" w:color="8EAADB"/>
              <w:left w:val="single" w:sz="4" w:space="0" w:color="8EAADB"/>
              <w:bottom w:val="single" w:sz="4" w:space="0" w:color="8EAADB"/>
              <w:right w:val="single" w:sz="4" w:space="0" w:color="8EAADB"/>
            </w:tcBorders>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ԱՄՆ</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cs="Sylfaen"/>
                <w:b w:val="0"/>
                <w:sz w:val="20"/>
                <w:szCs w:val="20"/>
                <w:lang w:val="en-US"/>
              </w:rPr>
            </w:pPr>
            <w:r w:rsidRPr="00D178DD">
              <w:rPr>
                <w:rFonts w:eastAsia="Calibri"/>
                <w:b w:val="0"/>
                <w:sz w:val="20"/>
                <w:szCs w:val="20"/>
                <w:lang w:val="en-US"/>
              </w:rPr>
              <w:t>5.7</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4.0</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3.7</w:t>
            </w:r>
          </w:p>
        </w:tc>
        <w:tc>
          <w:tcPr>
            <w:tcW w:w="0" w:type="auto"/>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2.3</w:t>
            </w:r>
          </w:p>
        </w:tc>
        <w:tc>
          <w:tcPr>
            <w:tcW w:w="1237"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2.6</w:t>
            </w:r>
          </w:p>
        </w:tc>
        <w:tc>
          <w:tcPr>
            <w:tcW w:w="1152"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2.3</w:t>
            </w:r>
          </w:p>
        </w:tc>
        <w:tc>
          <w:tcPr>
            <w:tcW w:w="1201" w:type="dxa"/>
            <w:tcBorders>
              <w:top w:val="single" w:sz="4" w:space="0" w:color="8EAADB"/>
              <w:left w:val="single" w:sz="4" w:space="0" w:color="8EAADB"/>
              <w:bottom w:val="single" w:sz="4" w:space="0" w:color="8EAADB"/>
              <w:right w:val="single" w:sz="4" w:space="0" w:color="8EAADB"/>
            </w:tcBorders>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1.0</w:t>
            </w:r>
          </w:p>
        </w:tc>
      </w:tr>
      <w:tr w:rsidR="00D178DD" w:rsidRPr="00D178DD" w:rsidTr="004B2286">
        <w:trPr>
          <w:trHeight w:val="14"/>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rsidR="00D178DD" w:rsidRPr="00D178DD" w:rsidRDefault="00D178DD" w:rsidP="00D178DD">
            <w:pPr>
              <w:spacing w:before="0" w:line="276" w:lineRule="auto"/>
              <w:ind w:firstLine="0"/>
              <w:jc w:val="left"/>
              <w:rPr>
                <w:rFonts w:eastAsia="Calibri" w:cs="Sylfaen"/>
                <w:b w:val="0"/>
                <w:bCs/>
                <w:sz w:val="16"/>
                <w:szCs w:val="16"/>
              </w:rPr>
            </w:pPr>
            <w:r w:rsidRPr="00D178DD">
              <w:rPr>
                <w:rFonts w:eastAsia="Calibri"/>
                <w:bCs/>
                <w:color w:val="000000"/>
                <w:sz w:val="16"/>
                <w:szCs w:val="16"/>
              </w:rPr>
              <w:t>Համաշխարհային առևտ</w:t>
            </w:r>
            <w:r w:rsidRPr="00D178DD">
              <w:rPr>
                <w:rFonts w:eastAsia="Calibri"/>
                <w:bCs/>
                <w:color w:val="000000"/>
                <w:sz w:val="16"/>
                <w:szCs w:val="16"/>
                <w:lang w:val="hy-AM"/>
              </w:rPr>
              <w:t xml:space="preserve">րի աճ, </w:t>
            </w:r>
            <w:r w:rsidRPr="00D178DD">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cs="Sylfaen"/>
                <w:b w:val="0"/>
                <w:sz w:val="20"/>
                <w:szCs w:val="20"/>
                <w:lang w:val="en-US"/>
              </w:rPr>
            </w:pPr>
            <w:r w:rsidRPr="00D178DD">
              <w:rPr>
                <w:rFonts w:eastAsia="Calibri"/>
                <w:b w:val="0"/>
                <w:sz w:val="20"/>
                <w:szCs w:val="20"/>
                <w:lang w:val="en-US"/>
              </w:rPr>
              <w:t>10.1</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6.0</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5.0</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4.1</w:t>
            </w:r>
          </w:p>
        </w:tc>
        <w:tc>
          <w:tcPr>
            <w:tcW w:w="123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4.9</w:t>
            </w:r>
          </w:p>
        </w:tc>
        <w:tc>
          <w:tcPr>
            <w:tcW w:w="1152"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4.4</w:t>
            </w:r>
          </w:p>
        </w:tc>
        <w:tc>
          <w:tcPr>
            <w:tcW w:w="1201"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rsidR="00D178DD" w:rsidRPr="00D178DD" w:rsidRDefault="00D178DD" w:rsidP="00D178DD">
            <w:pPr>
              <w:spacing w:before="0" w:line="276" w:lineRule="auto"/>
              <w:ind w:firstLine="0"/>
              <w:jc w:val="center"/>
              <w:rPr>
                <w:rFonts w:eastAsia="Calibri"/>
                <w:b w:val="0"/>
                <w:sz w:val="20"/>
                <w:szCs w:val="20"/>
                <w:lang w:val="hy-AM"/>
              </w:rPr>
            </w:pPr>
            <w:r w:rsidRPr="00D178DD">
              <w:rPr>
                <w:rFonts w:eastAsia="Calibri"/>
                <w:b w:val="0"/>
                <w:sz w:val="20"/>
                <w:szCs w:val="20"/>
                <w:lang w:val="hy-AM"/>
              </w:rPr>
              <w:t>3.2</w:t>
            </w:r>
          </w:p>
        </w:tc>
      </w:tr>
    </w:tbl>
    <w:p w:rsidR="00D178DD" w:rsidRPr="00D178DD" w:rsidRDefault="00D178DD" w:rsidP="00D178DD">
      <w:pPr>
        <w:spacing w:before="0" w:line="276" w:lineRule="auto"/>
        <w:rPr>
          <w:rFonts w:cs="Sylfaen"/>
          <w:i/>
          <w:sz w:val="16"/>
          <w:szCs w:val="16"/>
          <w:lang w:val="hy-AM"/>
        </w:rPr>
      </w:pPr>
      <w:r w:rsidRPr="00D178DD">
        <w:rPr>
          <w:rFonts w:cs="Sylfaen"/>
          <w:i/>
          <w:sz w:val="16"/>
          <w:szCs w:val="16"/>
        </w:rPr>
        <w:t>Աղբյուրը</w:t>
      </w:r>
      <w:r w:rsidRPr="00D178DD">
        <w:rPr>
          <w:rFonts w:cs="Sylfaen"/>
          <w:i/>
          <w:sz w:val="16"/>
          <w:szCs w:val="16"/>
          <w:lang w:val="en-US"/>
        </w:rPr>
        <w:t xml:space="preserve">` </w:t>
      </w:r>
      <w:r w:rsidRPr="00D178DD">
        <w:rPr>
          <w:rFonts w:cs="Sylfaen"/>
          <w:i/>
          <w:sz w:val="16"/>
          <w:szCs w:val="16"/>
          <w:lang w:val="hy-AM"/>
        </w:rPr>
        <w:t>ԱՄՀ «</w:t>
      </w:r>
      <w:r w:rsidRPr="00D178DD">
        <w:rPr>
          <w:rFonts w:cs="Sylfaen"/>
          <w:i/>
          <w:sz w:val="16"/>
          <w:szCs w:val="16"/>
          <w:lang w:val="en-US"/>
        </w:rPr>
        <w:t>World Economic Outlook</w:t>
      </w:r>
      <w:r w:rsidRPr="00D178DD">
        <w:rPr>
          <w:rFonts w:cs="Sylfaen"/>
          <w:i/>
          <w:sz w:val="16"/>
          <w:szCs w:val="16"/>
          <w:lang w:val="hy-AM"/>
        </w:rPr>
        <w:t>»</w:t>
      </w:r>
    </w:p>
    <w:p w:rsidR="00D178DD" w:rsidRPr="00D178DD" w:rsidRDefault="00D178DD" w:rsidP="00D178DD">
      <w:pPr>
        <w:spacing w:before="0" w:line="276" w:lineRule="auto"/>
        <w:rPr>
          <w:rFonts w:cs="Sylfaen"/>
          <w:i/>
          <w:sz w:val="16"/>
          <w:szCs w:val="16"/>
          <w:lang w:val="hy-AM"/>
        </w:rPr>
      </w:pPr>
    </w:p>
    <w:p w:rsidR="00D178DD" w:rsidRPr="00D178DD" w:rsidRDefault="00D178DD" w:rsidP="00D178DD">
      <w:pPr>
        <w:spacing w:before="40" w:after="120" w:line="276" w:lineRule="auto"/>
        <w:rPr>
          <w:rFonts w:eastAsia="Calibri" w:cstheme="minorBidi"/>
          <w:b w:val="0"/>
          <w:szCs w:val="22"/>
          <w:lang w:val="hy-AM" w:eastAsia="en-US"/>
        </w:rPr>
      </w:pPr>
      <w:r w:rsidRPr="00D178DD">
        <w:rPr>
          <w:rFonts w:eastAsia="Calibri" w:cstheme="minorBidi"/>
          <w:color w:val="000000"/>
          <w:szCs w:val="22"/>
          <w:lang w:val="hy-AM" w:eastAsia="en-US"/>
        </w:rPr>
        <w:t>Ռուս-ուկրաինական հակամարտության և ՌԴ նկատմամբ կիրառվող պատժամիջոցների հետևանքով առաջացած գլոբալ արժեշղթաների խաթարումների պայմաններում նավթի միջազգային գների աճի դանդաղում է նկատվում, իսկ պղնձի միջազգային գների աճի դանդաղումը դրսևորվում է էլ ավելի արագ տեմպերով։ Հուլիս ամսից սկսած՝ և՛ պղնձի, և՛ նավթի միջազգային գները էապես անկում են ապրել։ Կանխատեսվող հորիզոնում կպահպանվի գնանկումային միջավայրը</w:t>
      </w:r>
      <w:r w:rsidRPr="00D178DD">
        <w:rPr>
          <w:rFonts w:eastAsia="Calibri" w:cstheme="minorBidi"/>
          <w:b w:val="0"/>
          <w:szCs w:val="22"/>
          <w:lang w:val="hy-AM" w:eastAsia="en-US"/>
        </w:rPr>
        <w:t>։ Ամբողջ աշխարհում պայմանավորված հետկորոնավիրուսային պահանջարկի վերականգնմամաբ՝ 2021թ</w:t>
      </w:r>
      <w:r w:rsidRPr="00D178DD">
        <w:rPr>
          <w:rFonts w:ascii="Cambria Math" w:eastAsia="Calibri" w:hAnsi="Cambria Math" w:cstheme="minorBidi"/>
          <w:b w:val="0"/>
          <w:szCs w:val="22"/>
          <w:lang w:val="hy-AM" w:eastAsia="en-US"/>
        </w:rPr>
        <w:t>․</w:t>
      </w:r>
      <w:r w:rsidRPr="00D178DD">
        <w:rPr>
          <w:rFonts w:eastAsia="Calibri" w:cstheme="minorBidi"/>
          <w:b w:val="0"/>
          <w:szCs w:val="22"/>
          <w:lang w:val="hy-AM" w:eastAsia="en-US"/>
        </w:rPr>
        <w:t xml:space="preserve"> հումքային ապրանքների գներն աճել են</w:t>
      </w:r>
      <w:r w:rsidRPr="00D178DD">
        <w:rPr>
          <w:rFonts w:ascii="Cambria Math" w:eastAsia="Calibri" w:hAnsi="Cambria Math" w:cstheme="minorBidi"/>
          <w:b w:val="0"/>
          <w:szCs w:val="22"/>
          <w:lang w:val="hy-AM" w:eastAsia="en-US"/>
        </w:rPr>
        <w:t xml:space="preserve">․ </w:t>
      </w:r>
      <w:r w:rsidRPr="00D178DD">
        <w:rPr>
          <w:rFonts w:eastAsia="Calibri" w:cstheme="minorBidi"/>
          <w:b w:val="0"/>
          <w:szCs w:val="22"/>
          <w:lang w:val="hy-AM" w:eastAsia="en-US"/>
        </w:rPr>
        <w:t>նավթի միջազգային գները աճել են շուրջ 66.5%-ով, պղնձի միջազգային գները՝ 50.9%-ով, իսկ մոլիբդենի միջազգային գները՝  82.7%-ով:</w:t>
      </w:r>
    </w:p>
    <w:p w:rsidR="00D178DD" w:rsidRPr="00D178DD" w:rsidRDefault="00D178DD" w:rsidP="00D178DD">
      <w:pPr>
        <w:spacing w:before="40" w:after="120" w:line="276" w:lineRule="auto"/>
        <w:rPr>
          <w:rFonts w:eastAsia="Calibri" w:cstheme="minorBidi"/>
          <w:b w:val="0"/>
          <w:szCs w:val="22"/>
          <w:lang w:val="hy-AM" w:eastAsia="en-US"/>
        </w:rPr>
      </w:pPr>
      <w:r w:rsidRPr="00D178DD">
        <w:rPr>
          <w:rFonts w:eastAsia="GHEA Grapalat" w:cs="GHEA Grapalat"/>
          <w:b w:val="0"/>
          <w:noProof/>
          <w:szCs w:val="22"/>
          <w:lang w:val="hy-AM" w:eastAsia="en-US"/>
        </w:rPr>
        <w:t xml:space="preserve">2022թ. առաջին ութ ամիսներին նախորդ տարվա նույն ժամանակահատվածի նկատմամբ պղնձի միջազգային շուկայում գներն աճել են 0.9%-ով, իսկ մոլիբդենի գները` 43.7%-ով  պայմանավորված համավարակից հետո համաշխարհային շուկայում մետաղների նկատմամբ պահանջարկի ավելացմամբ, իսկ նավթի միջազգային գները՝  58.4%-ով, որը հիմնականում պայմանավորված է </w:t>
      </w:r>
      <w:r w:rsidRPr="00D178DD">
        <w:rPr>
          <w:rFonts w:eastAsia="Calibri" w:cstheme="minorBidi"/>
          <w:b w:val="0"/>
          <w:szCs w:val="22"/>
          <w:lang w:val="hy-AM" w:eastAsia="en-US"/>
        </w:rPr>
        <w:t>ռուս-ուկրաինական հակամարտության հետևանքով ՌԴ-ից մատակարարման շղթաների խափանումներով։</w:t>
      </w:r>
    </w:p>
    <w:p w:rsidR="00D178DD" w:rsidRPr="00D178DD" w:rsidRDefault="00D178DD" w:rsidP="00D178DD">
      <w:pPr>
        <w:spacing w:before="40" w:after="120" w:line="276" w:lineRule="auto"/>
        <w:rPr>
          <w:rFonts w:eastAsia="Calibri" w:cstheme="minorBidi"/>
          <w:b w:val="0"/>
          <w:szCs w:val="22"/>
          <w:lang w:val="hy-AM" w:eastAsia="en-US"/>
        </w:rPr>
      </w:pPr>
      <w:r w:rsidRPr="00D178DD">
        <w:rPr>
          <w:rFonts w:eastAsia="Calibri" w:cstheme="minorBidi"/>
          <w:b w:val="0"/>
          <w:szCs w:val="22"/>
          <w:lang w:val="hy-AM" w:eastAsia="en-US"/>
        </w:rPr>
        <w:t>Ըստ «Բլումբերգ» միջազգային հեղինակավոր կազմակերպության` օգոստոսի դրությամբ 2022թ</w:t>
      </w:r>
      <w:r w:rsidRPr="00D178DD">
        <w:rPr>
          <w:rFonts w:ascii="Cambria Math" w:eastAsia="Calibri" w:hAnsi="Cambria Math" w:cstheme="minorBidi"/>
          <w:b w:val="0"/>
          <w:szCs w:val="22"/>
          <w:lang w:val="hy-AM" w:eastAsia="en-US"/>
        </w:rPr>
        <w:t xml:space="preserve">․ </w:t>
      </w:r>
      <w:r w:rsidRPr="00D178DD">
        <w:rPr>
          <w:rFonts w:eastAsia="Calibri" w:cstheme="minorBidi"/>
          <w:b w:val="0"/>
          <w:szCs w:val="22"/>
          <w:lang w:val="hy-AM" w:eastAsia="en-US"/>
        </w:rPr>
        <w:t>համար նավթի գների կանխատեսումները վերանայավել են աճի ուղղությամբ, իսկ պղնձի գների կանխատեսումը վերանայվել է նվազման ուղղությամբ մայիս ամսվա կանխատեսումների համեմատ:</w:t>
      </w:r>
    </w:p>
    <w:p w:rsidR="00D178DD" w:rsidRPr="00D178DD" w:rsidRDefault="00D178DD" w:rsidP="00D178DD">
      <w:pPr>
        <w:spacing w:after="60" w:line="276" w:lineRule="auto"/>
        <w:rPr>
          <w:rFonts w:eastAsia="Calibri" w:cstheme="minorBidi"/>
          <w:b w:val="0"/>
          <w:szCs w:val="22"/>
          <w:lang w:val="hy-AM" w:eastAsia="en-US"/>
        </w:rPr>
      </w:pPr>
      <w:r w:rsidRPr="00D178DD">
        <w:rPr>
          <w:rFonts w:eastAsia="Calibri" w:cstheme="minorBidi"/>
          <w:szCs w:val="22"/>
          <w:lang w:val="hy-AM" w:eastAsia="en-US"/>
        </w:rPr>
        <w:t xml:space="preserve">Միջազգային ապրանքային, արժութային և ֆինանսական շուկաները էական ցնցումների են ենթարկվում: </w:t>
      </w:r>
      <w:r w:rsidRPr="00D178DD">
        <w:rPr>
          <w:rFonts w:eastAsia="Calibri" w:cstheme="minorBidi"/>
          <w:b w:val="0"/>
          <w:szCs w:val="22"/>
          <w:lang w:val="hy-AM" w:eastAsia="en-US"/>
        </w:rPr>
        <w:t xml:space="preserve">Համաշխարհային առևտրի տեմպերը էապես դանդաղում են, իսկ ֆինանսական </w:t>
      </w:r>
      <w:r w:rsidRPr="00D178DD">
        <w:rPr>
          <w:rFonts w:eastAsia="Calibri" w:cstheme="minorBidi"/>
          <w:b w:val="0"/>
          <w:szCs w:val="22"/>
          <w:lang w:val="hy-AM" w:eastAsia="en-US"/>
        </w:rPr>
        <w:lastRenderedPageBreak/>
        <w:t>շուկաներում նկատվում են բաժնետոմսերի գների էական անկումներ:</w:t>
      </w:r>
      <w:r w:rsidRPr="00D178DD">
        <w:rPr>
          <w:rFonts w:eastAsia="Calibri" w:cstheme="minorBidi"/>
          <w:szCs w:val="22"/>
          <w:lang w:val="hy-AM" w:eastAsia="en-US"/>
        </w:rPr>
        <w:t xml:space="preserve">  </w:t>
      </w:r>
      <w:r w:rsidRPr="00D178DD">
        <w:rPr>
          <w:rFonts w:eastAsia="Calibri" w:cstheme="minorBidi"/>
          <w:b w:val="0"/>
          <w:szCs w:val="22"/>
          <w:lang w:val="hy-AM" w:eastAsia="en-US"/>
        </w:rPr>
        <w:t>Չնայած զարգացող երկրներում ազգային արժույթները որոշակիորեն թուլացել են</w:t>
      </w:r>
      <w:r w:rsidRPr="00D178DD">
        <w:rPr>
          <w:rFonts w:eastAsia="Calibri" w:cstheme="minorBidi"/>
          <w:szCs w:val="22"/>
          <w:lang w:val="hy-AM" w:eastAsia="en-US"/>
        </w:rPr>
        <w:t xml:space="preserve">, </w:t>
      </w:r>
      <w:r w:rsidRPr="00D178DD">
        <w:rPr>
          <w:rFonts w:eastAsia="Calibri" w:cstheme="minorBidi"/>
          <w:b w:val="0"/>
          <w:szCs w:val="22"/>
          <w:lang w:val="hy-AM" w:eastAsia="en-US"/>
        </w:rPr>
        <w:t>սակայն ռուս-ուկրաինական հակամարտության և ՌԴ դեմ կիրառված պատժամիջոցների պայմաններում ռուսական ռուբլին մարտ ամսվա ԱՄՆ դոլարի նկատմամբ կարճաժամկետ արժեզրկումից հետո սկսել է կտրուկ արժևորվել: Զարգացող երկրներում և հատկապես տարածաշրջանում երկրների ռիսկի հավելավճարները  բարձրացել են և կայունացել բարձր մակարդակներում։</w:t>
      </w:r>
    </w:p>
    <w:p w:rsidR="00D178DD" w:rsidRPr="00D178DD" w:rsidRDefault="00D178DD" w:rsidP="00D178DD">
      <w:pPr>
        <w:keepNext/>
        <w:keepLines/>
        <w:spacing w:before="0" w:line="276" w:lineRule="auto"/>
        <w:rPr>
          <w:rFonts w:eastAsia="Calibri"/>
          <w:b w:val="0"/>
          <w:color w:val="000000"/>
          <w:szCs w:val="22"/>
          <w:lang w:val="hy-AM"/>
        </w:rPr>
      </w:pPr>
      <w:bookmarkStart w:id="32" w:name="_Toc51947414"/>
      <w:bookmarkStart w:id="33" w:name="_Toc52452087"/>
      <w:r w:rsidRPr="00D178DD">
        <w:rPr>
          <w:rFonts w:eastAsia="Calibri"/>
          <w:color w:val="000000"/>
          <w:szCs w:val="22"/>
          <w:lang w:val="hy-AM"/>
        </w:rPr>
        <w:t>Միջազգային տնտեսական և ֆինանսական զարգացումները և կանխատեսումները</w:t>
      </w:r>
    </w:p>
    <w:tbl>
      <w:tblPr>
        <w:tblStyle w:val="TableGrid2214"/>
        <w:tblW w:w="10138"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5052"/>
        <w:gridCol w:w="5086"/>
      </w:tblGrid>
      <w:tr w:rsidR="00D178DD" w:rsidRPr="00D178DD" w:rsidTr="004B2286">
        <w:trPr>
          <w:trHeight w:val="3504"/>
        </w:trPr>
        <w:tc>
          <w:tcPr>
            <w:tcW w:w="5052" w:type="dxa"/>
            <w:tcBorders>
              <w:top w:val="single" w:sz="6" w:space="0" w:color="4F81BD"/>
              <w:left w:val="single" w:sz="6" w:space="0" w:color="4F81BD"/>
              <w:bottom w:val="single" w:sz="6" w:space="0" w:color="4F81BD"/>
              <w:right w:val="single" w:sz="6" w:space="0" w:color="4F81BD"/>
            </w:tcBorders>
            <w:hideMark/>
          </w:tcPr>
          <w:p w:rsidR="00D178DD" w:rsidRPr="00D178DD" w:rsidRDefault="00D178DD" w:rsidP="00D178DD">
            <w:pPr>
              <w:spacing w:line="276" w:lineRule="auto"/>
              <w:rPr>
                <w:bCs/>
                <w:i/>
                <w:lang w:val="hy-AM"/>
              </w:rPr>
            </w:pPr>
            <w:r w:rsidRPr="00D178DD">
              <w:rPr>
                <w:b w:val="0"/>
                <w:noProof/>
                <w:lang w:val="en-US" w:eastAsia="en-US"/>
              </w:rPr>
              <w:drawing>
                <wp:anchor distT="0" distB="0" distL="114300" distR="114300" simplePos="0" relativeHeight="251670528" behindDoc="1" locked="0" layoutInCell="1" allowOverlap="1" wp14:anchorId="6DBB20D8" wp14:editId="3EE7F169">
                  <wp:simplePos x="0" y="0"/>
                  <wp:positionH relativeFrom="column">
                    <wp:posOffset>-66675</wp:posOffset>
                  </wp:positionH>
                  <wp:positionV relativeFrom="paragraph">
                    <wp:posOffset>538480</wp:posOffset>
                  </wp:positionV>
                  <wp:extent cx="2804160" cy="1859280"/>
                  <wp:effectExtent l="0" t="0" r="15240" b="7620"/>
                  <wp:wrapTight wrapText="bothSides">
                    <wp:wrapPolygon edited="0">
                      <wp:start x="0" y="0"/>
                      <wp:lineTo x="0" y="21467"/>
                      <wp:lineTo x="21571" y="21467"/>
                      <wp:lineTo x="21571" y="0"/>
                      <wp:lineTo x="0" y="0"/>
                    </wp:wrapPolygon>
                  </wp:wrapTight>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D178DD">
              <w:rPr>
                <w:bCs/>
                <w:i/>
                <w:sz w:val="18"/>
                <w:szCs w:val="18"/>
                <w:lang w:val="hy-AM"/>
              </w:rPr>
              <w:t>Գծապատկեր 1.1 Համաշխարհային և գործընկեր երկրներիտնտեսական աճեր (%)</w:t>
            </w:r>
          </w:p>
          <w:p w:rsidR="00D178DD" w:rsidRPr="00D178DD" w:rsidRDefault="00D178DD" w:rsidP="00D178DD">
            <w:pPr>
              <w:spacing w:after="160" w:line="276" w:lineRule="auto"/>
              <w:rPr>
                <w:i/>
                <w:sz w:val="16"/>
                <w:szCs w:val="16"/>
                <w:lang w:val="hy-AM"/>
              </w:rPr>
            </w:pPr>
            <w:r w:rsidRPr="00D178DD">
              <w:rPr>
                <w:i/>
                <w:sz w:val="16"/>
                <w:szCs w:val="16"/>
                <w:lang w:val="hy-AM"/>
              </w:rPr>
              <w:t xml:space="preserve"> </w:t>
            </w:r>
          </w:p>
          <w:p w:rsidR="00D178DD" w:rsidRPr="00D178DD" w:rsidRDefault="00D178DD" w:rsidP="00D178DD">
            <w:pPr>
              <w:spacing w:after="160" w:line="276" w:lineRule="auto"/>
              <w:rPr>
                <w:b w:val="0"/>
                <w:i/>
                <w:sz w:val="16"/>
                <w:szCs w:val="16"/>
                <w:lang w:val="hy-AM"/>
              </w:rPr>
            </w:pPr>
            <w:r w:rsidRPr="00D178DD">
              <w:rPr>
                <w:i/>
                <w:sz w:val="16"/>
                <w:szCs w:val="16"/>
                <w:lang w:val="hy-AM"/>
              </w:rPr>
              <w:t>Աղբյուրը՝ ԱՄՀ</w:t>
            </w:r>
          </w:p>
        </w:tc>
        <w:tc>
          <w:tcPr>
            <w:tcW w:w="5086" w:type="dxa"/>
            <w:tcBorders>
              <w:top w:val="single" w:sz="6" w:space="0" w:color="4F81BD"/>
              <w:left w:val="single" w:sz="6" w:space="0" w:color="4F81BD"/>
              <w:bottom w:val="single" w:sz="6" w:space="0" w:color="4F81BD"/>
              <w:right w:val="single" w:sz="6" w:space="0" w:color="4F81BD"/>
            </w:tcBorders>
            <w:hideMark/>
          </w:tcPr>
          <w:p w:rsidR="00D178DD" w:rsidRPr="00D178DD" w:rsidRDefault="00D178DD" w:rsidP="00D178DD">
            <w:pPr>
              <w:spacing w:line="276" w:lineRule="auto"/>
              <w:rPr>
                <w:bCs/>
                <w:i/>
                <w:sz w:val="18"/>
                <w:szCs w:val="18"/>
                <w:lang w:val="hy-AM"/>
              </w:rPr>
            </w:pPr>
            <w:r w:rsidRPr="00D178DD">
              <w:rPr>
                <w:bCs/>
                <w:i/>
                <w:noProof/>
                <w:sz w:val="18"/>
                <w:szCs w:val="18"/>
                <w:lang w:val="en-US" w:eastAsia="en-US"/>
              </w:rPr>
              <w:drawing>
                <wp:anchor distT="0" distB="0" distL="114300" distR="114300" simplePos="0" relativeHeight="251679744" behindDoc="1" locked="0" layoutInCell="1" allowOverlap="1" wp14:anchorId="63251532" wp14:editId="20AB0704">
                  <wp:simplePos x="0" y="0"/>
                  <wp:positionH relativeFrom="column">
                    <wp:posOffset>71102</wp:posOffset>
                  </wp:positionH>
                  <wp:positionV relativeFrom="paragraph">
                    <wp:posOffset>454025</wp:posOffset>
                  </wp:positionV>
                  <wp:extent cx="3072130" cy="1859280"/>
                  <wp:effectExtent l="0" t="0" r="13970" b="7620"/>
                  <wp:wrapTight wrapText="bothSides">
                    <wp:wrapPolygon edited="0">
                      <wp:start x="0" y="0"/>
                      <wp:lineTo x="0" y="21467"/>
                      <wp:lineTo x="21564" y="21467"/>
                      <wp:lineTo x="21564" y="0"/>
                      <wp:lineTo x="0" y="0"/>
                    </wp:wrapPolygon>
                  </wp:wrapTight>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D178DD">
              <w:rPr>
                <w:bCs/>
                <w:i/>
                <w:sz w:val="18"/>
                <w:szCs w:val="18"/>
                <w:lang w:val="hy-AM"/>
              </w:rPr>
              <w:t>Գծապատկեր 1.2 Հումքային ապրանքների գներ (ԱՄՆ դոլար)</w:t>
            </w:r>
          </w:p>
          <w:p w:rsidR="00D178DD" w:rsidRPr="00D178DD" w:rsidRDefault="00D178DD" w:rsidP="00D178DD">
            <w:pPr>
              <w:spacing w:line="276" w:lineRule="auto"/>
              <w:rPr>
                <w:sz w:val="16"/>
                <w:szCs w:val="16"/>
                <w:lang w:val="hy-AM"/>
              </w:rPr>
            </w:pPr>
            <w:r w:rsidRPr="00D178DD">
              <w:rPr>
                <w:i/>
                <w:sz w:val="16"/>
                <w:szCs w:val="16"/>
                <w:lang w:val="hy-AM"/>
              </w:rPr>
              <w:t xml:space="preserve">Աղբյուրը՝ կանխատեսումները ըստ Բլումբերգի </w:t>
            </w:r>
          </w:p>
        </w:tc>
      </w:tr>
      <w:tr w:rsidR="00D178DD" w:rsidRPr="000C4EB4" w:rsidTr="004B2286">
        <w:trPr>
          <w:trHeight w:val="187"/>
        </w:trPr>
        <w:tc>
          <w:tcPr>
            <w:tcW w:w="5052" w:type="dxa"/>
            <w:tcBorders>
              <w:top w:val="single" w:sz="6" w:space="0" w:color="4F81BD"/>
              <w:left w:val="single" w:sz="6" w:space="0" w:color="4F81BD"/>
              <w:bottom w:val="single" w:sz="6" w:space="0" w:color="4F81BD"/>
              <w:right w:val="single" w:sz="6" w:space="0" w:color="4F81BD"/>
            </w:tcBorders>
            <w:hideMark/>
          </w:tcPr>
          <w:p w:rsidR="00D178DD" w:rsidRPr="00D178DD" w:rsidRDefault="00D178DD" w:rsidP="00D178DD">
            <w:pPr>
              <w:spacing w:line="276" w:lineRule="auto"/>
              <w:rPr>
                <w:bCs/>
                <w:i/>
                <w:sz w:val="18"/>
                <w:szCs w:val="18"/>
                <w:lang w:val="hy-AM"/>
              </w:rPr>
            </w:pPr>
            <w:r w:rsidRPr="00D178DD">
              <w:rPr>
                <w:noProof/>
                <w:lang w:val="en-US" w:eastAsia="en-US"/>
              </w:rPr>
              <w:drawing>
                <wp:anchor distT="0" distB="0" distL="114300" distR="114300" simplePos="0" relativeHeight="251668480" behindDoc="1" locked="0" layoutInCell="1" allowOverlap="1" wp14:anchorId="5C38F4DA" wp14:editId="10162537">
                  <wp:simplePos x="0" y="0"/>
                  <wp:positionH relativeFrom="column">
                    <wp:posOffset>-66675</wp:posOffset>
                  </wp:positionH>
                  <wp:positionV relativeFrom="paragraph">
                    <wp:posOffset>391795</wp:posOffset>
                  </wp:positionV>
                  <wp:extent cx="2871470" cy="1981200"/>
                  <wp:effectExtent l="0" t="0" r="5080" b="0"/>
                  <wp:wrapTight wrapText="bothSides">
                    <wp:wrapPolygon edited="0">
                      <wp:start x="0" y="0"/>
                      <wp:lineTo x="0" y="21392"/>
                      <wp:lineTo x="21495" y="21392"/>
                      <wp:lineTo x="21495"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Pr="00D178DD">
              <w:rPr>
                <w:bCs/>
                <w:i/>
                <w:sz w:val="18"/>
                <w:szCs w:val="18"/>
                <w:lang w:val="hy-AM"/>
              </w:rPr>
              <w:t>Գծապատկեր 1.3. Համաշխարհային առևտրի դոլարային աճերը</w:t>
            </w:r>
            <w:r w:rsidRPr="00D178DD">
              <w:rPr>
                <w:i/>
                <w:sz w:val="18"/>
                <w:szCs w:val="18"/>
                <w:lang w:val="hy-AM"/>
              </w:rPr>
              <w:t xml:space="preserve">(%) </w:t>
            </w:r>
          </w:p>
          <w:p w:rsidR="00D178DD" w:rsidRPr="00D178DD" w:rsidRDefault="00D178DD" w:rsidP="00D178DD">
            <w:pPr>
              <w:spacing w:line="276" w:lineRule="auto"/>
              <w:rPr>
                <w:bCs/>
                <w:i/>
                <w:sz w:val="18"/>
                <w:szCs w:val="18"/>
                <w:lang w:val="hy-AM"/>
              </w:rPr>
            </w:pPr>
            <w:r w:rsidRPr="00D178DD">
              <w:rPr>
                <w:i/>
                <w:sz w:val="16"/>
                <w:szCs w:val="16"/>
                <w:lang w:val="hy-AM"/>
              </w:rPr>
              <w:t>Աղբյուրը՝ ԱՄՀ</w:t>
            </w:r>
          </w:p>
        </w:tc>
        <w:tc>
          <w:tcPr>
            <w:tcW w:w="5086" w:type="dxa"/>
            <w:tcBorders>
              <w:top w:val="single" w:sz="6" w:space="0" w:color="4F81BD"/>
              <w:left w:val="single" w:sz="6" w:space="0" w:color="4F81BD"/>
              <w:bottom w:val="single" w:sz="6" w:space="0" w:color="4F81BD"/>
              <w:right w:val="single" w:sz="6" w:space="0" w:color="4F81BD"/>
            </w:tcBorders>
          </w:tcPr>
          <w:p w:rsidR="00D178DD" w:rsidRPr="00D178DD" w:rsidRDefault="00D178DD" w:rsidP="00D178DD">
            <w:pPr>
              <w:spacing w:line="276" w:lineRule="auto"/>
              <w:rPr>
                <w:bCs/>
                <w:i/>
                <w:sz w:val="18"/>
                <w:szCs w:val="18"/>
                <w:lang w:val="hy-AM"/>
              </w:rPr>
            </w:pPr>
            <w:r w:rsidRPr="00D178DD">
              <w:rPr>
                <w:noProof/>
                <w:lang w:val="en-US" w:eastAsia="en-US"/>
              </w:rPr>
              <w:drawing>
                <wp:anchor distT="0" distB="0" distL="114300" distR="114300" simplePos="0" relativeHeight="251671552" behindDoc="1" locked="0" layoutInCell="1" allowOverlap="1" wp14:anchorId="3C9E768A" wp14:editId="26365185">
                  <wp:simplePos x="0" y="0"/>
                  <wp:positionH relativeFrom="column">
                    <wp:posOffset>-70485</wp:posOffset>
                  </wp:positionH>
                  <wp:positionV relativeFrom="paragraph">
                    <wp:posOffset>344170</wp:posOffset>
                  </wp:positionV>
                  <wp:extent cx="2944495" cy="2005330"/>
                  <wp:effectExtent l="0" t="0" r="8255" b="13970"/>
                  <wp:wrapTight wrapText="bothSides">
                    <wp:wrapPolygon edited="0">
                      <wp:start x="0" y="0"/>
                      <wp:lineTo x="0" y="21545"/>
                      <wp:lineTo x="21521" y="21545"/>
                      <wp:lineTo x="21521"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D178DD">
              <w:rPr>
                <w:i/>
                <w:sz w:val="18"/>
                <w:szCs w:val="18"/>
                <w:lang w:val="hy-AM"/>
              </w:rPr>
              <w:t xml:space="preserve">Գծապատկեր 1.4. </w:t>
            </w:r>
            <w:r w:rsidRPr="00D178DD">
              <w:rPr>
                <w:bCs/>
                <w:i/>
                <w:sz w:val="18"/>
                <w:szCs w:val="18"/>
                <w:lang w:val="hy-AM"/>
              </w:rPr>
              <w:t xml:space="preserve">Զարգացող երկրների ազգային արժույթների դոլարի նկատմամբ փոփոխությունները </w:t>
            </w:r>
            <w:r w:rsidRPr="00D178DD">
              <w:rPr>
                <w:rFonts w:ascii="Arial Armenian" w:hAnsi="Arial Armenian"/>
                <w:bCs/>
                <w:i/>
                <w:sz w:val="18"/>
                <w:szCs w:val="18"/>
                <w:vertAlign w:val="superscript"/>
                <w:lang w:val="hy-AM"/>
              </w:rPr>
              <w:footnoteReference w:id="2"/>
            </w:r>
          </w:p>
          <w:p w:rsidR="00D178DD" w:rsidRPr="00D178DD" w:rsidRDefault="00D178DD" w:rsidP="00D178DD">
            <w:pPr>
              <w:spacing w:line="276" w:lineRule="auto"/>
              <w:rPr>
                <w:bCs/>
                <w:i/>
                <w:sz w:val="18"/>
                <w:szCs w:val="18"/>
                <w:lang w:val="hy-AM"/>
              </w:rPr>
            </w:pPr>
          </w:p>
          <w:p w:rsidR="00D178DD" w:rsidRPr="00D178DD" w:rsidRDefault="00D178DD" w:rsidP="00D178DD">
            <w:pPr>
              <w:spacing w:after="160" w:line="276" w:lineRule="auto"/>
              <w:rPr>
                <w:i/>
                <w:sz w:val="16"/>
                <w:szCs w:val="16"/>
                <w:lang w:val="hy-AM"/>
              </w:rPr>
            </w:pPr>
            <w:r w:rsidRPr="00D178DD">
              <w:rPr>
                <w:i/>
                <w:sz w:val="16"/>
                <w:szCs w:val="16"/>
                <w:lang w:val="hy-AM"/>
              </w:rPr>
              <w:t>Աղբյուրը՝ Բլումբերգ, ՀՀ ԿԲ, ՀՀ ՖՆ հաշվարկներ</w:t>
            </w:r>
          </w:p>
        </w:tc>
      </w:tr>
      <w:tr w:rsidR="00D178DD" w:rsidRPr="00D178DD" w:rsidTr="004B2286">
        <w:trPr>
          <w:trHeight w:val="52"/>
        </w:trPr>
        <w:tc>
          <w:tcPr>
            <w:tcW w:w="5052" w:type="dxa"/>
            <w:tcBorders>
              <w:top w:val="single" w:sz="6" w:space="0" w:color="4F81BD"/>
              <w:left w:val="single" w:sz="6" w:space="0" w:color="4F81BD"/>
              <w:bottom w:val="single" w:sz="6" w:space="0" w:color="4F81BD"/>
              <w:right w:val="single" w:sz="6" w:space="0" w:color="4F81BD"/>
            </w:tcBorders>
            <w:hideMark/>
          </w:tcPr>
          <w:p w:rsidR="00D178DD" w:rsidRPr="00D178DD" w:rsidRDefault="00D178DD" w:rsidP="00D178DD">
            <w:pPr>
              <w:spacing w:line="276" w:lineRule="auto"/>
              <w:rPr>
                <w:i/>
                <w:sz w:val="18"/>
                <w:szCs w:val="18"/>
                <w:lang w:val="hy-AM"/>
              </w:rPr>
            </w:pPr>
            <w:r w:rsidRPr="00D178DD">
              <w:rPr>
                <w:noProof/>
                <w:lang w:val="en-US" w:eastAsia="en-US"/>
              </w:rPr>
              <w:lastRenderedPageBreak/>
              <w:drawing>
                <wp:anchor distT="0" distB="0" distL="114300" distR="114300" simplePos="0" relativeHeight="251669504" behindDoc="1" locked="0" layoutInCell="1" allowOverlap="1" wp14:anchorId="0CE21670" wp14:editId="5883863A">
                  <wp:simplePos x="0" y="0"/>
                  <wp:positionH relativeFrom="column">
                    <wp:posOffset>-3810</wp:posOffset>
                  </wp:positionH>
                  <wp:positionV relativeFrom="paragraph">
                    <wp:posOffset>596265</wp:posOffset>
                  </wp:positionV>
                  <wp:extent cx="2871470" cy="1877695"/>
                  <wp:effectExtent l="0" t="0" r="5080" b="8255"/>
                  <wp:wrapTight wrapText="bothSides">
                    <wp:wrapPolygon edited="0">
                      <wp:start x="0" y="0"/>
                      <wp:lineTo x="0" y="21476"/>
                      <wp:lineTo x="21495" y="21476"/>
                      <wp:lineTo x="21495" y="0"/>
                      <wp:lineTo x="0" y="0"/>
                    </wp:wrapPolygon>
                  </wp:wrapTight>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D178DD">
              <w:rPr>
                <w:i/>
                <w:sz w:val="18"/>
                <w:szCs w:val="18"/>
                <w:lang w:val="hy-AM"/>
              </w:rPr>
              <w:t xml:space="preserve">Գծապատկեր 1.5. Գործընկեր երկրների </w:t>
            </w:r>
            <w:r w:rsidRPr="00D178DD">
              <w:rPr>
                <w:bCs/>
                <w:i/>
                <w:sz w:val="18"/>
                <w:szCs w:val="18"/>
                <w:lang w:val="hy-AM"/>
              </w:rPr>
              <w:t>բաժնետոմսերի շուկաների ինդեքսներ  վերականգնվել է</w:t>
            </w:r>
          </w:p>
          <w:p w:rsidR="00D178DD" w:rsidRPr="00D178DD" w:rsidRDefault="00D178DD" w:rsidP="00D178DD">
            <w:pPr>
              <w:spacing w:line="276" w:lineRule="auto"/>
              <w:rPr>
                <w:i/>
                <w:sz w:val="18"/>
                <w:szCs w:val="18"/>
                <w:lang w:val="hy-AM"/>
              </w:rPr>
            </w:pPr>
            <w:r w:rsidRPr="00D178DD">
              <w:rPr>
                <w:i/>
                <w:sz w:val="16"/>
                <w:szCs w:val="16"/>
                <w:lang w:val="hy-AM"/>
              </w:rPr>
              <w:t>Աղբյուրը՝ Բլումբերգ, ՀՀ ՖՆ հաշվարկներ</w:t>
            </w:r>
          </w:p>
        </w:tc>
        <w:tc>
          <w:tcPr>
            <w:tcW w:w="5086" w:type="dxa"/>
            <w:tcBorders>
              <w:top w:val="single" w:sz="6" w:space="0" w:color="4F81BD"/>
              <w:left w:val="single" w:sz="6" w:space="0" w:color="4F81BD"/>
              <w:bottom w:val="single" w:sz="6" w:space="0" w:color="4F81BD"/>
              <w:right w:val="single" w:sz="6" w:space="0" w:color="4F81BD"/>
            </w:tcBorders>
          </w:tcPr>
          <w:p w:rsidR="00D178DD" w:rsidRPr="00D178DD" w:rsidRDefault="00D178DD" w:rsidP="00D178DD">
            <w:pPr>
              <w:spacing w:after="160" w:line="276" w:lineRule="auto"/>
              <w:rPr>
                <w:i/>
                <w:sz w:val="18"/>
                <w:szCs w:val="18"/>
                <w:lang w:val="hy-AM"/>
              </w:rPr>
            </w:pPr>
            <w:r w:rsidRPr="00D178DD">
              <w:rPr>
                <w:i/>
                <w:sz w:val="18"/>
                <w:szCs w:val="18"/>
                <w:lang w:val="hy-AM"/>
              </w:rPr>
              <w:t>Գծապատկեր 1.6. Զարգացող երկրների ռիսկի</w:t>
            </w:r>
            <w:r w:rsidRPr="00D178DD">
              <w:rPr>
                <w:sz w:val="18"/>
                <w:szCs w:val="18"/>
                <w:lang w:val="hy-AM"/>
              </w:rPr>
              <w:t xml:space="preserve"> </w:t>
            </w:r>
            <w:r w:rsidRPr="00D178DD">
              <w:rPr>
                <w:i/>
                <w:sz w:val="18"/>
                <w:szCs w:val="18"/>
                <w:lang w:val="hy-AM"/>
              </w:rPr>
              <w:t>հավելավճարներ</w:t>
            </w:r>
            <w:r w:rsidRPr="00D178DD">
              <w:rPr>
                <w:rFonts w:ascii="Arial Armenian" w:hAnsi="Arial Armenian"/>
                <w:i/>
                <w:sz w:val="18"/>
                <w:szCs w:val="18"/>
                <w:vertAlign w:val="superscript"/>
                <w:lang w:val="hy-AM"/>
              </w:rPr>
              <w:footnoteReference w:id="3"/>
            </w:r>
            <w:r w:rsidRPr="00D178DD">
              <w:rPr>
                <w:i/>
                <w:sz w:val="18"/>
                <w:szCs w:val="18"/>
                <w:lang w:val="hy-AM"/>
              </w:rPr>
              <w:t xml:space="preserve"> </w:t>
            </w:r>
          </w:p>
          <w:p w:rsidR="00D178DD" w:rsidRPr="00D178DD" w:rsidRDefault="00D178DD" w:rsidP="00D178DD">
            <w:pPr>
              <w:spacing w:after="160" w:line="276" w:lineRule="auto"/>
              <w:rPr>
                <w:b w:val="0"/>
                <w:noProof/>
                <w:sz w:val="18"/>
                <w:szCs w:val="18"/>
                <w:lang w:val="hy-AM"/>
              </w:rPr>
            </w:pPr>
          </w:p>
          <w:p w:rsidR="00D178DD" w:rsidRPr="00D178DD" w:rsidRDefault="00D178DD" w:rsidP="00D178DD">
            <w:pPr>
              <w:spacing w:after="160" w:line="276" w:lineRule="auto"/>
              <w:rPr>
                <w:b w:val="0"/>
                <w:noProof/>
                <w:sz w:val="18"/>
                <w:szCs w:val="18"/>
                <w:lang w:val="hy-AM"/>
              </w:rPr>
            </w:pPr>
            <w:r w:rsidRPr="00D178DD">
              <w:rPr>
                <w:b w:val="0"/>
                <w:noProof/>
                <w:lang w:val="en-US" w:eastAsia="en-US"/>
              </w:rPr>
              <w:drawing>
                <wp:anchor distT="0" distB="0" distL="114300" distR="114300" simplePos="0" relativeHeight="251672576" behindDoc="0" locked="0" layoutInCell="1" allowOverlap="1" wp14:anchorId="48C13A1C" wp14:editId="37DF123F">
                  <wp:simplePos x="0" y="0"/>
                  <wp:positionH relativeFrom="column">
                    <wp:posOffset>50800</wp:posOffset>
                  </wp:positionH>
                  <wp:positionV relativeFrom="paragraph">
                    <wp:posOffset>71120</wp:posOffset>
                  </wp:positionV>
                  <wp:extent cx="3038475" cy="1962150"/>
                  <wp:effectExtent l="0" t="0" r="9525" b="0"/>
                  <wp:wrapNone/>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page">
                    <wp14:pctHeight>0</wp14:pctHeight>
                  </wp14:sizeRelV>
                </wp:anchor>
              </w:drawing>
            </w:r>
          </w:p>
          <w:p w:rsidR="00D178DD" w:rsidRPr="00D178DD" w:rsidRDefault="00D178DD" w:rsidP="00D178DD">
            <w:pPr>
              <w:spacing w:after="160" w:line="276" w:lineRule="auto"/>
              <w:rPr>
                <w:b w:val="0"/>
                <w:noProof/>
                <w:sz w:val="18"/>
                <w:szCs w:val="18"/>
                <w:lang w:val="hy-AM"/>
              </w:rPr>
            </w:pPr>
            <w:r w:rsidRPr="00D178DD">
              <w:rPr>
                <w:i/>
                <w:sz w:val="16"/>
                <w:szCs w:val="16"/>
                <w:lang w:val="hy-AM"/>
              </w:rPr>
              <w:t>Աղբյուրը՝ Բլումբերգ</w:t>
            </w:r>
          </w:p>
        </w:tc>
      </w:tr>
    </w:tbl>
    <w:p w:rsidR="00D178DD" w:rsidRPr="00D178DD" w:rsidRDefault="00D178DD" w:rsidP="00D178DD">
      <w:pPr>
        <w:spacing w:before="0" w:line="276" w:lineRule="auto"/>
        <w:rPr>
          <w:rFonts w:eastAsia="Calibri"/>
          <w:szCs w:val="22"/>
          <w:lang w:val="hy-AM"/>
        </w:rPr>
      </w:pPr>
    </w:p>
    <w:p w:rsidR="00D178DD" w:rsidRPr="00D178DD" w:rsidRDefault="00D178DD" w:rsidP="00D178DD">
      <w:pPr>
        <w:spacing w:line="276" w:lineRule="auto"/>
        <w:ind w:firstLine="720"/>
        <w:rPr>
          <w:b w:val="0"/>
          <w:lang w:val="hy-AM"/>
        </w:rPr>
      </w:pPr>
      <w:r w:rsidRPr="00D178DD">
        <w:rPr>
          <w:lang w:val="hy-AM"/>
        </w:rPr>
        <w:t xml:space="preserve">Առողջապահական և տնտեսական ճգնաժամին «ագրեսիվ» հակազդելուց հետո երկրները սկսել են իրականացնել հարկաբյուջետային կոնսոլիդացիա, սակայն ռուս-ուկրաինական հակամարտության և ՌԴ նկատմամբ կիրառվող պատժամիջոցների հետևանքով ստեղծված գլոբալ մարտահրավերները էական հարկաբյուջետային ճնշումներ են առաջացրել։ </w:t>
      </w:r>
      <w:r w:rsidRPr="00D178DD">
        <w:rPr>
          <w:b w:val="0"/>
          <w:lang w:val="hy-AM"/>
        </w:rPr>
        <w:t>Խթանող հարկաբյուջետային քաղաքականության պայմաններում 2020թ. աշխարհում գրանցվել է պետական բյուջեի պակասուրդի և պարտքի բեռի էական աճ՝ ինչը գրանցվել էր նաև 2009թ</w:t>
      </w:r>
      <w:r w:rsidRPr="00D178DD">
        <w:rPr>
          <w:rFonts w:ascii="Cambria Math" w:hAnsi="Cambria Math" w:cs="Cambria Math"/>
          <w:b w:val="0"/>
          <w:lang w:val="hy-AM"/>
        </w:rPr>
        <w:t>․</w:t>
      </w:r>
      <w:r w:rsidRPr="00D178DD">
        <w:rPr>
          <w:b w:val="0"/>
          <w:lang w:val="hy-AM"/>
        </w:rPr>
        <w:t>-</w:t>
      </w:r>
      <w:r w:rsidRPr="00D178DD">
        <w:rPr>
          <w:rFonts w:cs="GHEA Grapalat"/>
          <w:b w:val="0"/>
          <w:lang w:val="hy-AM"/>
        </w:rPr>
        <w:t>ի</w:t>
      </w:r>
      <w:r w:rsidRPr="00D178DD">
        <w:rPr>
          <w:b w:val="0"/>
          <w:lang w:val="hy-AM"/>
        </w:rPr>
        <w:t xml:space="preserve"> </w:t>
      </w:r>
      <w:r w:rsidRPr="00D178DD">
        <w:rPr>
          <w:rFonts w:cs="GHEA Grapalat"/>
          <w:b w:val="0"/>
          <w:lang w:val="hy-AM"/>
        </w:rPr>
        <w:t>ճգնաժամի</w:t>
      </w:r>
      <w:r w:rsidRPr="00D178DD">
        <w:rPr>
          <w:b w:val="0"/>
          <w:lang w:val="hy-AM"/>
        </w:rPr>
        <w:t xml:space="preserve"> </w:t>
      </w:r>
      <w:r w:rsidRPr="00D178DD">
        <w:rPr>
          <w:rFonts w:cs="GHEA Grapalat"/>
          <w:b w:val="0"/>
          <w:lang w:val="hy-AM"/>
        </w:rPr>
        <w:t>ժամանակ։</w:t>
      </w:r>
      <w:r w:rsidRPr="00D178DD">
        <w:rPr>
          <w:b w:val="0"/>
          <w:lang w:val="hy-AM"/>
        </w:rPr>
        <w:t xml:space="preserve"> Սակայն, ի տարբերություն 2009թ</w:t>
      </w:r>
      <w:r w:rsidRPr="00D178DD">
        <w:rPr>
          <w:rFonts w:ascii="Cambria Math" w:hAnsi="Cambria Math" w:cs="Cambria Math"/>
          <w:b w:val="0"/>
          <w:lang w:val="hy-AM"/>
        </w:rPr>
        <w:t>․</w:t>
      </w:r>
      <w:r w:rsidRPr="00D178DD">
        <w:rPr>
          <w:b w:val="0"/>
          <w:lang w:val="hy-AM"/>
        </w:rPr>
        <w:t>-</w:t>
      </w:r>
      <w:r w:rsidRPr="00D178DD">
        <w:rPr>
          <w:rFonts w:cs="GHEA Grapalat"/>
          <w:b w:val="0"/>
          <w:lang w:val="hy-AM"/>
        </w:rPr>
        <w:t>ի</w:t>
      </w:r>
      <w:r w:rsidRPr="00D178DD">
        <w:rPr>
          <w:b w:val="0"/>
          <w:lang w:val="hy-AM"/>
        </w:rPr>
        <w:t xml:space="preserve"> </w:t>
      </w:r>
      <w:r w:rsidRPr="00D178DD">
        <w:rPr>
          <w:rFonts w:cs="GHEA Grapalat"/>
          <w:b w:val="0"/>
          <w:lang w:val="hy-AM"/>
        </w:rPr>
        <w:t>ճգնաժամին</w:t>
      </w:r>
      <w:r w:rsidRPr="00D178DD">
        <w:rPr>
          <w:b w:val="0"/>
          <w:lang w:val="hy-AM"/>
        </w:rPr>
        <w:t xml:space="preserve"> </w:t>
      </w:r>
      <w:r w:rsidRPr="00D178DD">
        <w:rPr>
          <w:rFonts w:cs="GHEA Grapalat"/>
          <w:b w:val="0"/>
          <w:lang w:val="hy-AM"/>
        </w:rPr>
        <w:t>հաջորդող</w:t>
      </w:r>
      <w:r w:rsidRPr="00D178DD">
        <w:rPr>
          <w:b w:val="0"/>
          <w:lang w:val="hy-AM"/>
        </w:rPr>
        <w:t xml:space="preserve"> </w:t>
      </w:r>
      <w:r w:rsidRPr="00D178DD">
        <w:rPr>
          <w:rFonts w:cs="GHEA Grapalat"/>
          <w:b w:val="0"/>
          <w:lang w:val="hy-AM"/>
        </w:rPr>
        <w:t>երկու</w:t>
      </w:r>
      <w:r w:rsidRPr="00D178DD">
        <w:rPr>
          <w:b w:val="0"/>
          <w:lang w:val="hy-AM"/>
        </w:rPr>
        <w:t xml:space="preserve"> </w:t>
      </w:r>
      <w:r w:rsidRPr="00D178DD">
        <w:rPr>
          <w:rFonts w:cs="GHEA Grapalat"/>
          <w:b w:val="0"/>
          <w:lang w:val="hy-AM"/>
        </w:rPr>
        <w:t>տարիներին</w:t>
      </w:r>
      <w:r w:rsidRPr="00D178DD">
        <w:rPr>
          <w:b w:val="0"/>
          <w:lang w:val="hy-AM"/>
        </w:rPr>
        <w:t xml:space="preserve">, </w:t>
      </w:r>
      <w:r w:rsidRPr="00D178DD">
        <w:rPr>
          <w:rFonts w:cs="GHEA Grapalat"/>
          <w:b w:val="0"/>
          <w:lang w:val="hy-AM"/>
        </w:rPr>
        <w:t>երբ</w:t>
      </w:r>
      <w:r w:rsidRPr="00D178DD">
        <w:rPr>
          <w:b w:val="0"/>
          <w:lang w:val="hy-AM"/>
        </w:rPr>
        <w:t xml:space="preserve"> </w:t>
      </w:r>
      <w:r w:rsidRPr="00D178DD">
        <w:rPr>
          <w:rFonts w:cs="GHEA Grapalat"/>
          <w:b w:val="0"/>
          <w:lang w:val="hy-AM"/>
        </w:rPr>
        <w:t>հնարավոր</w:t>
      </w:r>
      <w:r w:rsidRPr="00D178DD">
        <w:rPr>
          <w:b w:val="0"/>
          <w:lang w:val="hy-AM"/>
        </w:rPr>
        <w:t xml:space="preserve"> </w:t>
      </w:r>
      <w:r w:rsidRPr="00D178DD">
        <w:rPr>
          <w:rFonts w:cs="GHEA Grapalat"/>
          <w:b w:val="0"/>
          <w:lang w:val="hy-AM"/>
        </w:rPr>
        <w:t>չեղավ</w:t>
      </w:r>
      <w:r w:rsidRPr="00D178DD">
        <w:rPr>
          <w:b w:val="0"/>
          <w:lang w:val="hy-AM"/>
        </w:rPr>
        <w:t xml:space="preserve"> </w:t>
      </w:r>
      <w:r w:rsidRPr="00D178DD">
        <w:rPr>
          <w:rFonts w:cs="GHEA Grapalat"/>
          <w:b w:val="0"/>
          <w:lang w:val="hy-AM"/>
        </w:rPr>
        <w:t>պետական</w:t>
      </w:r>
      <w:r w:rsidRPr="00D178DD">
        <w:rPr>
          <w:b w:val="0"/>
          <w:lang w:val="hy-AM"/>
        </w:rPr>
        <w:t xml:space="preserve"> </w:t>
      </w:r>
      <w:r w:rsidRPr="00D178DD">
        <w:rPr>
          <w:rFonts w:cs="GHEA Grapalat"/>
          <w:b w:val="0"/>
          <w:lang w:val="hy-AM"/>
        </w:rPr>
        <w:t>պարտքի</w:t>
      </w:r>
      <w:r w:rsidRPr="00D178DD">
        <w:rPr>
          <w:b w:val="0"/>
          <w:lang w:val="hy-AM"/>
        </w:rPr>
        <w:t xml:space="preserve"> </w:t>
      </w:r>
      <w:r w:rsidRPr="00D178DD">
        <w:rPr>
          <w:rFonts w:cs="GHEA Grapalat"/>
          <w:b w:val="0"/>
          <w:lang w:val="hy-AM"/>
        </w:rPr>
        <w:t>բեռի</w:t>
      </w:r>
      <w:r w:rsidRPr="00D178DD">
        <w:rPr>
          <w:b w:val="0"/>
          <w:lang w:val="hy-AM"/>
        </w:rPr>
        <w:t xml:space="preserve"> </w:t>
      </w:r>
      <w:r w:rsidRPr="00D178DD">
        <w:rPr>
          <w:rFonts w:cs="GHEA Grapalat"/>
          <w:b w:val="0"/>
          <w:lang w:val="hy-AM"/>
        </w:rPr>
        <w:t>նվազում</w:t>
      </w:r>
      <w:r w:rsidRPr="00D178DD">
        <w:rPr>
          <w:b w:val="0"/>
          <w:lang w:val="hy-AM"/>
        </w:rPr>
        <w:t xml:space="preserve"> </w:t>
      </w:r>
      <w:r w:rsidRPr="00D178DD">
        <w:rPr>
          <w:rFonts w:cs="GHEA Grapalat"/>
          <w:b w:val="0"/>
          <w:lang w:val="hy-AM"/>
        </w:rPr>
        <w:t>ապահովել՝</w:t>
      </w:r>
      <w:r w:rsidRPr="00D178DD">
        <w:rPr>
          <w:b w:val="0"/>
          <w:lang w:val="hy-AM"/>
        </w:rPr>
        <w:t xml:space="preserve"> </w:t>
      </w:r>
      <w:r w:rsidRPr="00D178DD">
        <w:rPr>
          <w:rFonts w:cs="GHEA Grapalat"/>
          <w:b w:val="0"/>
          <w:lang w:val="hy-AM"/>
        </w:rPr>
        <w:t>չնայած</w:t>
      </w:r>
      <w:r w:rsidRPr="00D178DD">
        <w:rPr>
          <w:b w:val="0"/>
          <w:lang w:val="hy-AM"/>
        </w:rPr>
        <w:t xml:space="preserve"> </w:t>
      </w:r>
      <w:r w:rsidRPr="00D178DD">
        <w:rPr>
          <w:rFonts w:cs="GHEA Grapalat"/>
          <w:b w:val="0"/>
          <w:lang w:val="hy-AM"/>
        </w:rPr>
        <w:t>բյուջեի</w:t>
      </w:r>
      <w:r w:rsidRPr="00D178DD">
        <w:rPr>
          <w:b w:val="0"/>
          <w:lang w:val="hy-AM"/>
        </w:rPr>
        <w:t xml:space="preserve"> </w:t>
      </w:r>
      <w:r w:rsidRPr="00D178DD">
        <w:rPr>
          <w:rFonts w:cs="GHEA Grapalat"/>
          <w:b w:val="0"/>
          <w:lang w:val="hy-AM"/>
        </w:rPr>
        <w:t>պակասուրդի</w:t>
      </w:r>
      <w:r w:rsidRPr="00D178DD">
        <w:rPr>
          <w:b w:val="0"/>
          <w:lang w:val="hy-AM"/>
        </w:rPr>
        <w:t xml:space="preserve"> </w:t>
      </w:r>
      <w:r w:rsidRPr="00D178DD">
        <w:rPr>
          <w:rFonts w:cs="GHEA Grapalat"/>
          <w:b w:val="0"/>
          <w:lang w:val="hy-AM"/>
        </w:rPr>
        <w:t>որոշակի</w:t>
      </w:r>
      <w:r w:rsidRPr="00D178DD">
        <w:rPr>
          <w:b w:val="0"/>
          <w:lang w:val="hy-AM"/>
        </w:rPr>
        <w:t xml:space="preserve"> </w:t>
      </w:r>
      <w:r w:rsidRPr="00D178DD">
        <w:rPr>
          <w:rFonts w:cs="GHEA Grapalat"/>
          <w:b w:val="0"/>
          <w:lang w:val="hy-AM"/>
        </w:rPr>
        <w:t>նվազմանը</w:t>
      </w:r>
      <w:r w:rsidRPr="00D178DD">
        <w:rPr>
          <w:b w:val="0"/>
          <w:lang w:val="hy-AM"/>
        </w:rPr>
        <w:t xml:space="preserve">, 2021 </w:t>
      </w:r>
      <w:r w:rsidRPr="00D178DD">
        <w:rPr>
          <w:rFonts w:cs="GHEA Grapalat"/>
          <w:b w:val="0"/>
          <w:lang w:val="hy-AM"/>
        </w:rPr>
        <w:t>թվականի</w:t>
      </w:r>
      <w:r w:rsidRPr="00D178DD">
        <w:rPr>
          <w:b w:val="0"/>
          <w:lang w:val="hy-AM"/>
        </w:rPr>
        <w:t xml:space="preserve"> </w:t>
      </w:r>
      <w:r w:rsidRPr="00D178DD">
        <w:rPr>
          <w:rFonts w:cs="GHEA Grapalat"/>
          <w:b w:val="0"/>
          <w:lang w:val="hy-AM"/>
        </w:rPr>
        <w:t>փաստացի</w:t>
      </w:r>
      <w:r w:rsidRPr="00D178DD">
        <w:rPr>
          <w:b w:val="0"/>
          <w:lang w:val="hy-AM"/>
        </w:rPr>
        <w:t xml:space="preserve"> </w:t>
      </w:r>
      <w:r w:rsidRPr="00D178DD">
        <w:rPr>
          <w:rFonts w:cs="GHEA Grapalat"/>
          <w:b w:val="0"/>
          <w:lang w:val="hy-AM"/>
        </w:rPr>
        <w:t>և</w:t>
      </w:r>
      <w:r w:rsidRPr="00D178DD">
        <w:rPr>
          <w:b w:val="0"/>
          <w:lang w:val="hy-AM"/>
        </w:rPr>
        <w:t xml:space="preserve"> 2022</w:t>
      </w:r>
      <w:r w:rsidRPr="00D178DD">
        <w:rPr>
          <w:rFonts w:cs="GHEA Grapalat"/>
          <w:b w:val="0"/>
          <w:lang w:val="hy-AM"/>
        </w:rPr>
        <w:t>թ</w:t>
      </w:r>
      <w:r w:rsidRPr="00D178DD">
        <w:rPr>
          <w:rFonts w:ascii="Cambria Math" w:hAnsi="Cambria Math" w:cs="Cambria Math"/>
          <w:b w:val="0"/>
          <w:lang w:val="hy-AM"/>
        </w:rPr>
        <w:t>․</w:t>
      </w:r>
      <w:r w:rsidRPr="00D178DD">
        <w:rPr>
          <w:b w:val="0"/>
          <w:lang w:val="hy-AM"/>
        </w:rPr>
        <w:t>-</w:t>
      </w:r>
      <w:r w:rsidRPr="00D178DD">
        <w:rPr>
          <w:rFonts w:cs="GHEA Grapalat"/>
          <w:b w:val="0"/>
          <w:lang w:val="hy-AM"/>
        </w:rPr>
        <w:t>ի</w:t>
      </w:r>
      <w:r w:rsidRPr="00D178DD">
        <w:rPr>
          <w:b w:val="0"/>
          <w:lang w:val="hy-AM"/>
        </w:rPr>
        <w:t xml:space="preserve"> </w:t>
      </w:r>
      <w:r w:rsidRPr="00D178DD">
        <w:rPr>
          <w:rFonts w:cs="GHEA Grapalat"/>
          <w:b w:val="0"/>
          <w:lang w:val="hy-AM"/>
        </w:rPr>
        <w:t>կանխատեսվող</w:t>
      </w:r>
      <w:r w:rsidRPr="00D178DD">
        <w:rPr>
          <w:b w:val="0"/>
          <w:lang w:val="hy-AM"/>
        </w:rPr>
        <w:t xml:space="preserve"> </w:t>
      </w:r>
      <w:r w:rsidRPr="00D178DD">
        <w:rPr>
          <w:rFonts w:cs="GHEA Grapalat"/>
          <w:b w:val="0"/>
          <w:lang w:val="hy-AM"/>
        </w:rPr>
        <w:t>ցուցանիշներով</w:t>
      </w:r>
      <w:r w:rsidRPr="00D178DD">
        <w:rPr>
          <w:b w:val="0"/>
          <w:lang w:val="hy-AM"/>
        </w:rPr>
        <w:t xml:space="preserve"> </w:t>
      </w:r>
      <w:r w:rsidRPr="00D178DD">
        <w:rPr>
          <w:rFonts w:cs="GHEA Grapalat"/>
          <w:b w:val="0"/>
          <w:lang w:val="hy-AM"/>
        </w:rPr>
        <w:t>համաշխարհային</w:t>
      </w:r>
      <w:r w:rsidRPr="00D178DD">
        <w:rPr>
          <w:b w:val="0"/>
          <w:lang w:val="hy-AM"/>
        </w:rPr>
        <w:t xml:space="preserve"> </w:t>
      </w:r>
      <w:r w:rsidRPr="00D178DD">
        <w:rPr>
          <w:rFonts w:cs="GHEA Grapalat"/>
          <w:b w:val="0"/>
          <w:lang w:val="hy-AM"/>
        </w:rPr>
        <w:t>մակարդակով</w:t>
      </w:r>
      <w:r w:rsidRPr="00D178DD">
        <w:rPr>
          <w:b w:val="0"/>
          <w:lang w:val="hy-AM"/>
        </w:rPr>
        <w:t xml:space="preserve"> </w:t>
      </w:r>
      <w:r w:rsidRPr="00D178DD">
        <w:rPr>
          <w:rFonts w:cs="GHEA Grapalat"/>
          <w:b w:val="0"/>
          <w:lang w:val="hy-AM"/>
        </w:rPr>
        <w:t>պարտքի</w:t>
      </w:r>
      <w:r w:rsidRPr="00D178DD">
        <w:rPr>
          <w:b w:val="0"/>
          <w:lang w:val="hy-AM"/>
        </w:rPr>
        <w:t xml:space="preserve"> </w:t>
      </w:r>
      <w:r w:rsidRPr="00D178DD">
        <w:rPr>
          <w:rFonts w:cs="GHEA Grapalat"/>
          <w:b w:val="0"/>
          <w:lang w:val="hy-AM"/>
        </w:rPr>
        <w:t>բեռի</w:t>
      </w:r>
      <w:r w:rsidRPr="00D178DD">
        <w:rPr>
          <w:b w:val="0"/>
          <w:lang w:val="hy-AM"/>
        </w:rPr>
        <w:t xml:space="preserve"> նվազում է գրանցվում՝ պայմանավորված ինչպես տնտեսական աճի ավելի արագ վերականգնմամբ, այնպես էլ պետական բյուջեի պակասուրդի ավելի արագ կրճատմամբ։ Այս փաստը վկայում է, որ 2021թ.-ին գրանցված տնտեսական վերականգնման պայմաններում կառավարությունները սկսել են իրականացնել հարկաբյուջետային կոնսոլիդացիա՝ պետական պարտքի բեռի աճը մեղմելու և հետագայում կայունացնելու նպատակադրմամբ, ինչը շարունակվում է նաև 2022թ</w:t>
      </w:r>
      <w:r w:rsidRPr="00D178DD">
        <w:rPr>
          <w:rFonts w:ascii="Cambria Math" w:hAnsi="Cambria Math" w:cs="Cambria Math"/>
          <w:b w:val="0"/>
          <w:lang w:val="hy-AM"/>
        </w:rPr>
        <w:t>․</w:t>
      </w:r>
      <w:r w:rsidRPr="00D178DD">
        <w:rPr>
          <w:b w:val="0"/>
          <w:lang w:val="hy-AM"/>
        </w:rPr>
        <w:t>-</w:t>
      </w:r>
      <w:r w:rsidRPr="00D178DD">
        <w:rPr>
          <w:rFonts w:cs="GHEA Grapalat"/>
          <w:b w:val="0"/>
          <w:lang w:val="hy-AM"/>
        </w:rPr>
        <w:t>ին</w:t>
      </w:r>
      <w:r w:rsidRPr="00D178DD">
        <w:rPr>
          <w:b w:val="0"/>
          <w:lang w:val="hy-AM"/>
        </w:rPr>
        <w:t xml:space="preserve">։ </w:t>
      </w:r>
    </w:p>
    <w:p w:rsidR="00D178DD" w:rsidRPr="00D178DD" w:rsidRDefault="00D178DD" w:rsidP="00D178DD">
      <w:pPr>
        <w:spacing w:line="276" w:lineRule="auto"/>
        <w:ind w:firstLine="720"/>
        <w:rPr>
          <w:b w:val="0"/>
          <w:lang w:val="hy-AM"/>
        </w:rPr>
      </w:pPr>
      <w:r w:rsidRPr="00D178DD">
        <w:rPr>
          <w:b w:val="0"/>
          <w:lang w:val="hy-AM"/>
        </w:rPr>
        <w:t>Միաժամանակ, 2022թ</w:t>
      </w:r>
      <w:r w:rsidRPr="00D178DD">
        <w:rPr>
          <w:rFonts w:ascii="Cambria Math" w:hAnsi="Cambria Math" w:cs="Cambria Math"/>
          <w:b w:val="0"/>
          <w:lang w:val="hy-AM"/>
        </w:rPr>
        <w:t>․</w:t>
      </w:r>
      <w:r w:rsidRPr="00D178DD">
        <w:rPr>
          <w:b w:val="0"/>
          <w:lang w:val="hy-AM"/>
        </w:rPr>
        <w:t>-</w:t>
      </w:r>
      <w:r w:rsidRPr="00D178DD">
        <w:rPr>
          <w:rFonts w:cs="GHEA Grapalat"/>
          <w:b w:val="0"/>
          <w:lang w:val="hy-AM"/>
        </w:rPr>
        <w:t>ի</w:t>
      </w:r>
      <w:r w:rsidRPr="00D178DD">
        <w:rPr>
          <w:b w:val="0"/>
          <w:lang w:val="hy-AM"/>
        </w:rPr>
        <w:t xml:space="preserve"> </w:t>
      </w:r>
      <w:r w:rsidRPr="00D178DD">
        <w:rPr>
          <w:rFonts w:cs="GHEA Grapalat"/>
          <w:b w:val="0"/>
          <w:lang w:val="hy-AM"/>
        </w:rPr>
        <w:t>փետրվարից</w:t>
      </w:r>
      <w:r w:rsidRPr="00D178DD">
        <w:rPr>
          <w:b w:val="0"/>
          <w:lang w:val="hy-AM"/>
        </w:rPr>
        <w:t xml:space="preserve"> </w:t>
      </w:r>
      <w:r w:rsidRPr="00D178DD">
        <w:rPr>
          <w:rFonts w:cs="GHEA Grapalat"/>
          <w:b w:val="0"/>
          <w:lang w:val="hy-AM"/>
        </w:rPr>
        <w:t>սկսված</w:t>
      </w:r>
      <w:r w:rsidRPr="00D178DD">
        <w:rPr>
          <w:b w:val="0"/>
          <w:lang w:val="hy-AM"/>
        </w:rPr>
        <w:t xml:space="preserve"> </w:t>
      </w:r>
      <w:r w:rsidRPr="00D178DD">
        <w:rPr>
          <w:rFonts w:cs="GHEA Grapalat"/>
          <w:b w:val="0"/>
          <w:lang w:val="hy-AM"/>
        </w:rPr>
        <w:t>ռուս</w:t>
      </w:r>
      <w:r w:rsidRPr="00D178DD">
        <w:rPr>
          <w:b w:val="0"/>
          <w:lang w:val="hy-AM"/>
        </w:rPr>
        <w:t>-</w:t>
      </w:r>
      <w:r w:rsidRPr="00D178DD">
        <w:rPr>
          <w:rFonts w:cs="GHEA Grapalat"/>
          <w:b w:val="0"/>
          <w:lang w:val="hy-AM"/>
        </w:rPr>
        <w:t>ուկրաինական</w:t>
      </w:r>
      <w:r w:rsidRPr="00D178DD">
        <w:rPr>
          <w:b w:val="0"/>
          <w:lang w:val="hy-AM"/>
        </w:rPr>
        <w:t xml:space="preserve"> </w:t>
      </w:r>
      <w:r w:rsidRPr="00D178DD">
        <w:rPr>
          <w:rFonts w:cs="GHEA Grapalat"/>
          <w:b w:val="0"/>
          <w:lang w:val="hy-AM"/>
        </w:rPr>
        <w:t>պատերազմը</w:t>
      </w:r>
      <w:r w:rsidRPr="00D178DD">
        <w:rPr>
          <w:b w:val="0"/>
          <w:lang w:val="hy-AM"/>
        </w:rPr>
        <w:t xml:space="preserve"> </w:t>
      </w:r>
      <w:r w:rsidRPr="00D178DD">
        <w:rPr>
          <w:rFonts w:cs="GHEA Grapalat"/>
          <w:b w:val="0"/>
          <w:lang w:val="hy-AM"/>
        </w:rPr>
        <w:t>բարձր</w:t>
      </w:r>
      <w:r w:rsidRPr="00D178DD">
        <w:rPr>
          <w:b w:val="0"/>
          <w:lang w:val="hy-AM"/>
        </w:rPr>
        <w:t xml:space="preserve"> </w:t>
      </w:r>
      <w:r w:rsidRPr="00D178DD">
        <w:rPr>
          <w:rFonts w:cs="GHEA Grapalat"/>
          <w:b w:val="0"/>
          <w:lang w:val="hy-AM"/>
        </w:rPr>
        <w:t>անորոշություն</w:t>
      </w:r>
      <w:r w:rsidRPr="00D178DD">
        <w:rPr>
          <w:b w:val="0"/>
          <w:lang w:val="hy-AM"/>
        </w:rPr>
        <w:t xml:space="preserve"> </w:t>
      </w:r>
      <w:r w:rsidRPr="00D178DD">
        <w:rPr>
          <w:rFonts w:cs="GHEA Grapalat"/>
          <w:b w:val="0"/>
          <w:lang w:val="hy-AM"/>
        </w:rPr>
        <w:t>է</w:t>
      </w:r>
      <w:r w:rsidRPr="00D178DD">
        <w:rPr>
          <w:b w:val="0"/>
          <w:lang w:val="hy-AM"/>
        </w:rPr>
        <w:t xml:space="preserve"> </w:t>
      </w:r>
      <w:r w:rsidRPr="00D178DD">
        <w:rPr>
          <w:rFonts w:cs="GHEA Grapalat"/>
          <w:b w:val="0"/>
          <w:lang w:val="hy-AM"/>
        </w:rPr>
        <w:t>ստեղծում</w:t>
      </w:r>
      <w:r w:rsidRPr="00D178DD">
        <w:rPr>
          <w:b w:val="0"/>
          <w:lang w:val="hy-AM"/>
        </w:rPr>
        <w:t xml:space="preserve"> </w:t>
      </w:r>
      <w:r w:rsidRPr="00D178DD">
        <w:rPr>
          <w:rFonts w:cs="GHEA Grapalat"/>
          <w:b w:val="0"/>
          <w:lang w:val="hy-AM"/>
        </w:rPr>
        <w:t>հարկաբյուջետա</w:t>
      </w:r>
      <w:r w:rsidRPr="00D178DD">
        <w:rPr>
          <w:b w:val="0"/>
          <w:lang w:val="hy-AM"/>
        </w:rPr>
        <w:t xml:space="preserve">յին կոնսոլիդացիայի ապահովման համար՝ հանգեցնելով ցածր տնտեսական աճի, բարձր գնաճի և դրանից բխող՝ սոցիալական ծախսերի վրա ավելացող ճնշման ռիսկերի: Այդ ռիսկերի հաշվի առնելով, աշխարհի մակարդակով արդեն իսկ տնտեսական աճի կանխատեսումները ճշգրտվել են դեպի ներքև, իսկ բյուջեի պակասուրդի կանխատեսումները՝ դեպի վեր, ինչի արդյունքում սպասվում է նաև պետական պարտքի առավել մեծ ավելացում (գծապատկեր 1.7): </w:t>
      </w:r>
    </w:p>
    <w:p w:rsidR="00D178DD" w:rsidRPr="00D178DD" w:rsidRDefault="00D178DD" w:rsidP="00D178DD">
      <w:pPr>
        <w:keepNext/>
        <w:keepLines/>
        <w:spacing w:before="60" w:after="40" w:line="276" w:lineRule="auto"/>
        <w:ind w:firstLine="0"/>
        <w:contextualSpacing w:val="0"/>
        <w:jc w:val="left"/>
        <w:rPr>
          <w:rFonts w:eastAsiaTheme="majorEastAsia"/>
          <w:i/>
          <w:szCs w:val="22"/>
          <w:lang w:val="hy-AM" w:eastAsia="en-US"/>
        </w:rPr>
      </w:pPr>
      <w:r w:rsidRPr="00D178DD">
        <w:rPr>
          <w:rFonts w:eastAsiaTheme="majorEastAsia"/>
          <w:i/>
          <w:szCs w:val="22"/>
          <w:lang w:val="hy-AM" w:eastAsia="en-US"/>
        </w:rPr>
        <w:lastRenderedPageBreak/>
        <w:t xml:space="preserve">Գծապատկեր 1.7. Համաշխարհային տնտեսության և հարկաբյուջետային քաղաքականության արձագանքը (% ՀՆԱ-ում) ճգնաժամերին և հաջորդող տարիներին </w:t>
      </w:r>
    </w:p>
    <w:tbl>
      <w:tblPr>
        <w:tblW w:w="10018"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306"/>
        <w:gridCol w:w="3336"/>
        <w:gridCol w:w="3426"/>
      </w:tblGrid>
      <w:tr w:rsidR="00D178DD" w:rsidRPr="000C4EB4" w:rsidTr="004B2286">
        <w:trPr>
          <w:trHeight w:val="4353"/>
        </w:trPr>
        <w:tc>
          <w:tcPr>
            <w:tcW w:w="3290" w:type="dxa"/>
          </w:tcPr>
          <w:p w:rsidR="00D178DD" w:rsidRPr="00D178DD" w:rsidRDefault="00D178DD" w:rsidP="00D178DD">
            <w:pPr>
              <w:spacing w:before="40" w:after="160" w:line="276" w:lineRule="auto"/>
              <w:ind w:firstLine="0"/>
              <w:jc w:val="left"/>
              <w:rPr>
                <w:rFonts w:eastAsia="Calibri"/>
                <w:b w:val="0"/>
                <w:i/>
                <w:sz w:val="18"/>
                <w:szCs w:val="16"/>
                <w:lang w:val="hy-AM" w:eastAsia="en-US"/>
              </w:rPr>
            </w:pPr>
            <w:r w:rsidRPr="00D178DD">
              <w:rPr>
                <w:rFonts w:eastAsia="Calibri"/>
                <w:b w:val="0"/>
                <w:i/>
                <w:noProof/>
                <w:sz w:val="18"/>
                <w:szCs w:val="16"/>
                <w:lang w:val="en-US" w:eastAsia="en-US"/>
              </w:rPr>
              <w:drawing>
                <wp:anchor distT="0" distB="0" distL="114300" distR="114300" simplePos="0" relativeHeight="251676672" behindDoc="1" locked="0" layoutInCell="1" allowOverlap="1" wp14:anchorId="03CBDF12" wp14:editId="3F396365">
                  <wp:simplePos x="0" y="0"/>
                  <wp:positionH relativeFrom="column">
                    <wp:posOffset>-10160</wp:posOffset>
                  </wp:positionH>
                  <wp:positionV relativeFrom="paragraph">
                    <wp:posOffset>19685</wp:posOffset>
                  </wp:positionV>
                  <wp:extent cx="1943735" cy="2695575"/>
                  <wp:effectExtent l="0" t="0" r="18415" b="9525"/>
                  <wp:wrapTight wrapText="bothSides">
                    <wp:wrapPolygon edited="0">
                      <wp:start x="0" y="0"/>
                      <wp:lineTo x="0" y="21524"/>
                      <wp:lineTo x="21593" y="21524"/>
                      <wp:lineTo x="21593" y="0"/>
                      <wp:lineTo x="0" y="0"/>
                    </wp:wrapPolygon>
                  </wp:wrapTight>
                  <wp:docPr id="2069" name="Chart 20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c>
        <w:tc>
          <w:tcPr>
            <w:tcW w:w="3409" w:type="dxa"/>
          </w:tcPr>
          <w:p w:rsidR="00D178DD" w:rsidRPr="00D178DD" w:rsidRDefault="00D178DD" w:rsidP="00D178DD">
            <w:pPr>
              <w:spacing w:line="276" w:lineRule="auto"/>
              <w:rPr>
                <w:rFonts w:eastAsia="Calibri"/>
                <w:lang w:val="hy-AM"/>
              </w:rPr>
            </w:pPr>
            <w:r w:rsidRPr="00D178DD">
              <w:rPr>
                <w:rFonts w:eastAsia="Calibri"/>
                <w:noProof/>
                <w:lang w:val="en-US" w:eastAsia="en-US"/>
              </w:rPr>
              <w:drawing>
                <wp:anchor distT="0" distB="0" distL="114300" distR="114300" simplePos="0" relativeHeight="251678720" behindDoc="1" locked="0" layoutInCell="1" allowOverlap="1" wp14:anchorId="17A6F9D4" wp14:editId="7BCAEF36">
                  <wp:simplePos x="0" y="0"/>
                  <wp:positionH relativeFrom="column">
                    <wp:posOffset>-6350</wp:posOffset>
                  </wp:positionH>
                  <wp:positionV relativeFrom="paragraph">
                    <wp:posOffset>19685</wp:posOffset>
                  </wp:positionV>
                  <wp:extent cx="1979930" cy="2695575"/>
                  <wp:effectExtent l="0" t="0" r="1270" b="9525"/>
                  <wp:wrapTight wrapText="bothSides">
                    <wp:wrapPolygon edited="0">
                      <wp:start x="0" y="0"/>
                      <wp:lineTo x="0" y="21524"/>
                      <wp:lineTo x="21406" y="21524"/>
                      <wp:lineTo x="21406" y="0"/>
                      <wp:lineTo x="0" y="0"/>
                    </wp:wrapPolygon>
                  </wp:wrapTight>
                  <wp:docPr id="2071" name="Chart 20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tc>
        <w:tc>
          <w:tcPr>
            <w:tcW w:w="3319" w:type="dxa"/>
          </w:tcPr>
          <w:p w:rsidR="00D178DD" w:rsidRPr="00D178DD" w:rsidRDefault="00D178DD" w:rsidP="00D178DD">
            <w:pPr>
              <w:spacing w:line="276" w:lineRule="auto"/>
              <w:rPr>
                <w:rFonts w:eastAsia="Calibri"/>
                <w:lang w:val="hy-AM"/>
              </w:rPr>
            </w:pPr>
            <w:r w:rsidRPr="00D178DD">
              <w:rPr>
                <w:rFonts w:eastAsia="Calibri"/>
                <w:noProof/>
                <w:lang w:val="en-US" w:eastAsia="en-US"/>
              </w:rPr>
              <w:drawing>
                <wp:anchor distT="0" distB="0" distL="114300" distR="114300" simplePos="0" relativeHeight="251677696" behindDoc="1" locked="0" layoutInCell="1" allowOverlap="1" wp14:anchorId="3347E979" wp14:editId="68D48E5D">
                  <wp:simplePos x="0" y="0"/>
                  <wp:positionH relativeFrom="column">
                    <wp:posOffset>48895</wp:posOffset>
                  </wp:positionH>
                  <wp:positionV relativeFrom="paragraph">
                    <wp:posOffset>17145</wp:posOffset>
                  </wp:positionV>
                  <wp:extent cx="2038350" cy="2695575"/>
                  <wp:effectExtent l="0" t="0" r="0" b="9525"/>
                  <wp:wrapTight wrapText="bothSides">
                    <wp:wrapPolygon edited="0">
                      <wp:start x="0" y="0"/>
                      <wp:lineTo x="0" y="21524"/>
                      <wp:lineTo x="21398" y="21524"/>
                      <wp:lineTo x="21398" y="0"/>
                      <wp:lineTo x="0" y="0"/>
                    </wp:wrapPolygon>
                  </wp:wrapTight>
                  <wp:docPr id="2070" name="Chart 20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tc>
      </w:tr>
    </w:tbl>
    <w:p w:rsidR="00D178DD" w:rsidRPr="00D178DD" w:rsidRDefault="00D178DD" w:rsidP="00D178DD">
      <w:pPr>
        <w:spacing w:before="40" w:after="160" w:line="276" w:lineRule="auto"/>
        <w:ind w:firstLine="0"/>
        <w:jc w:val="left"/>
        <w:rPr>
          <w:rFonts w:eastAsia="Calibri"/>
          <w:b w:val="0"/>
          <w:i/>
          <w:sz w:val="18"/>
          <w:szCs w:val="16"/>
          <w:lang w:val="hy-AM" w:eastAsia="en-US"/>
        </w:rPr>
      </w:pPr>
      <w:r w:rsidRPr="00D178DD">
        <w:rPr>
          <w:rFonts w:eastAsia="Calibri"/>
          <w:b w:val="0"/>
          <w:i/>
          <w:sz w:val="18"/>
          <w:szCs w:val="16"/>
          <w:lang w:val="hy-AM" w:eastAsia="en-US"/>
        </w:rPr>
        <w:t>Աղբյուրը՝ ԱՄՀ, 2022թ. կանխատեսում:</w:t>
      </w:r>
    </w:p>
    <w:p w:rsidR="00D178DD" w:rsidRPr="00D178DD" w:rsidRDefault="00D178DD" w:rsidP="00D178DD">
      <w:pPr>
        <w:spacing w:line="276" w:lineRule="auto"/>
        <w:rPr>
          <w:bCs/>
          <w:lang w:val="hy-AM"/>
        </w:rPr>
      </w:pPr>
    </w:p>
    <w:p w:rsidR="00D178DD" w:rsidRPr="00D178DD" w:rsidRDefault="00D178DD" w:rsidP="00D178DD">
      <w:pPr>
        <w:spacing w:before="0" w:line="240" w:lineRule="auto"/>
        <w:ind w:firstLine="0"/>
        <w:contextualSpacing w:val="0"/>
        <w:jc w:val="left"/>
        <w:rPr>
          <w:bCs/>
          <w:sz w:val="28"/>
          <w:szCs w:val="28"/>
          <w:lang w:val="hy-AM"/>
        </w:rPr>
      </w:pPr>
      <w:bookmarkStart w:id="34" w:name="_Toc57559414"/>
      <w:bookmarkStart w:id="35" w:name="_Toc83663896"/>
      <w:bookmarkStart w:id="36" w:name="_Toc83972832"/>
      <w:bookmarkStart w:id="37" w:name="_Toc45705389"/>
      <w:bookmarkEnd w:id="32"/>
      <w:bookmarkEnd w:id="33"/>
      <w:r w:rsidRPr="00D178DD">
        <w:rPr>
          <w:bCs/>
          <w:sz w:val="28"/>
          <w:szCs w:val="28"/>
          <w:lang w:val="hy-AM"/>
        </w:rPr>
        <w:br w:type="page"/>
      </w:r>
    </w:p>
    <w:p w:rsidR="00D178DD" w:rsidRPr="00D178DD" w:rsidRDefault="00D178DD" w:rsidP="00D178DD">
      <w:pPr>
        <w:keepNext/>
        <w:keepLines/>
        <w:spacing w:before="240" w:after="60" w:line="276" w:lineRule="auto"/>
        <w:ind w:firstLine="0"/>
        <w:outlineLvl w:val="2"/>
        <w:rPr>
          <w:bCs/>
          <w:sz w:val="24"/>
          <w:lang w:val="hy-AM" w:eastAsia="en-US"/>
        </w:rPr>
      </w:pPr>
      <w:bookmarkStart w:id="38" w:name="_Toc115686018"/>
      <w:bookmarkStart w:id="39" w:name="_Toc120805192"/>
      <w:bookmarkStart w:id="40" w:name="_Toc165901404"/>
      <w:r w:rsidRPr="00D178DD">
        <w:rPr>
          <w:bCs/>
          <w:sz w:val="24"/>
          <w:lang w:val="hy-AM" w:eastAsia="en-US"/>
        </w:rPr>
        <w:lastRenderedPageBreak/>
        <w:t>1.3. ՀՀ ՄԱԿՐՈՏՆՏԵՍԱԿԱՆ ԶԱՐԳԱՑՈՒՄՆԵՐ ԵՎ ԿԱՆԽԱՏԵՍՈՒՄՆԵՐ</w:t>
      </w:r>
      <w:bookmarkEnd w:id="34"/>
      <w:bookmarkEnd w:id="35"/>
      <w:bookmarkEnd w:id="36"/>
      <w:bookmarkEnd w:id="38"/>
      <w:bookmarkEnd w:id="39"/>
      <w:bookmarkEnd w:id="40"/>
    </w:p>
    <w:p w:rsidR="00D178DD" w:rsidRPr="00D178DD" w:rsidRDefault="00D178DD" w:rsidP="00D178DD">
      <w:pPr>
        <w:spacing w:before="0" w:after="120" w:line="240" w:lineRule="auto"/>
        <w:ind w:firstLine="0"/>
        <w:contextualSpacing w:val="0"/>
        <w:jc w:val="left"/>
        <w:rPr>
          <w:rFonts w:eastAsia="Calibri"/>
          <w:bCs/>
          <w:sz w:val="24"/>
          <w:lang w:val="hy-AM" w:eastAsia="en-US"/>
        </w:rPr>
      </w:pPr>
      <w:bookmarkStart w:id="41" w:name="_Toc45705385"/>
      <w:bookmarkStart w:id="42" w:name="_Toc51360523"/>
      <w:r w:rsidRPr="00D178DD">
        <w:rPr>
          <w:rFonts w:eastAsia="Calibri"/>
          <w:bCs/>
          <w:sz w:val="24"/>
          <w:lang w:val="hy-AM" w:eastAsia="en-US"/>
        </w:rPr>
        <w:t>1.3.1. ՀՆԱ և տնտեսական աճ</w:t>
      </w:r>
      <w:bookmarkEnd w:id="41"/>
      <w:bookmarkEnd w:id="42"/>
    </w:p>
    <w:p w:rsidR="00D178DD" w:rsidRPr="00D178DD" w:rsidRDefault="00D178DD" w:rsidP="00D178DD">
      <w:pPr>
        <w:spacing w:before="40" w:after="60" w:line="276" w:lineRule="auto"/>
        <w:ind w:firstLine="634"/>
        <w:contextualSpacing w:val="0"/>
        <w:rPr>
          <w:rFonts w:cs="Sylfaen"/>
          <w:b w:val="0"/>
          <w:bCs/>
          <w:szCs w:val="22"/>
          <w:lang w:val="hy-AM" w:eastAsia="en-US"/>
        </w:rPr>
      </w:pPr>
      <w:r w:rsidRPr="00D178DD">
        <w:rPr>
          <w:rFonts w:cs="Sylfaen"/>
          <w:bCs/>
          <w:szCs w:val="22"/>
          <w:lang w:val="hy-AM" w:eastAsia="en-US"/>
        </w:rPr>
        <w:t xml:space="preserve">2020թ. Համավարակի և </w:t>
      </w:r>
      <w:r w:rsidR="00822D2B" w:rsidRPr="00822D2B">
        <w:rPr>
          <w:rFonts w:cs="Sylfaen"/>
          <w:bCs/>
          <w:szCs w:val="22"/>
          <w:lang w:val="hy-AM" w:eastAsia="en-US"/>
        </w:rPr>
        <w:t>Ղարաբաղ</w:t>
      </w:r>
      <w:r w:rsidRPr="00D178DD">
        <w:rPr>
          <w:rFonts w:cs="Sylfaen"/>
          <w:bCs/>
          <w:szCs w:val="22"/>
          <w:lang w:val="hy-AM" w:eastAsia="en-US"/>
        </w:rPr>
        <w:t xml:space="preserve">յան պատերազմի բացասական ազդեցություններով պայմանավորված տնտեսական անկումից հետո՝ ՀՀ կառավարության կողմից իրականացված տնտեսական անկմանը հակազդող, ինչպես նաև հետագա վերականգնումը խթանող հարկաբյուջետային քաղաքականության պայմաններում 2021թ. տնտեսությունը թևակոխեց վերականգնման փուլ` գրանցելով 5.7% իրական աճ: </w:t>
      </w:r>
      <w:r w:rsidRPr="00D178DD">
        <w:rPr>
          <w:rFonts w:cs="Sylfaen"/>
          <w:b w:val="0"/>
          <w:bCs/>
          <w:szCs w:val="22"/>
          <w:lang w:val="hy-AM" w:eastAsia="en-US"/>
        </w:rPr>
        <w:t xml:space="preserve">Տնտեսական աճին հիմնականում նպաստեց ծառայությունների ճյուղը։ Պահանջարկի տեսանկյունից տնտեսական աճը պայմանավորեցին ներքին պահանջարկի և արտահանման աճերը։ </w:t>
      </w:r>
    </w:p>
    <w:p w:rsidR="00D178DD" w:rsidRPr="00D178DD" w:rsidRDefault="00D178DD" w:rsidP="00D178DD">
      <w:pPr>
        <w:spacing w:before="40" w:after="120" w:line="276" w:lineRule="auto"/>
        <w:ind w:firstLine="634"/>
        <w:contextualSpacing w:val="0"/>
        <w:rPr>
          <w:rFonts w:cs="Sylfaen"/>
          <w:b w:val="0"/>
          <w:szCs w:val="22"/>
          <w:lang w:val="hy-AM" w:eastAsia="en-US"/>
        </w:rPr>
      </w:pPr>
      <w:r w:rsidRPr="00D178DD">
        <w:rPr>
          <w:bCs/>
          <w:szCs w:val="22"/>
          <w:lang w:val="hy-AM"/>
        </w:rPr>
        <w:t>Տնտեսության վերականգնման տեմպերը շարունակվեցին նաև 2022թ. տարեսկզբին, իսկ   ապրիլ ամսից հակամարտող երկրներից դեպի Հայաստան մարդկանց և կապիտալի ներհոսքերի, ինչպես նաև զբոսաշրջության զգալի ավելացման և ՏՏ ոլորտի ընկերությունների և աշխատակիցների՝ ՀՀ տեղափոխման արդյունքում տնտեսական ակտիվության աճի տեմպերը կտրուկ արագացան։ Արդյունքում առաջին կիսամյակում գրանցվեց 11% տնտեսական աճ։</w:t>
      </w:r>
      <w:r w:rsidRPr="00D178DD">
        <w:rPr>
          <w:rFonts w:cs="Sylfaen"/>
          <w:szCs w:val="22"/>
          <w:lang w:val="hy-AM" w:eastAsia="en-US"/>
        </w:rPr>
        <w:t xml:space="preserve"> </w:t>
      </w:r>
      <w:r w:rsidRPr="00D178DD">
        <w:rPr>
          <w:rFonts w:cs="Sylfaen"/>
          <w:b w:val="0"/>
          <w:szCs w:val="22"/>
          <w:lang w:val="hy-AM" w:eastAsia="en-US"/>
        </w:rPr>
        <w:t>Տնտեսության բոլոր ճյուղերը (բացառությամբ՝ գյուղատնտեսության) աճեցին, սակայն տնտեսական աճը պայմանավորվեց հիմնականում ծառայությունների աճով (նպաստումը՝ 9.0 տոկոսային կետ)։ Ընդ որում՝ նոր տնտեսական իրողություններով պայմանավորված բարձր աճեր գրանցվեցին ֆինանսական և ապահովագրական գործունեության</w:t>
      </w:r>
      <w:r w:rsidRPr="00D178DD">
        <w:rPr>
          <w:rFonts w:ascii="Arial Armenian" w:hAnsi="Arial Armenian" w:cs="Sylfaen"/>
          <w:b w:val="0"/>
          <w:sz w:val="20"/>
          <w:szCs w:val="20"/>
          <w:vertAlign w:val="superscript"/>
          <w:lang w:val="hy-AM" w:eastAsia="en-US"/>
        </w:rPr>
        <w:footnoteReference w:id="4"/>
      </w:r>
      <w:r w:rsidRPr="00D178DD">
        <w:rPr>
          <w:rFonts w:cs="Sylfaen"/>
          <w:b w:val="0"/>
          <w:szCs w:val="22"/>
          <w:lang w:val="hy-AM" w:eastAsia="en-US"/>
        </w:rPr>
        <w:t>, փոխադրումների և պահեստային տնտեսության, կացության և հանրային սննդի կազմակերպման, առևտրի, ինչպես նաև տեղեկատվություն և կապ ենթաճյուղերում:</w:t>
      </w:r>
    </w:p>
    <w:tbl>
      <w:tblPr>
        <w:tblW w:w="0" w:type="auto"/>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4845"/>
        <w:gridCol w:w="4901"/>
      </w:tblGrid>
      <w:tr w:rsidR="00D178DD" w:rsidRPr="000C4EB4" w:rsidTr="004B2286">
        <w:trPr>
          <w:trHeight w:val="3430"/>
          <w:jc w:val="center"/>
        </w:trPr>
        <w:tc>
          <w:tcPr>
            <w:tcW w:w="4845" w:type="dxa"/>
          </w:tcPr>
          <w:p w:rsidR="00D178DD" w:rsidRPr="00D178DD" w:rsidRDefault="00D178DD" w:rsidP="00D178DD">
            <w:pPr>
              <w:spacing w:before="0" w:after="60" w:line="240" w:lineRule="auto"/>
              <w:ind w:firstLine="0"/>
              <w:contextualSpacing w:val="0"/>
              <w:rPr>
                <w:i/>
                <w:noProof/>
                <w:sz w:val="18"/>
                <w:szCs w:val="18"/>
                <w:lang w:val="hy-AM" w:eastAsia="en-US"/>
              </w:rPr>
            </w:pPr>
            <w:r w:rsidRPr="00D178DD">
              <w:rPr>
                <w:i/>
                <w:noProof/>
                <w:sz w:val="18"/>
                <w:szCs w:val="18"/>
                <w:lang w:val="hy-AM" w:eastAsia="en-US"/>
              </w:rPr>
              <w:t>Գծապատկեր 1.8. ՀՆԱ աճ (%) և ճյուղերի նպաստում- ները ՀՆԱ աճին (տ.կ.)</w:t>
            </w:r>
          </w:p>
          <w:p w:rsidR="00D178DD" w:rsidRPr="00D178DD" w:rsidRDefault="00D178DD" w:rsidP="00D178DD">
            <w:pPr>
              <w:spacing w:before="0" w:line="276" w:lineRule="auto"/>
              <w:ind w:firstLine="29"/>
              <w:contextualSpacing w:val="0"/>
              <w:jc w:val="left"/>
              <w:rPr>
                <w:rFonts w:ascii="Times New Roman" w:hAnsi="Times New Roman"/>
                <w:b w:val="0"/>
                <w:sz w:val="24"/>
                <w:lang w:val="en-US" w:eastAsia="en-US"/>
              </w:rPr>
            </w:pPr>
            <w:r w:rsidRPr="00D178DD">
              <w:rPr>
                <w:rFonts w:ascii="Times New Roman" w:hAnsi="Times New Roman"/>
                <w:b w:val="0"/>
                <w:noProof/>
                <w:color w:val="1F4E79"/>
                <w:sz w:val="24"/>
                <w:lang w:val="en-US" w:eastAsia="en-US"/>
              </w:rPr>
              <w:drawing>
                <wp:inline distT="0" distB="0" distL="0" distR="0" wp14:anchorId="3D666399" wp14:editId="1C07A7F2">
                  <wp:extent cx="2903855" cy="1698625"/>
                  <wp:effectExtent l="0" t="0" r="10795" b="15875"/>
                  <wp:docPr id="9" name="Chart 9">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78DD" w:rsidRPr="00D178DD" w:rsidRDefault="00D178DD" w:rsidP="00D178DD">
            <w:pPr>
              <w:spacing w:before="0" w:line="276" w:lineRule="auto"/>
              <w:ind w:firstLine="0"/>
              <w:jc w:val="left"/>
              <w:rPr>
                <w:b w:val="0"/>
                <w:i/>
                <w:sz w:val="16"/>
                <w:szCs w:val="16"/>
                <w:lang w:val="hy-AM" w:eastAsia="en-US"/>
              </w:rPr>
            </w:pPr>
            <w:r w:rsidRPr="00D178DD">
              <w:rPr>
                <w:rFonts w:eastAsia="Calibri"/>
                <w:b w:val="0"/>
                <w:i/>
                <w:sz w:val="16"/>
                <w:szCs w:val="16"/>
                <w:lang w:val="hy-AM"/>
              </w:rPr>
              <w:t>Աղբյուրը՝ ՀՀ ՎԿ, ՀՀ ՖՆ հաշվարկներ</w:t>
            </w:r>
            <w:r w:rsidRPr="00D178DD">
              <w:rPr>
                <w:b w:val="0"/>
                <w:i/>
                <w:sz w:val="18"/>
                <w:szCs w:val="16"/>
                <w:lang w:val="hy-AM" w:eastAsia="en-US"/>
              </w:rPr>
              <w:t xml:space="preserve"> </w:t>
            </w:r>
          </w:p>
        </w:tc>
        <w:tc>
          <w:tcPr>
            <w:tcW w:w="4901" w:type="dxa"/>
          </w:tcPr>
          <w:p w:rsidR="00D178DD" w:rsidRPr="00D178DD" w:rsidRDefault="00D178DD" w:rsidP="00D178DD">
            <w:pPr>
              <w:spacing w:before="0" w:after="60" w:line="240" w:lineRule="auto"/>
              <w:ind w:firstLine="0"/>
              <w:contextualSpacing w:val="0"/>
              <w:rPr>
                <w:i/>
                <w:noProof/>
                <w:sz w:val="18"/>
                <w:szCs w:val="18"/>
                <w:lang w:val="hy-AM" w:eastAsia="en-US"/>
              </w:rPr>
            </w:pPr>
            <w:r w:rsidRPr="00D178DD">
              <w:rPr>
                <w:i/>
                <w:noProof/>
                <w:sz w:val="18"/>
                <w:szCs w:val="18"/>
                <w:lang w:val="hy-AM" w:eastAsia="en-US"/>
              </w:rPr>
              <w:t>Գծապատկեր 1.9. ՀՆԱ աճ (%) և պահանջարկի բաղա- դրիչների նպաստումները ՀՆԱ աճին (տ.կ.)</w:t>
            </w:r>
          </w:p>
          <w:p w:rsidR="00D178DD" w:rsidRPr="00D178DD" w:rsidRDefault="00D178DD" w:rsidP="00D178DD">
            <w:pPr>
              <w:spacing w:before="0" w:line="276" w:lineRule="auto"/>
              <w:ind w:firstLine="0"/>
              <w:rPr>
                <w:i/>
                <w:noProof/>
                <w:szCs w:val="22"/>
                <w:lang w:val="hy-AM" w:eastAsia="en-US"/>
              </w:rPr>
            </w:pPr>
            <w:r w:rsidRPr="00D178DD">
              <w:rPr>
                <w:i/>
                <w:noProof/>
                <w:color w:val="1F4E79"/>
                <w:szCs w:val="22"/>
                <w:lang w:val="en-US" w:eastAsia="en-US"/>
              </w:rPr>
              <w:drawing>
                <wp:inline distT="0" distB="0" distL="0" distR="0" wp14:anchorId="6CC2ADB4" wp14:editId="038EB47A">
                  <wp:extent cx="2962275" cy="1698984"/>
                  <wp:effectExtent l="0" t="0" r="9525" b="15875"/>
                  <wp:docPr id="10" name="Chart 10">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78DD" w:rsidRPr="00D178DD" w:rsidRDefault="00D178DD" w:rsidP="00D178DD">
            <w:pPr>
              <w:spacing w:before="40" w:line="276" w:lineRule="auto"/>
              <w:ind w:firstLine="0"/>
              <w:contextualSpacing w:val="0"/>
              <w:jc w:val="left"/>
              <w:rPr>
                <w:b w:val="0"/>
                <w:i/>
                <w:sz w:val="16"/>
                <w:szCs w:val="16"/>
                <w:lang w:val="hy-AM" w:eastAsia="en-US"/>
              </w:rPr>
            </w:pPr>
            <w:r w:rsidRPr="00D178DD">
              <w:rPr>
                <w:rFonts w:eastAsia="Calibri"/>
                <w:b w:val="0"/>
                <w:i/>
                <w:sz w:val="16"/>
                <w:szCs w:val="16"/>
                <w:lang w:val="hy-AM"/>
              </w:rPr>
              <w:t>Աղբյուրը՝ ՀՀ ՎԿ, ՀՀ ՖՆ հաշվարկներ</w:t>
            </w:r>
          </w:p>
        </w:tc>
      </w:tr>
    </w:tbl>
    <w:p w:rsidR="00D178DD" w:rsidRPr="00D178DD" w:rsidRDefault="00D178DD" w:rsidP="00D178DD">
      <w:pPr>
        <w:spacing w:after="120" w:line="276" w:lineRule="auto"/>
        <w:ind w:firstLine="634"/>
        <w:contextualSpacing w:val="0"/>
        <w:rPr>
          <w:rFonts w:cs="Sylfaen"/>
          <w:b w:val="0"/>
          <w:szCs w:val="22"/>
          <w:lang w:val="hy-AM" w:eastAsia="en-US"/>
        </w:rPr>
      </w:pPr>
      <w:r w:rsidRPr="00D178DD">
        <w:rPr>
          <w:rFonts w:cs="Sylfaen"/>
          <w:b w:val="0"/>
          <w:szCs w:val="22"/>
          <w:lang w:val="hy-AM" w:eastAsia="en-US"/>
        </w:rPr>
        <w:t xml:space="preserve">Հուլիս-օգոստոս ամիսներին </w:t>
      </w:r>
      <w:r w:rsidRPr="00D178DD">
        <w:rPr>
          <w:rFonts w:cs="Sylfaen"/>
          <w:b w:val="0"/>
          <w:bCs/>
          <w:szCs w:val="22"/>
          <w:lang w:val="hy-AM" w:eastAsia="en-US"/>
        </w:rPr>
        <w:t>տնտեսական ակտիվության աճը շարունակվեց և</w:t>
      </w:r>
      <w:r w:rsidRPr="00D178DD">
        <w:rPr>
          <w:rFonts w:cs="Sylfaen"/>
          <w:bCs/>
          <w:szCs w:val="22"/>
          <w:lang w:val="hy-AM" w:eastAsia="en-US"/>
        </w:rPr>
        <w:t xml:space="preserve"> </w:t>
      </w:r>
      <w:r w:rsidRPr="00D178DD">
        <w:rPr>
          <w:rFonts w:cs="Sylfaen"/>
          <w:b w:val="0"/>
          <w:bCs/>
          <w:szCs w:val="22"/>
          <w:lang w:val="hy-AM" w:eastAsia="en-US"/>
        </w:rPr>
        <w:t>ա</w:t>
      </w:r>
      <w:r w:rsidRPr="00D178DD">
        <w:rPr>
          <w:rFonts w:cs="Sylfaen"/>
          <w:b w:val="0"/>
          <w:szCs w:val="22"/>
          <w:lang w:val="hy-AM" w:eastAsia="en-US"/>
        </w:rPr>
        <w:t>րդյունքում</w:t>
      </w:r>
      <w:r w:rsidRPr="00D178DD">
        <w:rPr>
          <w:rFonts w:cs="Sylfaen"/>
          <w:bCs/>
          <w:szCs w:val="22"/>
          <w:lang w:val="hy-AM" w:eastAsia="en-US"/>
        </w:rPr>
        <w:t xml:space="preserve"> </w:t>
      </w:r>
      <w:r w:rsidRPr="00D178DD">
        <w:rPr>
          <w:rFonts w:cs="Sylfaen"/>
          <w:b w:val="0"/>
          <w:szCs w:val="22"/>
          <w:lang w:val="hy-AM" w:eastAsia="en-US"/>
        </w:rPr>
        <w:t>2022թ. հունվար-օգոստոսին արձանագրվեց տնտեսական ակտիվության (ՏԱՑ) 14.0% աճ, ինչը պայմանավորված էր հիմնականում ծառայությունների աճով (12.4 տոկոսային կետ</w:t>
      </w:r>
      <w:r w:rsidRPr="00D178DD">
        <w:rPr>
          <w:rFonts w:cs="Sylfaen"/>
          <w:b w:val="0"/>
          <w:szCs w:val="22"/>
          <w:vertAlign w:val="superscript"/>
          <w:lang w:eastAsia="en-US"/>
        </w:rPr>
        <w:footnoteReference w:id="5"/>
      </w:r>
      <w:r w:rsidRPr="00D178DD">
        <w:rPr>
          <w:rFonts w:cs="Sylfaen"/>
          <w:b w:val="0"/>
          <w:szCs w:val="22"/>
          <w:lang w:val="hy-AM" w:eastAsia="en-US"/>
        </w:rPr>
        <w:t xml:space="preserve">)։ Մյուս </w:t>
      </w:r>
      <w:r w:rsidRPr="00D178DD">
        <w:rPr>
          <w:rFonts w:cs="Sylfaen"/>
          <w:b w:val="0"/>
          <w:szCs w:val="22"/>
          <w:lang w:val="hy-AM" w:eastAsia="en-US"/>
        </w:rPr>
        <w:lastRenderedPageBreak/>
        <w:t>ճյուղերի համախառն թողարկումների իրական աճերը ևս նպաստեցին տնտեսական ակտիվությանը։</w:t>
      </w:r>
    </w:p>
    <w:tbl>
      <w:tblPr>
        <w:tblStyle w:val="TableGrid1250"/>
        <w:tblW w:w="0" w:type="auto"/>
        <w:jc w:val="center"/>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4928"/>
        <w:gridCol w:w="4812"/>
      </w:tblGrid>
      <w:tr w:rsidR="00D178DD" w:rsidRPr="00D178DD" w:rsidTr="004B2286">
        <w:trPr>
          <w:trHeight w:val="4129"/>
          <w:jc w:val="center"/>
        </w:trPr>
        <w:tc>
          <w:tcPr>
            <w:tcW w:w="4928" w:type="dxa"/>
            <w:shd w:val="clear" w:color="auto" w:fill="auto"/>
          </w:tcPr>
          <w:p w:rsidR="00D178DD" w:rsidRPr="00D178DD" w:rsidRDefault="00D178DD" w:rsidP="00D178DD">
            <w:pPr>
              <w:spacing w:before="0" w:after="60" w:line="240" w:lineRule="auto"/>
              <w:ind w:firstLine="0"/>
              <w:contextualSpacing w:val="0"/>
              <w:rPr>
                <w:rFonts w:eastAsia="Calibri"/>
                <w:i/>
                <w:noProof/>
                <w:sz w:val="18"/>
                <w:szCs w:val="18"/>
                <w:lang w:val="hy-AM" w:eastAsia="en-US"/>
              </w:rPr>
            </w:pPr>
            <w:r w:rsidRPr="00D178DD">
              <w:rPr>
                <w:rFonts w:eastAsia="Calibri"/>
                <w:i/>
                <w:noProof/>
                <w:sz w:val="18"/>
                <w:szCs w:val="18"/>
                <w:lang w:val="hy-AM" w:eastAsia="en-US"/>
              </w:rPr>
              <w:t>Գծապատկեր 1.10. ՏԱՑ և տնտեսության ճյուղերի իրա- կան աճերը նախորդ տարվա նույն ժամանակահատ- վածի նկատմամբ (%)</w:t>
            </w:r>
          </w:p>
          <w:p w:rsidR="00D178DD" w:rsidRPr="00D178DD" w:rsidRDefault="00D178DD" w:rsidP="00D178DD">
            <w:pPr>
              <w:spacing w:before="0" w:line="276" w:lineRule="auto"/>
              <w:ind w:firstLine="0"/>
              <w:rPr>
                <w:rFonts w:eastAsia="Calibri"/>
                <w:i/>
                <w:noProof/>
                <w:szCs w:val="22"/>
                <w:lang w:val="hy-AM" w:eastAsia="en-US"/>
              </w:rPr>
            </w:pPr>
            <w:r w:rsidRPr="00D178DD">
              <w:rPr>
                <w:rFonts w:eastAsia="Calibri"/>
                <w:i/>
                <w:noProof/>
                <w:szCs w:val="22"/>
                <w:lang w:val="en-US" w:eastAsia="en-US"/>
              </w:rPr>
              <w:drawing>
                <wp:inline distT="0" distB="0" distL="0" distR="0" wp14:anchorId="14AE56F5" wp14:editId="7F4AB60A">
                  <wp:extent cx="3064510" cy="2176145"/>
                  <wp:effectExtent l="0" t="0" r="2540" b="14605"/>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78DD" w:rsidRPr="00D178DD" w:rsidRDefault="00D178DD" w:rsidP="00D178DD">
            <w:pPr>
              <w:spacing w:before="0" w:line="276" w:lineRule="auto"/>
              <w:ind w:firstLine="0"/>
              <w:jc w:val="left"/>
              <w:rPr>
                <w:rFonts w:eastAsia="Calibri"/>
                <w:i/>
                <w:sz w:val="16"/>
                <w:szCs w:val="16"/>
                <w:lang w:val="hy-AM" w:eastAsia="en-US"/>
              </w:rPr>
            </w:pPr>
            <w:r w:rsidRPr="00D178DD">
              <w:rPr>
                <w:rFonts w:eastAsia="Calibri"/>
                <w:i/>
                <w:sz w:val="16"/>
                <w:szCs w:val="16"/>
                <w:lang w:val="hy-AM"/>
              </w:rPr>
              <w:t>Աղբյուրը՝ ՀՀ ՎԿ</w:t>
            </w:r>
          </w:p>
        </w:tc>
        <w:tc>
          <w:tcPr>
            <w:tcW w:w="4812" w:type="dxa"/>
          </w:tcPr>
          <w:p w:rsidR="00D178DD" w:rsidRPr="00D178DD" w:rsidRDefault="00D178DD" w:rsidP="00D178DD">
            <w:pPr>
              <w:spacing w:before="0" w:line="240" w:lineRule="auto"/>
              <w:ind w:firstLine="0"/>
              <w:rPr>
                <w:rFonts w:eastAsia="Calibri"/>
                <w:i/>
                <w:noProof/>
                <w:szCs w:val="22"/>
                <w:lang w:val="hy-AM" w:eastAsia="en-US"/>
              </w:rPr>
            </w:pPr>
            <w:r w:rsidRPr="00D178DD">
              <w:rPr>
                <w:rFonts w:eastAsia="Calibri"/>
                <w:i/>
                <w:noProof/>
                <w:sz w:val="18"/>
                <w:szCs w:val="18"/>
                <w:lang w:val="en-US" w:eastAsia="en-US"/>
              </w:rPr>
              <w:drawing>
                <wp:anchor distT="0" distB="0" distL="114300" distR="114300" simplePos="0" relativeHeight="251657216" behindDoc="1" locked="0" layoutInCell="1" allowOverlap="1" wp14:anchorId="703690F2" wp14:editId="786382BB">
                  <wp:simplePos x="0" y="0"/>
                  <wp:positionH relativeFrom="column">
                    <wp:posOffset>-3810</wp:posOffset>
                  </wp:positionH>
                  <wp:positionV relativeFrom="paragraph">
                    <wp:posOffset>502920</wp:posOffset>
                  </wp:positionV>
                  <wp:extent cx="3028950" cy="2176145"/>
                  <wp:effectExtent l="0" t="0" r="0" b="14605"/>
                  <wp:wrapTight wrapText="bothSides">
                    <wp:wrapPolygon edited="0">
                      <wp:start x="0" y="0"/>
                      <wp:lineTo x="0" y="21556"/>
                      <wp:lineTo x="21464" y="21556"/>
                      <wp:lineTo x="21464" y="0"/>
                      <wp:lineTo x="0" y="0"/>
                    </wp:wrapPolygon>
                  </wp:wrapTight>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Pr="00D178DD">
              <w:rPr>
                <w:rFonts w:eastAsia="Calibri"/>
                <w:i/>
                <w:noProof/>
                <w:sz w:val="18"/>
                <w:szCs w:val="18"/>
                <w:lang w:val="hy-AM" w:eastAsia="en-US"/>
              </w:rPr>
              <w:t>Գծապատկեր 1.11. ՏԱՑ և տնտեսության ճյուղերի իրական աճերը նախորդ տարվա նույն ամսվա նկատ- մամբ (%)</w:t>
            </w:r>
          </w:p>
          <w:p w:rsidR="00D178DD" w:rsidRPr="00D178DD" w:rsidRDefault="00D178DD" w:rsidP="00D178DD">
            <w:pPr>
              <w:spacing w:before="0" w:line="276" w:lineRule="auto"/>
              <w:ind w:firstLine="0"/>
              <w:jc w:val="left"/>
              <w:rPr>
                <w:rFonts w:eastAsia="Calibri"/>
                <w:i/>
                <w:sz w:val="16"/>
                <w:szCs w:val="16"/>
                <w:lang w:val="hy-AM" w:eastAsia="en-US"/>
              </w:rPr>
            </w:pPr>
            <w:r w:rsidRPr="00D178DD">
              <w:rPr>
                <w:rFonts w:eastAsia="Calibri"/>
                <w:i/>
                <w:sz w:val="16"/>
                <w:szCs w:val="16"/>
                <w:lang w:val="hy-AM"/>
              </w:rPr>
              <w:t>Աղբյուրը՝ ՀՀ ՎԿ</w:t>
            </w:r>
            <w:r w:rsidRPr="00D178DD" w:rsidDel="00DA0563">
              <w:rPr>
                <w:rFonts w:eastAsia="Calibri"/>
                <w:i/>
                <w:sz w:val="18"/>
                <w:szCs w:val="16"/>
                <w:lang w:val="hy-AM" w:eastAsia="en-US"/>
              </w:rPr>
              <w:t xml:space="preserve"> </w:t>
            </w:r>
          </w:p>
        </w:tc>
      </w:tr>
      <w:tr w:rsidR="00D178DD" w:rsidRPr="000C4EB4" w:rsidTr="004B2286">
        <w:trPr>
          <w:trHeight w:val="411"/>
          <w:jc w:val="center"/>
        </w:trPr>
        <w:tc>
          <w:tcPr>
            <w:tcW w:w="4928" w:type="dxa"/>
          </w:tcPr>
          <w:p w:rsidR="00D178DD" w:rsidRPr="00D178DD" w:rsidRDefault="00D178DD" w:rsidP="00D178DD">
            <w:pPr>
              <w:spacing w:before="0" w:after="60" w:line="240" w:lineRule="auto"/>
              <w:ind w:firstLine="0"/>
              <w:contextualSpacing w:val="0"/>
              <w:jc w:val="left"/>
              <w:rPr>
                <w:rFonts w:eastAsia="Calibri"/>
                <w:i/>
                <w:noProof/>
                <w:szCs w:val="22"/>
                <w:lang w:val="hy-AM" w:eastAsia="en-US"/>
              </w:rPr>
            </w:pPr>
            <w:r w:rsidRPr="00D178DD">
              <w:rPr>
                <w:rFonts w:eastAsia="Calibri"/>
                <w:i/>
                <w:noProof/>
                <w:sz w:val="18"/>
                <w:szCs w:val="18"/>
                <w:lang w:val="hy-AM" w:eastAsia="en-US"/>
              </w:rPr>
              <w:t>Գծապատկեր 1.12. Տնտեսության ճյուղերի նպաստում- ները ՏԱՑ-ին (տ.կ.)</w:t>
            </w:r>
            <w:r w:rsidRPr="00D178DD">
              <w:rPr>
                <w:rFonts w:eastAsia="Calibri"/>
                <w:i/>
                <w:noProof/>
                <w:szCs w:val="22"/>
                <w:lang w:val="hy-AM" w:eastAsia="en-US"/>
              </w:rPr>
              <w:t xml:space="preserve"> </w:t>
            </w:r>
            <w:r w:rsidRPr="00D178DD">
              <w:rPr>
                <w:rFonts w:eastAsia="Calibri"/>
                <w:i/>
                <w:noProof/>
                <w:szCs w:val="22"/>
                <w:lang w:val="en-US" w:eastAsia="en-US"/>
              </w:rPr>
              <w:drawing>
                <wp:inline distT="0" distB="0" distL="0" distR="0" wp14:anchorId="1C9B32A7" wp14:editId="08F2E7BE">
                  <wp:extent cx="3095625" cy="2134235"/>
                  <wp:effectExtent l="0" t="0" r="9525" b="18415"/>
                  <wp:docPr id="2077" name="Chart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178DD" w:rsidRPr="00D178DD" w:rsidRDefault="00D178DD" w:rsidP="00D178DD">
            <w:pPr>
              <w:spacing w:before="0" w:line="276" w:lineRule="auto"/>
              <w:ind w:firstLine="0"/>
              <w:jc w:val="left"/>
              <w:rPr>
                <w:rFonts w:eastAsia="Calibri"/>
                <w:i/>
                <w:sz w:val="16"/>
                <w:szCs w:val="16"/>
                <w:lang w:val="hy-AM" w:eastAsia="en-US"/>
              </w:rPr>
            </w:pPr>
            <w:r w:rsidRPr="00D178DD">
              <w:rPr>
                <w:rFonts w:eastAsia="Calibri"/>
                <w:i/>
                <w:sz w:val="16"/>
                <w:szCs w:val="16"/>
                <w:lang w:val="hy-AM"/>
              </w:rPr>
              <w:t>Աղբյուրը՝ ՀՀ ՎԿ, ՀՀ ՖՆ հաշվարկներ</w:t>
            </w:r>
            <w:r w:rsidRPr="00D178DD">
              <w:rPr>
                <w:rFonts w:eastAsia="Calibri"/>
                <w:i/>
                <w:sz w:val="18"/>
                <w:szCs w:val="16"/>
                <w:lang w:val="hy-AM" w:eastAsia="en-US"/>
              </w:rPr>
              <w:t xml:space="preserve"> </w:t>
            </w:r>
          </w:p>
        </w:tc>
        <w:tc>
          <w:tcPr>
            <w:tcW w:w="4812" w:type="dxa"/>
          </w:tcPr>
          <w:p w:rsidR="00D178DD" w:rsidRPr="00D178DD" w:rsidRDefault="00D178DD" w:rsidP="00D178DD">
            <w:pPr>
              <w:spacing w:before="0" w:line="240" w:lineRule="auto"/>
              <w:ind w:firstLine="0"/>
              <w:contextualSpacing w:val="0"/>
              <w:rPr>
                <w:rFonts w:eastAsia="Calibri"/>
                <w:i/>
                <w:noProof/>
                <w:sz w:val="18"/>
                <w:szCs w:val="18"/>
                <w:lang w:val="hy-AM" w:eastAsia="en-US"/>
              </w:rPr>
            </w:pPr>
            <w:r w:rsidRPr="00D178DD">
              <w:rPr>
                <w:rFonts w:eastAsia="Calibri"/>
                <w:i/>
                <w:noProof/>
                <w:sz w:val="18"/>
                <w:szCs w:val="18"/>
                <w:lang w:val="hy-AM" w:eastAsia="en-US"/>
              </w:rPr>
              <w:t>Գծապատկեր 1.13. Տնտեսության ճյուղերի նպաս-տումները ՏԱՑ-ին նախորդ տարվա նույն ամսվա նկատմամբ (տ.կ.)</w:t>
            </w:r>
          </w:p>
          <w:p w:rsidR="00D178DD" w:rsidRPr="00D178DD" w:rsidRDefault="00D178DD" w:rsidP="00D178DD">
            <w:pPr>
              <w:spacing w:before="0" w:line="276" w:lineRule="auto"/>
              <w:ind w:firstLine="0"/>
              <w:rPr>
                <w:rFonts w:eastAsia="Calibri"/>
                <w:i/>
                <w:noProof/>
                <w:szCs w:val="22"/>
                <w:lang w:val="hy-AM" w:eastAsia="en-US"/>
              </w:rPr>
            </w:pPr>
            <w:r w:rsidRPr="00D178DD">
              <w:rPr>
                <w:rFonts w:eastAsia="Calibri"/>
                <w:i/>
                <w:noProof/>
                <w:szCs w:val="22"/>
                <w:lang w:val="en-US" w:eastAsia="en-US"/>
              </w:rPr>
              <w:drawing>
                <wp:inline distT="0" distB="0" distL="0" distR="0" wp14:anchorId="69B12AE7" wp14:editId="4CC7D9AD">
                  <wp:extent cx="2941983" cy="1983740"/>
                  <wp:effectExtent l="0" t="0" r="10795" b="16510"/>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178DD" w:rsidRPr="00D178DD" w:rsidRDefault="00D178DD" w:rsidP="00D178DD">
            <w:pPr>
              <w:spacing w:before="0" w:line="276" w:lineRule="auto"/>
              <w:ind w:firstLine="0"/>
              <w:jc w:val="left"/>
              <w:rPr>
                <w:rFonts w:eastAsia="Calibri"/>
                <w:i/>
                <w:sz w:val="16"/>
                <w:szCs w:val="16"/>
                <w:lang w:val="hy-AM" w:eastAsia="en-US"/>
              </w:rPr>
            </w:pPr>
            <w:r w:rsidRPr="00D178DD">
              <w:rPr>
                <w:rFonts w:eastAsia="Calibri"/>
                <w:i/>
                <w:sz w:val="16"/>
                <w:szCs w:val="16"/>
                <w:lang w:val="hy-AM"/>
              </w:rPr>
              <w:t>Աղբյուրը՝ ՀՀ ՎԿ, ՀՀ ՖՆ հաշվարկներ</w:t>
            </w:r>
          </w:p>
        </w:tc>
      </w:tr>
    </w:tbl>
    <w:p w:rsidR="00D178DD" w:rsidRPr="00D178DD" w:rsidRDefault="00D178DD" w:rsidP="00D178DD">
      <w:pPr>
        <w:spacing w:after="120" w:line="276" w:lineRule="auto"/>
        <w:ind w:firstLine="533"/>
        <w:contextualSpacing w:val="0"/>
        <w:rPr>
          <w:rFonts w:eastAsia="Calibri" w:cs="Sylfaen"/>
          <w:szCs w:val="22"/>
          <w:lang w:val="hy-AM" w:eastAsia="en-US"/>
        </w:rPr>
      </w:pPr>
      <w:r w:rsidRPr="00D178DD">
        <w:rPr>
          <w:rFonts w:eastAsia="Calibri" w:cs="Sylfaen"/>
          <w:bCs/>
          <w:szCs w:val="22"/>
          <w:lang w:val="hy-AM" w:eastAsia="en-US"/>
        </w:rPr>
        <w:t>Ներքին պահանջարկի վերականգնման տեմպերը շարունակվեցին նաև 2022թ. առաջին կիսամյակում։</w:t>
      </w:r>
      <w:r w:rsidRPr="00D178DD">
        <w:rPr>
          <w:rFonts w:cs="Sylfaen"/>
          <w:bCs/>
          <w:noProof/>
          <w:szCs w:val="22"/>
          <w:lang w:val="hy-AM" w:eastAsia="en-US"/>
        </w:rPr>
        <w:t xml:space="preserve"> </w:t>
      </w:r>
      <w:r w:rsidRPr="00D178DD">
        <w:rPr>
          <w:rFonts w:cs="Sylfaen"/>
          <w:b w:val="0"/>
          <w:bCs/>
          <w:noProof/>
          <w:szCs w:val="22"/>
          <w:lang w:val="hy-AM" w:eastAsia="en-US"/>
        </w:rPr>
        <w:t>Ներքին</w:t>
      </w:r>
      <w:r w:rsidRPr="00D178DD">
        <w:rPr>
          <w:rFonts w:cs="Sylfaen"/>
          <w:bCs/>
          <w:noProof/>
          <w:szCs w:val="22"/>
          <w:lang w:val="hy-AM" w:eastAsia="en-US"/>
        </w:rPr>
        <w:t xml:space="preserve"> </w:t>
      </w:r>
      <w:r w:rsidRPr="00D178DD">
        <w:rPr>
          <w:rFonts w:cs="Sylfaen"/>
          <w:b w:val="0"/>
          <w:bCs/>
          <w:noProof/>
          <w:szCs w:val="22"/>
          <w:lang w:val="hy-AM" w:eastAsia="en-US"/>
        </w:rPr>
        <w:t xml:space="preserve">պահանջարկի աճը պայմանավորվեց մասնավոր սպառման աճով։ </w:t>
      </w:r>
      <w:r w:rsidRPr="00D178DD">
        <w:rPr>
          <w:rFonts w:cs="Sylfaen"/>
          <w:b w:val="0"/>
          <w:noProof/>
          <w:szCs w:val="22"/>
          <w:lang w:val="hy-AM" w:eastAsia="en-US"/>
        </w:rPr>
        <w:t>Կ</w:t>
      </w:r>
      <w:r w:rsidRPr="00D178DD">
        <w:rPr>
          <w:rFonts w:eastAsia="Calibri" w:cs="Sylfaen"/>
          <w:b w:val="0"/>
          <w:szCs w:val="22"/>
          <w:lang w:val="hy-AM" w:eastAsia="en-US"/>
        </w:rPr>
        <w:t>ապիտալ ներդրումները ևս աճեցին՝ պայմանավորված հիմնականում մասնավոր ներդրումների աճով։ Արտահանումը և ներմուծումը նույնպես աճեցին: Ընդ որում արտահանման աճը ներմուծման նկատմամբ առաջանցիկ էր, որի արդյունքում զուտ արտահանումը դրական նպաստեց ՀՆԱ-ի իրական աճին։ Տնտեսության ներքին պահանջարկի աճի միտումները շարունակվեցին նաև հուլիս-օգոստոս ամիսներին, մասնավորապես՝ սպառման աճի մասին են վկայում առևտրի և ծառայությունների աճերը, իսկ կապիտալ ներդրումների աճի մասին՝ շինարարության աճը։</w:t>
      </w:r>
      <w:r w:rsidRPr="00D178DD">
        <w:rPr>
          <w:rFonts w:eastAsia="Calibri" w:cs="Sylfaen"/>
          <w:szCs w:val="22"/>
          <w:lang w:val="hy-AM" w:eastAsia="en-US"/>
        </w:rPr>
        <w:t xml:space="preserve">  </w:t>
      </w:r>
    </w:p>
    <w:p w:rsidR="00D178DD" w:rsidRPr="00D178DD" w:rsidRDefault="00D178DD" w:rsidP="00D178DD">
      <w:pPr>
        <w:spacing w:after="60" w:line="276" w:lineRule="auto"/>
        <w:ind w:firstLine="360"/>
        <w:contextualSpacing w:val="0"/>
        <w:rPr>
          <w:rFonts w:cs="Sylfaen"/>
          <w:szCs w:val="22"/>
          <w:lang w:val="hy-AM" w:eastAsia="en-US"/>
        </w:rPr>
      </w:pPr>
      <w:r w:rsidRPr="00D178DD">
        <w:rPr>
          <w:rFonts w:cs="Sylfaen"/>
          <w:bCs/>
          <w:szCs w:val="22"/>
          <w:u w:val="single"/>
          <w:lang w:val="hy-AM" w:eastAsia="en-US"/>
        </w:rPr>
        <w:t>Կանխատեսում</w:t>
      </w:r>
      <w:r w:rsidRPr="00D178DD">
        <w:rPr>
          <w:rFonts w:cs="Sylfaen"/>
          <w:bCs/>
          <w:szCs w:val="22"/>
          <w:lang w:val="hy-AM" w:eastAsia="en-US"/>
        </w:rPr>
        <w:t xml:space="preserve">։  </w:t>
      </w:r>
      <w:r w:rsidRPr="00D178DD">
        <w:rPr>
          <w:rFonts w:eastAsia="Calibri"/>
          <w:lang w:val="hy-AM"/>
        </w:rPr>
        <w:t xml:space="preserve">Ձևավորված և սպասվող արտաքին զարգացումների, ՌԴ-ից դեպի Հայաստան ՏՏ ոլորտի ընկերությունների, մարդկանց և կապիտալի աննախադեպ ներհոսքերի, ինչպես նաև պատժամիջոցների հետևանքով որոշ երկրներից ՌԴ ներմուծման շուկայի սահմանափակումների արդյունքում ՀՀ-ից դեպի Ռուսաստան արտահանման պահանջարկի ավելացման և ՀՀ կառավարության կողմից իրականացվող հարկաբյուջետային միջոցառումների </w:t>
      </w:r>
      <w:r w:rsidRPr="00D178DD">
        <w:rPr>
          <w:rFonts w:eastAsia="Calibri"/>
          <w:lang w:val="hy-AM"/>
        </w:rPr>
        <w:lastRenderedPageBreak/>
        <w:t xml:space="preserve">պայմաններում 2022թ. սպասվում է 11% տնտեսական աճը, որը բարձր է </w:t>
      </w:r>
      <w:r w:rsidRPr="00D178DD">
        <w:rPr>
          <w:bCs/>
          <w:noProof/>
          <w:szCs w:val="22"/>
          <w:lang w:val="hy-AM" w:eastAsia="en-US"/>
        </w:rPr>
        <w:t>վերջին 14 տարիների ընթացքում գրանցված տնտեսական աճերից:</w:t>
      </w:r>
    </w:p>
    <w:p w:rsidR="00D178DD" w:rsidRPr="00D178DD" w:rsidRDefault="00D178DD" w:rsidP="00D178DD">
      <w:pPr>
        <w:spacing w:after="60" w:line="276" w:lineRule="auto"/>
        <w:ind w:firstLine="360"/>
        <w:contextualSpacing w:val="0"/>
        <w:rPr>
          <w:lang w:val="hy-AM"/>
        </w:rPr>
      </w:pPr>
      <w:r w:rsidRPr="00D178DD">
        <w:rPr>
          <w:rFonts w:cs="Sylfaen"/>
          <w:szCs w:val="22"/>
          <w:lang w:val="hy-AM" w:eastAsia="en-US"/>
        </w:rPr>
        <w:t xml:space="preserve"> </w:t>
      </w:r>
      <w:r w:rsidRPr="00D178DD">
        <w:rPr>
          <w:lang w:val="hy-AM"/>
        </w:rPr>
        <w:t>Սպասվող արտաքին տնտեսական միջավայրի, ռուս-ուկրաինական հակամարտության արդյունքում դեպի ՀՀ մարդկանց և կապիտալի ներհոսքերի, ՏՏ ոլորտի ընկերությունների տեղափոխման արդյունքում առաջացած դրական զարգացումների որոշակի պահպանման   և ՀՀ կառավարության 2021-2026թթ. ծրագրով նախատեսված տնտեսության և տնտեսական աճի ներուժի բարձրացմանն ուղղված  քաղաքականության միջոցառումների պայմաններում 2023թ</w:t>
      </w:r>
      <w:r w:rsidRPr="00D178DD">
        <w:rPr>
          <w:rFonts w:ascii="Times New Roman" w:hAnsi="Times New Roman"/>
          <w:lang w:val="hy-AM"/>
        </w:rPr>
        <w:t>․</w:t>
      </w:r>
      <w:r w:rsidRPr="00D178DD">
        <w:rPr>
          <w:lang w:val="hy-AM"/>
        </w:rPr>
        <w:t xml:space="preserve"> կանխատեսվում է 7</w:t>
      </w:r>
      <w:r w:rsidRPr="00D178DD">
        <w:rPr>
          <w:rFonts w:ascii="Times New Roman" w:hAnsi="Times New Roman"/>
          <w:lang w:val="hy-AM"/>
        </w:rPr>
        <w:t>․</w:t>
      </w:r>
      <w:r w:rsidRPr="00D178DD">
        <w:rPr>
          <w:lang w:val="hy-AM"/>
        </w:rPr>
        <w:t xml:space="preserve">0% տնտեսական աճ։ </w:t>
      </w:r>
    </w:p>
    <w:p w:rsidR="00D178DD" w:rsidRPr="00D178DD" w:rsidRDefault="00D178DD" w:rsidP="00D178DD">
      <w:pPr>
        <w:spacing w:after="60" w:line="276" w:lineRule="auto"/>
        <w:ind w:firstLine="360"/>
        <w:contextualSpacing w:val="0"/>
        <w:rPr>
          <w:rFonts w:eastAsia="GHEA Grapalat" w:cs="GHEA Grapalat"/>
          <w:b w:val="0"/>
          <w:szCs w:val="22"/>
          <w:lang w:val="hy-AM" w:eastAsia="en-US"/>
        </w:rPr>
      </w:pPr>
      <w:r w:rsidRPr="00D178DD">
        <w:rPr>
          <w:rFonts w:eastAsia="Calibri" w:cs="Sylfaen"/>
          <w:szCs w:val="22"/>
          <w:lang w:val="hy-AM" w:eastAsia="en-US"/>
        </w:rPr>
        <w:t xml:space="preserve">  </w:t>
      </w:r>
      <w:r w:rsidRPr="00D178DD">
        <w:rPr>
          <w:rFonts w:eastAsia="Calibri" w:cs="Sylfaen"/>
          <w:b w:val="0"/>
          <w:szCs w:val="22"/>
          <w:lang w:val="hy-AM" w:eastAsia="en-US"/>
        </w:rPr>
        <w:t>2022թ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 xml:space="preserve"> </w:t>
      </w:r>
      <w:r w:rsidRPr="00D178DD">
        <w:rPr>
          <w:rFonts w:eastAsia="Calibri" w:cs="Sylfaen"/>
          <w:b w:val="0"/>
          <w:szCs w:val="22"/>
          <w:lang w:val="hy-AM" w:eastAsia="en-US"/>
        </w:rPr>
        <w:t xml:space="preserve"> տ</w:t>
      </w:r>
      <w:r w:rsidRPr="00D178DD">
        <w:rPr>
          <w:rFonts w:eastAsia="GHEA Grapalat" w:cs="GHEA Grapalat"/>
          <w:b w:val="0"/>
          <w:szCs w:val="22"/>
          <w:lang w:val="hy-AM" w:eastAsia="en-US"/>
        </w:rPr>
        <w:t>նտեսական աճի արագացմանը կնպաստեն ծառայությունների և շինարարության ճյուղերի առաջանցիկ աճերը, 2023թ</w:t>
      </w:r>
      <w:r w:rsidRPr="00D178DD">
        <w:rPr>
          <w:rFonts w:ascii="Cambria Math" w:eastAsia="GHEA Grapalat" w:hAnsi="Cambria Math" w:cs="Cambria Math"/>
          <w:b w:val="0"/>
          <w:szCs w:val="22"/>
          <w:lang w:val="hy-AM" w:eastAsia="en-US"/>
        </w:rPr>
        <w:t>․</w:t>
      </w:r>
      <w:r w:rsidRPr="00D178DD">
        <w:rPr>
          <w:rFonts w:eastAsia="GHEA Grapalat"/>
          <w:b w:val="0"/>
          <w:szCs w:val="22"/>
          <w:lang w:val="hy-AM" w:eastAsia="en-US"/>
        </w:rPr>
        <w:t xml:space="preserve"> նույնպես տնտեսական աճից առաջանցիկ կլինեն շինարարության և ծառայությունների ճյուղերի աճերը։ </w:t>
      </w:r>
      <w:r w:rsidRPr="00D178DD">
        <w:rPr>
          <w:rFonts w:eastAsia="GHEA Grapalat" w:cs="GHEA Grapalat"/>
          <w:b w:val="0"/>
          <w:szCs w:val="22"/>
          <w:lang w:val="hy-AM" w:eastAsia="en-US"/>
        </w:rPr>
        <w:t xml:space="preserve">Տնտեսության մյուս ճյուղերը նույնպես դրական ազդեցություն կունենան տնտեսական աճի վրա: Ամբողջական պահանջարկը ևս կաճի՝ պայմանավորված ինչպես ներքին պահանջարկի, այնպես արտահանման (հատկապես՝ ծառայությունների արտահանման մասով) աճով: </w:t>
      </w:r>
    </w:p>
    <w:p w:rsidR="00D178DD" w:rsidRPr="00D178DD" w:rsidRDefault="00D178DD" w:rsidP="00D178DD">
      <w:pPr>
        <w:spacing w:before="40" w:after="60" w:line="276" w:lineRule="auto"/>
        <w:ind w:firstLine="634"/>
        <w:contextualSpacing w:val="0"/>
        <w:rPr>
          <w:rFonts w:cs="Sylfaen"/>
          <w:b w:val="0"/>
          <w:szCs w:val="22"/>
          <w:lang w:val="hy-AM" w:eastAsia="en-US"/>
        </w:rPr>
      </w:pPr>
      <w:r w:rsidRPr="00D178DD">
        <w:rPr>
          <w:rFonts w:cs="Sylfaen"/>
          <w:b w:val="0"/>
          <w:szCs w:val="22"/>
          <w:lang w:val="it-IT" w:eastAsia="en-US"/>
        </w:rPr>
        <w:t>202</w:t>
      </w:r>
      <w:r w:rsidRPr="00D178DD">
        <w:rPr>
          <w:rFonts w:cs="Sylfaen"/>
          <w:b w:val="0"/>
          <w:szCs w:val="22"/>
          <w:lang w:val="hy-AM" w:eastAsia="en-US"/>
        </w:rPr>
        <w:t>2թ.</w:t>
      </w:r>
      <w:r w:rsidRPr="00D178DD">
        <w:rPr>
          <w:rFonts w:cs="Sylfaen"/>
          <w:b w:val="0"/>
          <w:szCs w:val="22"/>
          <w:lang w:val="it-IT" w:eastAsia="en-US"/>
        </w:rPr>
        <w:t xml:space="preserve"> </w:t>
      </w:r>
      <w:r w:rsidRPr="00D178DD">
        <w:rPr>
          <w:rFonts w:cs="Times Armenian"/>
          <w:b w:val="0"/>
          <w:szCs w:val="22"/>
          <w:lang w:val="it-IT" w:eastAsia="en-US"/>
        </w:rPr>
        <w:t>դեֆլյատորը կաճի</w:t>
      </w:r>
      <w:r w:rsidRPr="00D178DD">
        <w:rPr>
          <w:rFonts w:cs="Times Armenian"/>
          <w:b w:val="0"/>
          <w:szCs w:val="22"/>
          <w:lang w:val="hy-AM" w:eastAsia="en-US"/>
        </w:rPr>
        <w:t>՝</w:t>
      </w:r>
      <w:r w:rsidRPr="00D178DD">
        <w:rPr>
          <w:rFonts w:cs="Times Armenian"/>
          <w:b w:val="0"/>
          <w:szCs w:val="22"/>
          <w:lang w:val="it-IT" w:eastAsia="en-US"/>
        </w:rPr>
        <w:t xml:space="preserve"> </w:t>
      </w:r>
      <w:r w:rsidRPr="00D178DD">
        <w:rPr>
          <w:rFonts w:cs="Times Armenian"/>
          <w:b w:val="0"/>
          <w:szCs w:val="22"/>
          <w:lang w:val="hy-AM" w:eastAsia="en-US"/>
        </w:rPr>
        <w:t>պայմանավորված</w:t>
      </w:r>
      <w:r w:rsidRPr="00D178DD">
        <w:rPr>
          <w:rFonts w:cs="Sylfaen"/>
          <w:b w:val="0"/>
          <w:szCs w:val="22"/>
          <w:lang w:val="hy-AM" w:eastAsia="en-US"/>
        </w:rPr>
        <w:t xml:space="preserve"> ՍԳԻ-ի և</w:t>
      </w:r>
      <w:r w:rsidRPr="00D178DD">
        <w:rPr>
          <w:rFonts w:cs="Sylfaen"/>
          <w:b w:val="0"/>
          <w:szCs w:val="22"/>
          <w:lang w:val="it-IT" w:eastAsia="en-US"/>
        </w:rPr>
        <w:t xml:space="preserve"> </w:t>
      </w:r>
      <w:r w:rsidRPr="00D178DD">
        <w:rPr>
          <w:rFonts w:cs="Sylfaen"/>
          <w:b w:val="0"/>
          <w:szCs w:val="22"/>
          <w:lang w:val="hy-AM" w:eastAsia="en-US"/>
        </w:rPr>
        <w:t>ապրանքների միջազգային գների զարգացումներով, իսկ 2023թ.՝ ՍԳԻ-ին համահունչ կդանդաղի:</w:t>
      </w:r>
    </w:p>
    <w:p w:rsidR="00D178DD" w:rsidRPr="00D178DD" w:rsidRDefault="00D178DD" w:rsidP="00D178DD">
      <w:pPr>
        <w:tabs>
          <w:tab w:val="right" w:pos="0"/>
        </w:tabs>
        <w:spacing w:before="40" w:after="120" w:line="276" w:lineRule="auto"/>
        <w:ind w:firstLine="562"/>
        <w:contextualSpacing w:val="0"/>
        <w:rPr>
          <w:rFonts w:cs="Sylfaen"/>
          <w:szCs w:val="22"/>
          <w:lang w:val="hy-AM" w:eastAsia="en-US"/>
        </w:rPr>
      </w:pPr>
      <w:r w:rsidRPr="00D178DD">
        <w:rPr>
          <w:rFonts w:cs="Sylfaen"/>
          <w:szCs w:val="22"/>
          <w:lang w:val="hy-AM" w:eastAsia="en-US"/>
        </w:rPr>
        <w:t>Վերոնշյալ զարգացումների պայմաններում անվանական ՀՆԱ-ն 2022թ. կկազմի 8,293.7 մլրդ դրամ՝ 224.2 մլրդ դրամով ավելին լինելով 2023-2025թթ. ՄԺԾԾ  ցուցանիշից, և 424.2 մլրդ դրամով` 2022թ</w:t>
      </w:r>
      <w:r w:rsidRPr="00D178DD">
        <w:rPr>
          <w:rFonts w:ascii="Cambria Math" w:hAnsi="Cambria Math" w:cs="Cambria Math"/>
          <w:szCs w:val="22"/>
          <w:lang w:val="hy-AM" w:eastAsia="en-US"/>
        </w:rPr>
        <w:t>․</w:t>
      </w:r>
      <w:r w:rsidRPr="00D178DD">
        <w:rPr>
          <w:rFonts w:cs="Sylfaen"/>
          <w:szCs w:val="22"/>
          <w:lang w:val="hy-AM" w:eastAsia="en-US"/>
        </w:rPr>
        <w:t xml:space="preserve"> </w:t>
      </w:r>
      <w:r w:rsidRPr="00D178DD">
        <w:rPr>
          <w:rFonts w:cs="GHEA Grapalat"/>
          <w:szCs w:val="22"/>
          <w:lang w:val="hy-AM" w:eastAsia="en-US"/>
        </w:rPr>
        <w:t>բյուջեով</w:t>
      </w:r>
      <w:r w:rsidRPr="00D178DD">
        <w:rPr>
          <w:rFonts w:cs="Sylfaen"/>
          <w:szCs w:val="22"/>
          <w:lang w:val="hy-AM" w:eastAsia="en-US"/>
        </w:rPr>
        <w:t xml:space="preserve"> </w:t>
      </w:r>
      <w:r w:rsidRPr="00D178DD">
        <w:rPr>
          <w:rFonts w:cs="GHEA Grapalat"/>
          <w:szCs w:val="22"/>
          <w:lang w:val="hy-AM" w:eastAsia="en-US"/>
        </w:rPr>
        <w:t>ծրագր</w:t>
      </w:r>
      <w:r w:rsidRPr="00D178DD">
        <w:rPr>
          <w:rFonts w:cs="Sylfaen"/>
          <w:szCs w:val="22"/>
          <w:lang w:val="hy-AM" w:eastAsia="en-US"/>
        </w:rPr>
        <w:t xml:space="preserve">ած ցուցանիշից: Իսկ 2023թ. անվանական ՀՆԱ-ն կկազմի 9,317.9 մլրդ դրամ՝ 251.8 մլրդ դրամով ավելին լինելով 2023-2025թթ. ՄԺԾԾ  ցուցանիշից: </w:t>
      </w:r>
    </w:p>
    <w:p w:rsidR="00D178DD" w:rsidRPr="00D178DD" w:rsidRDefault="00D178DD" w:rsidP="00D178DD">
      <w:pPr>
        <w:tabs>
          <w:tab w:val="right" w:pos="0"/>
        </w:tabs>
        <w:spacing w:before="40" w:after="120" w:line="276" w:lineRule="auto"/>
        <w:ind w:firstLine="562"/>
        <w:contextualSpacing w:val="0"/>
        <w:rPr>
          <w:rFonts w:cs="Sylfaen"/>
          <w:szCs w:val="22"/>
          <w:lang w:val="hy-AM" w:eastAsia="en-US"/>
        </w:rPr>
      </w:pPr>
    </w:p>
    <w:p w:rsidR="00D178DD" w:rsidRPr="00D178DD" w:rsidRDefault="00D178DD" w:rsidP="00D178DD">
      <w:pPr>
        <w:tabs>
          <w:tab w:val="right" w:pos="0"/>
        </w:tabs>
        <w:spacing w:before="40" w:after="120" w:line="276" w:lineRule="auto"/>
        <w:ind w:firstLine="562"/>
        <w:contextualSpacing w:val="0"/>
        <w:rPr>
          <w:rFonts w:cs="Sylfaen"/>
          <w:szCs w:val="22"/>
          <w:lang w:val="hy-AM" w:eastAsia="en-US"/>
        </w:rPr>
      </w:pPr>
    </w:p>
    <w:tbl>
      <w:tblPr>
        <w:tblStyle w:val="TableGrid713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841"/>
        <w:gridCol w:w="4899"/>
      </w:tblGrid>
      <w:tr w:rsidR="00D178DD" w:rsidRPr="000C4EB4" w:rsidTr="004B2286">
        <w:trPr>
          <w:trHeight w:val="3489"/>
        </w:trPr>
        <w:tc>
          <w:tcPr>
            <w:tcW w:w="4841" w:type="dxa"/>
          </w:tcPr>
          <w:p w:rsidR="00D178DD" w:rsidRPr="00D178DD" w:rsidRDefault="00D178DD" w:rsidP="00D178DD">
            <w:pPr>
              <w:spacing w:before="0" w:line="240" w:lineRule="auto"/>
              <w:ind w:firstLine="0"/>
              <w:rPr>
                <w:i/>
                <w:noProof/>
                <w:sz w:val="18"/>
                <w:szCs w:val="18"/>
                <w:lang w:val="hy-AM" w:eastAsia="en-US"/>
              </w:rPr>
            </w:pPr>
            <w:r w:rsidRPr="00D178DD">
              <w:rPr>
                <w:i/>
                <w:noProof/>
                <w:szCs w:val="22"/>
                <w:lang w:val="en-US" w:eastAsia="en-US"/>
              </w:rPr>
              <w:drawing>
                <wp:anchor distT="0" distB="0" distL="114300" distR="114300" simplePos="0" relativeHeight="251667456" behindDoc="0" locked="0" layoutInCell="1" allowOverlap="1" wp14:anchorId="29F6A20F" wp14:editId="75B3D59D">
                  <wp:simplePos x="0" y="0"/>
                  <wp:positionH relativeFrom="column">
                    <wp:posOffset>-41275</wp:posOffset>
                  </wp:positionH>
                  <wp:positionV relativeFrom="paragraph">
                    <wp:posOffset>339090</wp:posOffset>
                  </wp:positionV>
                  <wp:extent cx="3076575" cy="1876425"/>
                  <wp:effectExtent l="0" t="0" r="9525" b="9525"/>
                  <wp:wrapSquare wrapText="bothSides"/>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D178DD">
              <w:rPr>
                <w:i/>
                <w:noProof/>
                <w:sz w:val="18"/>
                <w:szCs w:val="18"/>
                <w:lang w:val="hy-AM" w:eastAsia="en-US"/>
              </w:rPr>
              <w:t>Գծապատկեր 1.14. Անվանական ՀՆԱ և տնտեսական աճ</w:t>
            </w:r>
          </w:p>
          <w:p w:rsidR="00D178DD" w:rsidRPr="00D178DD" w:rsidRDefault="00D178DD" w:rsidP="00D178DD">
            <w:pPr>
              <w:spacing w:before="0" w:line="276" w:lineRule="auto"/>
              <w:ind w:firstLine="0"/>
              <w:jc w:val="left"/>
              <w:rPr>
                <w:i/>
                <w:sz w:val="16"/>
                <w:szCs w:val="16"/>
                <w:lang w:val="hy-AM" w:eastAsia="en-US"/>
              </w:rPr>
            </w:pPr>
            <w:r w:rsidRPr="00D178DD">
              <w:rPr>
                <w:rFonts w:eastAsia="Calibri"/>
                <w:b w:val="0"/>
                <w:i/>
                <w:sz w:val="16"/>
                <w:szCs w:val="16"/>
                <w:lang w:val="hy-AM"/>
              </w:rPr>
              <w:t>Աղբյուրը՝ ՀՀ ՎԿ, ՀՀ ՖՆ հաշվարկներ և կանխատեսումներ</w:t>
            </w:r>
          </w:p>
        </w:tc>
        <w:tc>
          <w:tcPr>
            <w:tcW w:w="4899" w:type="dxa"/>
          </w:tcPr>
          <w:p w:rsidR="00D178DD" w:rsidRPr="00D178DD" w:rsidRDefault="00D178DD" w:rsidP="00D178DD">
            <w:pPr>
              <w:spacing w:before="0" w:line="240" w:lineRule="auto"/>
              <w:ind w:firstLine="0"/>
              <w:rPr>
                <w:i/>
                <w:noProof/>
                <w:sz w:val="18"/>
                <w:szCs w:val="18"/>
                <w:lang w:val="hy-AM" w:eastAsia="en-US"/>
              </w:rPr>
            </w:pPr>
            <w:r w:rsidRPr="00D178DD">
              <w:rPr>
                <w:i/>
                <w:noProof/>
                <w:sz w:val="18"/>
                <w:szCs w:val="18"/>
                <w:lang w:val="hy-AM" w:eastAsia="en-US"/>
              </w:rPr>
              <w:t>Գծապատկեր 1.15.</w:t>
            </w:r>
            <w:r w:rsidRPr="00D178DD">
              <w:rPr>
                <w:i/>
                <w:noProof/>
                <w:color w:val="FF0000"/>
                <w:sz w:val="18"/>
                <w:szCs w:val="18"/>
                <w:lang w:val="hy-AM" w:eastAsia="en-US"/>
              </w:rPr>
              <w:t xml:space="preserve"> </w:t>
            </w:r>
            <w:r w:rsidRPr="00D178DD">
              <w:rPr>
                <w:i/>
                <w:noProof/>
                <w:sz w:val="18"/>
                <w:szCs w:val="18"/>
                <w:lang w:val="hy-AM" w:eastAsia="en-US"/>
              </w:rPr>
              <w:t xml:space="preserve">Իրական ՀՆԱ անկումը/աճը տնտե- սական ճգնաժամերի և հաջորդող տարիներին </w:t>
            </w:r>
          </w:p>
          <w:p w:rsidR="00D178DD" w:rsidRPr="00D178DD" w:rsidRDefault="00D178DD" w:rsidP="00D178DD">
            <w:pPr>
              <w:spacing w:before="40" w:after="160" w:line="276" w:lineRule="auto"/>
              <w:ind w:firstLine="0"/>
              <w:contextualSpacing w:val="0"/>
              <w:jc w:val="left"/>
              <w:rPr>
                <w:b w:val="0"/>
                <w:i/>
                <w:szCs w:val="16"/>
                <w:lang w:val="hy-AM" w:eastAsia="en-US"/>
              </w:rPr>
            </w:pPr>
            <w:r w:rsidRPr="00D178DD">
              <w:rPr>
                <w:rFonts w:eastAsia="Calibri"/>
                <w:i/>
                <w:noProof/>
                <w:sz w:val="18"/>
                <w:szCs w:val="16"/>
                <w:lang w:val="en-US" w:eastAsia="en-US"/>
              </w:rPr>
              <w:drawing>
                <wp:inline distT="0" distB="0" distL="0" distR="0" wp14:anchorId="0F16E2C5" wp14:editId="7C06676B">
                  <wp:extent cx="2999232" cy="1883410"/>
                  <wp:effectExtent l="0" t="0" r="10795"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178DD">
              <w:rPr>
                <w:rFonts w:eastAsia="Calibri"/>
                <w:b w:val="0"/>
                <w:i/>
                <w:sz w:val="16"/>
                <w:szCs w:val="16"/>
                <w:lang w:val="hy-AM"/>
              </w:rPr>
              <w:t>Աղբյուրը՝ ՀՀ ՎԿ, ՀՀ ՖՆ կանխատեսում</w:t>
            </w:r>
          </w:p>
        </w:tc>
      </w:tr>
      <w:tr w:rsidR="00D178DD" w:rsidRPr="000C4EB4" w:rsidTr="004B2286">
        <w:trPr>
          <w:trHeight w:val="628"/>
        </w:trPr>
        <w:tc>
          <w:tcPr>
            <w:tcW w:w="4841" w:type="dxa"/>
          </w:tcPr>
          <w:p w:rsidR="00D178DD" w:rsidRPr="00D178DD" w:rsidRDefault="00D178DD" w:rsidP="00D178DD">
            <w:pPr>
              <w:spacing w:before="0" w:after="60" w:line="240" w:lineRule="auto"/>
              <w:ind w:firstLine="0"/>
              <w:contextualSpacing w:val="0"/>
              <w:rPr>
                <w:i/>
                <w:noProof/>
                <w:sz w:val="18"/>
                <w:szCs w:val="18"/>
                <w:lang w:val="hy-AM" w:eastAsia="en-US"/>
              </w:rPr>
            </w:pPr>
            <w:r w:rsidRPr="00D178DD">
              <w:rPr>
                <w:i/>
                <w:noProof/>
                <w:sz w:val="18"/>
                <w:szCs w:val="18"/>
                <w:lang w:val="hy-AM" w:eastAsia="en-US"/>
              </w:rPr>
              <w:t xml:space="preserve">Գծապատկեր 1.16. Տնտեսության առանձին ճյուղերի նպաստումները տնտեսական աճին </w:t>
            </w:r>
          </w:p>
          <w:p w:rsidR="00D178DD" w:rsidRPr="00D178DD" w:rsidRDefault="00D178DD" w:rsidP="00D178DD">
            <w:pPr>
              <w:spacing w:before="0" w:line="276" w:lineRule="auto"/>
              <w:ind w:firstLine="29"/>
              <w:contextualSpacing w:val="0"/>
              <w:jc w:val="left"/>
              <w:rPr>
                <w:rFonts w:ascii="Times New Roman" w:hAnsi="Times New Roman"/>
                <w:sz w:val="24"/>
                <w:lang w:val="en-US" w:eastAsia="en-US"/>
              </w:rPr>
            </w:pPr>
            <w:r w:rsidRPr="00D178DD">
              <w:rPr>
                <w:rFonts w:ascii="Times New Roman" w:hAnsi="Times New Roman"/>
                <w:b w:val="0"/>
                <w:noProof/>
                <w:sz w:val="24"/>
                <w:shd w:val="clear" w:color="auto" w:fill="B4C6E7"/>
                <w:lang w:val="en-US" w:eastAsia="en-US"/>
              </w:rPr>
              <w:lastRenderedPageBreak/>
              <w:drawing>
                <wp:inline distT="0" distB="0" distL="0" distR="0" wp14:anchorId="1CBA7B7E" wp14:editId="392061EC">
                  <wp:extent cx="3021330" cy="1868170"/>
                  <wp:effectExtent l="0" t="0" r="7620"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78DD" w:rsidRPr="00D178DD" w:rsidRDefault="00D178DD" w:rsidP="00D178DD">
            <w:pPr>
              <w:spacing w:before="40" w:line="276" w:lineRule="auto"/>
              <w:ind w:firstLine="0"/>
              <w:jc w:val="left"/>
              <w:rPr>
                <w:b w:val="0"/>
                <w:i/>
                <w:sz w:val="16"/>
                <w:szCs w:val="16"/>
                <w:lang w:val="hy-AM" w:eastAsia="en-US"/>
              </w:rPr>
            </w:pPr>
            <w:r w:rsidRPr="00D178DD">
              <w:rPr>
                <w:b w:val="0"/>
                <w:i/>
                <w:sz w:val="16"/>
                <w:szCs w:val="16"/>
                <w:lang w:val="hy-AM" w:eastAsia="en-US"/>
              </w:rPr>
              <w:t xml:space="preserve">Աղբյուրը՝ </w:t>
            </w:r>
            <w:r w:rsidRPr="00D178DD">
              <w:rPr>
                <w:rFonts w:eastAsia="Calibri"/>
                <w:b w:val="0"/>
                <w:i/>
                <w:sz w:val="16"/>
                <w:szCs w:val="16"/>
                <w:lang w:val="hy-AM"/>
              </w:rPr>
              <w:t>ՀՀ ՎԿ, ՀՀ ՖՆ հաշվարկներ և կանխատեսումներ</w:t>
            </w:r>
          </w:p>
        </w:tc>
        <w:tc>
          <w:tcPr>
            <w:tcW w:w="4899" w:type="dxa"/>
          </w:tcPr>
          <w:p w:rsidR="00D178DD" w:rsidRPr="00D178DD" w:rsidRDefault="00D178DD" w:rsidP="00D178DD">
            <w:pPr>
              <w:spacing w:before="0" w:after="60" w:line="240" w:lineRule="auto"/>
              <w:ind w:firstLine="0"/>
              <w:contextualSpacing w:val="0"/>
              <w:rPr>
                <w:i/>
                <w:noProof/>
                <w:sz w:val="18"/>
                <w:szCs w:val="18"/>
                <w:lang w:val="hy-AM" w:eastAsia="en-US"/>
              </w:rPr>
            </w:pPr>
            <w:r w:rsidRPr="00D178DD">
              <w:rPr>
                <w:i/>
                <w:noProof/>
                <w:sz w:val="18"/>
                <w:szCs w:val="18"/>
                <w:lang w:val="hy-AM" w:eastAsia="en-US"/>
              </w:rPr>
              <w:lastRenderedPageBreak/>
              <w:t>Գծապատկեր 1.17. Տնտեսական աճին պահանջարկի բաղադրիչների նպաստումները</w:t>
            </w:r>
          </w:p>
          <w:p w:rsidR="00D178DD" w:rsidRPr="00D178DD" w:rsidRDefault="00D178DD" w:rsidP="00D178DD">
            <w:pPr>
              <w:spacing w:before="0" w:line="276" w:lineRule="auto"/>
              <w:ind w:firstLine="0"/>
              <w:contextualSpacing w:val="0"/>
              <w:jc w:val="left"/>
              <w:rPr>
                <w:rFonts w:ascii="Times New Roman" w:hAnsi="Times New Roman"/>
                <w:b w:val="0"/>
                <w:sz w:val="24"/>
                <w:lang w:val="en-US" w:eastAsia="en-US"/>
              </w:rPr>
            </w:pPr>
            <w:r w:rsidRPr="00D178DD">
              <w:rPr>
                <w:rFonts w:ascii="Times New Roman" w:hAnsi="Times New Roman" w:cs="Sylfaen"/>
                <w:noProof/>
                <w:sz w:val="24"/>
                <w:lang w:val="en-US" w:eastAsia="en-US"/>
              </w:rPr>
              <w:lastRenderedPageBreak/>
              <w:drawing>
                <wp:inline distT="0" distB="0" distL="0" distR="0" wp14:anchorId="2A5969B6" wp14:editId="43392FD4">
                  <wp:extent cx="3123565" cy="1868446"/>
                  <wp:effectExtent l="0" t="0" r="635" b="1778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178DD" w:rsidRPr="00D178DD" w:rsidRDefault="00D178DD" w:rsidP="00D178DD">
            <w:pPr>
              <w:spacing w:before="40" w:line="276" w:lineRule="auto"/>
              <w:ind w:firstLine="0"/>
              <w:jc w:val="left"/>
              <w:rPr>
                <w:b w:val="0"/>
                <w:i/>
                <w:szCs w:val="22"/>
                <w:lang w:val="hy-AM" w:eastAsia="en-US"/>
              </w:rPr>
            </w:pPr>
            <w:r w:rsidRPr="00D178DD">
              <w:rPr>
                <w:b w:val="0"/>
                <w:i/>
                <w:sz w:val="16"/>
                <w:szCs w:val="16"/>
                <w:lang w:val="hy-AM" w:eastAsia="en-US"/>
              </w:rPr>
              <w:t xml:space="preserve">Աղբյուրը՝ ՀՀ ՎԿ, ՀՀ </w:t>
            </w:r>
            <w:r w:rsidRPr="00D178DD">
              <w:rPr>
                <w:b w:val="0"/>
                <w:i/>
                <w:sz w:val="18"/>
                <w:szCs w:val="16"/>
                <w:lang w:val="hy-AM" w:eastAsia="en-US"/>
              </w:rPr>
              <w:t>ՖՆ</w:t>
            </w:r>
            <w:r w:rsidRPr="00D178DD">
              <w:rPr>
                <w:b w:val="0"/>
                <w:i/>
                <w:sz w:val="16"/>
                <w:szCs w:val="16"/>
                <w:lang w:val="hy-AM" w:eastAsia="en-US"/>
              </w:rPr>
              <w:t xml:space="preserve"> հաշվարկներ և կանխատեսումներ</w:t>
            </w:r>
          </w:p>
        </w:tc>
      </w:tr>
    </w:tbl>
    <w:p w:rsidR="00D178DD" w:rsidRPr="00D178DD" w:rsidRDefault="00D178DD" w:rsidP="00D178DD">
      <w:pPr>
        <w:tabs>
          <w:tab w:val="right" w:pos="0"/>
        </w:tabs>
        <w:spacing w:before="40" w:after="120" w:line="276" w:lineRule="auto"/>
        <w:ind w:firstLine="562"/>
        <w:contextualSpacing w:val="0"/>
        <w:rPr>
          <w:rFonts w:cs="Sylfaen"/>
          <w:b w:val="0"/>
          <w:szCs w:val="22"/>
          <w:lang w:val="hy-AM" w:eastAsia="en-US"/>
        </w:rPr>
      </w:pPr>
      <w:r w:rsidRPr="00D178DD">
        <w:rPr>
          <w:rFonts w:cs="Sylfaen"/>
          <w:bCs/>
          <w:noProof/>
          <w:szCs w:val="22"/>
          <w:u w:val="single"/>
          <w:lang w:val="hy-AM" w:eastAsia="en-US"/>
        </w:rPr>
        <w:lastRenderedPageBreak/>
        <w:t>Համախառն առաջարկի կանխատեսում</w:t>
      </w:r>
      <w:r w:rsidRPr="00D178DD">
        <w:rPr>
          <w:rFonts w:cs="Sylfaen"/>
          <w:bCs/>
          <w:noProof/>
          <w:szCs w:val="22"/>
          <w:lang w:val="hy-AM" w:eastAsia="en-US"/>
        </w:rPr>
        <w:t xml:space="preserve">. </w:t>
      </w:r>
      <w:r w:rsidRPr="00D178DD">
        <w:rPr>
          <w:rFonts w:cs="Sylfaen"/>
          <w:b w:val="0"/>
          <w:bCs/>
          <w:noProof/>
          <w:szCs w:val="22"/>
          <w:lang w:val="hy-AM" w:eastAsia="en-US"/>
        </w:rPr>
        <w:t>2022թ</w:t>
      </w:r>
      <w:r w:rsidRPr="00D178DD">
        <w:rPr>
          <w:rFonts w:ascii="Cambria Math" w:hAnsi="Cambria Math" w:cs="Cambria Math"/>
          <w:b w:val="0"/>
          <w:bCs/>
          <w:noProof/>
          <w:szCs w:val="22"/>
          <w:lang w:val="hy-AM" w:eastAsia="en-US"/>
        </w:rPr>
        <w:t>․</w:t>
      </w:r>
      <w:r w:rsidRPr="00D178DD">
        <w:rPr>
          <w:b w:val="0"/>
          <w:bCs/>
          <w:noProof/>
          <w:szCs w:val="22"/>
          <w:lang w:val="hy-AM" w:eastAsia="en-US"/>
        </w:rPr>
        <w:t xml:space="preserve"> </w:t>
      </w:r>
      <w:r w:rsidRPr="00D178DD">
        <w:rPr>
          <w:rFonts w:cs="Sylfaen"/>
          <w:b w:val="0"/>
          <w:noProof/>
          <w:szCs w:val="22"/>
          <w:lang w:val="hy-AM" w:eastAsia="en-US"/>
        </w:rPr>
        <w:t xml:space="preserve">սպասվող 11% </w:t>
      </w:r>
      <w:r w:rsidRPr="00D178DD">
        <w:rPr>
          <w:rFonts w:cs="Sylfaen"/>
          <w:b w:val="0"/>
          <w:szCs w:val="22"/>
          <w:lang w:val="hy-AM" w:eastAsia="en-US"/>
        </w:rPr>
        <w:t>տնտեսական աճը հիմնականում պայմանավորված կլինի ծառայությունների (ներառյալ առևտուրը) և շինարարության, համապատասխանաբար,   15</w:t>
      </w:r>
      <w:r w:rsidRPr="00D178DD">
        <w:rPr>
          <w:rFonts w:ascii="Cambria Math" w:hAnsi="Cambria Math" w:cs="Cambria Math"/>
          <w:b w:val="0"/>
          <w:szCs w:val="22"/>
          <w:lang w:val="hy-AM" w:eastAsia="en-US"/>
        </w:rPr>
        <w:t>․</w:t>
      </w:r>
      <w:r w:rsidRPr="00D178DD">
        <w:rPr>
          <w:b w:val="0"/>
          <w:szCs w:val="22"/>
          <w:lang w:val="hy-AM" w:eastAsia="en-US"/>
        </w:rPr>
        <w:t xml:space="preserve">6% և 16.9% </w:t>
      </w:r>
      <w:r w:rsidRPr="00D178DD">
        <w:rPr>
          <w:rFonts w:cs="Sylfaen"/>
          <w:b w:val="0"/>
          <w:szCs w:val="22"/>
          <w:lang w:val="hy-AM" w:eastAsia="en-US"/>
        </w:rPr>
        <w:t>առաջանցիկ աճերով։ Արդյունաբերության և գյուղատնտեսության ճյուղերը նույնպես կաճեն (համապատասխանաբար՝ 5</w:t>
      </w:r>
      <w:r w:rsidRPr="00D178DD">
        <w:rPr>
          <w:rFonts w:ascii="Cambria Math" w:hAnsi="Cambria Math" w:cs="Cambria Math"/>
          <w:b w:val="0"/>
          <w:szCs w:val="22"/>
          <w:lang w:val="hy-AM" w:eastAsia="en-US"/>
        </w:rPr>
        <w:t>․</w:t>
      </w:r>
      <w:r w:rsidRPr="00D178DD">
        <w:rPr>
          <w:rFonts w:cs="Sylfaen"/>
          <w:b w:val="0"/>
          <w:szCs w:val="22"/>
          <w:lang w:val="hy-AM" w:eastAsia="en-US"/>
        </w:rPr>
        <w:t>0% և 2.2%)` դրական նպաստելով տնտեսական աճին:</w:t>
      </w:r>
    </w:p>
    <w:p w:rsidR="00D178DD" w:rsidRPr="00D178DD" w:rsidRDefault="00D178DD" w:rsidP="00D178DD">
      <w:pPr>
        <w:spacing w:after="60" w:line="276" w:lineRule="auto"/>
        <w:ind w:firstLine="562"/>
        <w:contextualSpacing w:val="0"/>
        <w:rPr>
          <w:rFonts w:cs="Sylfaen"/>
          <w:bCs/>
          <w:noProof/>
          <w:szCs w:val="22"/>
          <w:u w:val="single"/>
          <w:lang w:val="hy-AM" w:eastAsia="en-US"/>
        </w:rPr>
      </w:pPr>
      <w:r w:rsidRPr="00D178DD">
        <w:rPr>
          <w:rFonts w:eastAsia="Calibri" w:cs="Sylfaen"/>
          <w:b w:val="0"/>
          <w:bCs/>
          <w:szCs w:val="22"/>
          <w:lang w:val="hy-AM" w:eastAsia="en-US"/>
        </w:rPr>
        <w:t xml:space="preserve">2023թ. ՀՀ տեղափոխված ՏՏ ոլորտի ընկերությունների և աշխատակիցների, ինչպես նաև կապիտալի և մարդկանց ներհոսքերրի թողած դրական ազդեցությունների որոշակիորեն պահպանման, </w:t>
      </w:r>
      <w:r w:rsidRPr="00D178DD">
        <w:rPr>
          <w:rFonts w:cs="Sylfaen"/>
          <w:b w:val="0"/>
          <w:bCs/>
          <w:noProof/>
          <w:szCs w:val="22"/>
          <w:lang w:val="hy-AM" w:eastAsia="en-US"/>
        </w:rPr>
        <w:t xml:space="preserve">ինչպես նաև </w:t>
      </w:r>
      <w:r w:rsidRPr="00D178DD">
        <w:rPr>
          <w:rFonts w:eastAsia="Calibri" w:cs="Sylfaen"/>
          <w:b w:val="0"/>
          <w:bCs/>
          <w:szCs w:val="22"/>
          <w:lang w:val="hy-AM" w:eastAsia="en-US"/>
        </w:rPr>
        <w:t>ՀՀ կառավարության կողմից նախատեսված մասնավոր ներդրումների խթանման, տնտեսության արդիականացման և</w:t>
      </w:r>
      <w:r w:rsidRPr="00D178DD">
        <w:rPr>
          <w:rFonts w:cs="Sylfaen"/>
          <w:b w:val="0"/>
          <w:bCs/>
          <w:noProof/>
          <w:szCs w:val="22"/>
          <w:lang w:val="hy-AM" w:eastAsia="en-US"/>
        </w:rPr>
        <w:t xml:space="preserve"> գործարար միջավայրի բարելավման, տեխնոլոգիական առաջընթացի ապահովման, տնտեսության արտահանելի հատվածի և  արտահանման խթանմանն ուղղված քաղաքականությունների, ինչպես նաև մեծածավալ պետական ներդրումների իրականացման պայմաններում</w:t>
      </w:r>
      <w:r w:rsidRPr="00D178DD">
        <w:rPr>
          <w:rFonts w:eastAsia="Calibri" w:cs="Sylfaen"/>
          <w:b w:val="0"/>
          <w:bCs/>
          <w:szCs w:val="22"/>
          <w:lang w:val="hy-AM" w:eastAsia="en-US"/>
        </w:rPr>
        <w:t>` շինարարության ճյուղը կաճի 9</w:t>
      </w:r>
      <w:r w:rsidRPr="00D178DD">
        <w:rPr>
          <w:rFonts w:ascii="Cambria Math" w:eastAsia="Calibri" w:hAnsi="Cambria Math" w:cs="Cambria Math"/>
          <w:b w:val="0"/>
          <w:bCs/>
          <w:szCs w:val="22"/>
          <w:lang w:val="hy-AM" w:eastAsia="en-US"/>
        </w:rPr>
        <w:t>․</w:t>
      </w:r>
      <w:r w:rsidRPr="00D178DD">
        <w:rPr>
          <w:rFonts w:eastAsia="Calibri" w:cs="Sylfaen"/>
          <w:b w:val="0"/>
          <w:bCs/>
          <w:szCs w:val="22"/>
          <w:lang w:val="hy-AM" w:eastAsia="en-US"/>
        </w:rPr>
        <w:t>6%-ով,  ծառայությունները՝ 8</w:t>
      </w:r>
      <w:r w:rsidRPr="00D178DD">
        <w:rPr>
          <w:rFonts w:ascii="Cambria Math" w:eastAsia="Calibri" w:hAnsi="Cambria Math" w:cs="Cambria Math"/>
          <w:b w:val="0"/>
          <w:bCs/>
          <w:szCs w:val="22"/>
          <w:lang w:val="hy-AM" w:eastAsia="en-US"/>
        </w:rPr>
        <w:t>․</w:t>
      </w:r>
      <w:r w:rsidRPr="00D178DD">
        <w:rPr>
          <w:rFonts w:eastAsia="Calibri" w:cs="Sylfaen"/>
          <w:b w:val="0"/>
          <w:bCs/>
          <w:szCs w:val="22"/>
          <w:lang w:val="hy-AM" w:eastAsia="en-US"/>
        </w:rPr>
        <w:t>2%-ով, իսկ արդյունաբերությունը և գյուղատնտեսությունը՝ համապատասխանաբար  5</w:t>
      </w:r>
      <w:r w:rsidRPr="00D178DD">
        <w:rPr>
          <w:rFonts w:ascii="Cambria Math" w:eastAsia="Calibri" w:hAnsi="Cambria Math" w:cs="Cambria Math"/>
          <w:b w:val="0"/>
          <w:bCs/>
          <w:szCs w:val="22"/>
          <w:lang w:val="hy-AM" w:eastAsia="en-US"/>
        </w:rPr>
        <w:t>․</w:t>
      </w:r>
      <w:r w:rsidRPr="00D178DD">
        <w:rPr>
          <w:rFonts w:eastAsia="Calibri" w:cs="Sylfaen"/>
          <w:b w:val="0"/>
          <w:bCs/>
          <w:szCs w:val="22"/>
          <w:lang w:val="hy-AM" w:eastAsia="en-US"/>
        </w:rPr>
        <w:t xml:space="preserve">1%-ով և 3%-ով:  </w:t>
      </w:r>
    </w:p>
    <w:tbl>
      <w:tblPr>
        <w:tblStyle w:val="TableGrid8130"/>
        <w:tblW w:w="985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5136"/>
        <w:gridCol w:w="5106"/>
      </w:tblGrid>
      <w:tr w:rsidR="00D178DD" w:rsidRPr="000C4EB4" w:rsidTr="004B2286">
        <w:trPr>
          <w:trHeight w:val="3947"/>
        </w:trPr>
        <w:tc>
          <w:tcPr>
            <w:tcW w:w="4939" w:type="dxa"/>
          </w:tcPr>
          <w:p w:rsidR="00D178DD" w:rsidRPr="00D178DD" w:rsidRDefault="00D178DD" w:rsidP="00D178DD">
            <w:pPr>
              <w:spacing w:before="0" w:line="240" w:lineRule="auto"/>
              <w:ind w:firstLine="0"/>
              <w:rPr>
                <w:i/>
                <w:noProof/>
                <w:sz w:val="18"/>
                <w:szCs w:val="18"/>
                <w:lang w:val="hy-AM" w:eastAsia="en-US"/>
              </w:rPr>
            </w:pPr>
            <w:r w:rsidRPr="00D178DD">
              <w:rPr>
                <w:i/>
                <w:noProof/>
                <w:szCs w:val="22"/>
                <w:lang w:val="en-US" w:eastAsia="en-US"/>
              </w:rPr>
              <w:drawing>
                <wp:anchor distT="0" distB="0" distL="114300" distR="114300" simplePos="0" relativeHeight="251656192" behindDoc="0" locked="0" layoutInCell="1" allowOverlap="1" wp14:anchorId="03ECA126" wp14:editId="27EEED12">
                  <wp:simplePos x="0" y="0"/>
                  <wp:positionH relativeFrom="column">
                    <wp:posOffset>-1270</wp:posOffset>
                  </wp:positionH>
                  <wp:positionV relativeFrom="paragraph">
                    <wp:posOffset>370205</wp:posOffset>
                  </wp:positionV>
                  <wp:extent cx="3112135" cy="1933575"/>
                  <wp:effectExtent l="0" t="0" r="12065" b="952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Pr="00D178DD">
              <w:rPr>
                <w:i/>
                <w:noProof/>
                <w:sz w:val="18"/>
                <w:szCs w:val="18"/>
                <w:lang w:val="hy-AM" w:eastAsia="en-US"/>
              </w:rPr>
              <w:t>Գծապատկեր 1.18. Ճյուղերի տեսակարար կշիռները ՀՆԱ-ի կազմում</w:t>
            </w:r>
          </w:p>
          <w:p w:rsidR="00D178DD" w:rsidRPr="00D178DD" w:rsidRDefault="00D178DD" w:rsidP="00D178DD">
            <w:pPr>
              <w:spacing w:before="40" w:line="276" w:lineRule="auto"/>
              <w:ind w:firstLine="0"/>
              <w:contextualSpacing w:val="0"/>
              <w:jc w:val="left"/>
              <w:rPr>
                <w:i/>
                <w:sz w:val="16"/>
                <w:szCs w:val="16"/>
                <w:lang w:val="hy-AM" w:eastAsia="en-US"/>
              </w:rPr>
            </w:pPr>
            <w:r w:rsidRPr="00D178DD">
              <w:rPr>
                <w:i/>
                <w:sz w:val="16"/>
                <w:szCs w:val="16"/>
                <w:lang w:val="hy-AM" w:eastAsia="en-US"/>
              </w:rPr>
              <w:t>Աղբյուրը՝ ՀՀ ՎԿ, ՀՀ ՖՆ հաշվարկներ և կանխատեսումներ</w:t>
            </w:r>
          </w:p>
        </w:tc>
        <w:tc>
          <w:tcPr>
            <w:tcW w:w="4911" w:type="dxa"/>
          </w:tcPr>
          <w:p w:rsidR="00D178DD" w:rsidRPr="00D178DD" w:rsidRDefault="00D178DD" w:rsidP="00D178DD">
            <w:pPr>
              <w:spacing w:before="0" w:line="240" w:lineRule="auto"/>
              <w:ind w:firstLine="0"/>
              <w:rPr>
                <w:i/>
                <w:noProof/>
                <w:sz w:val="18"/>
                <w:szCs w:val="18"/>
                <w:lang w:val="hy-AM" w:eastAsia="en-US"/>
              </w:rPr>
            </w:pPr>
            <w:r w:rsidRPr="00D178DD">
              <w:rPr>
                <w:i/>
                <w:noProof/>
                <w:sz w:val="18"/>
                <w:szCs w:val="18"/>
                <w:lang w:val="en-US" w:eastAsia="en-US"/>
              </w:rPr>
              <w:drawing>
                <wp:anchor distT="0" distB="0" distL="114300" distR="114300" simplePos="0" relativeHeight="251655168" behindDoc="0" locked="0" layoutInCell="1" allowOverlap="1" wp14:anchorId="1409A335" wp14:editId="50C6EFA9">
                  <wp:simplePos x="0" y="0"/>
                  <wp:positionH relativeFrom="column">
                    <wp:posOffset>33020</wp:posOffset>
                  </wp:positionH>
                  <wp:positionV relativeFrom="paragraph">
                    <wp:posOffset>379730</wp:posOffset>
                  </wp:positionV>
                  <wp:extent cx="3102610" cy="1924050"/>
                  <wp:effectExtent l="0" t="0" r="2540" b="0"/>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Pr="00D178DD">
              <w:rPr>
                <w:i/>
                <w:noProof/>
                <w:sz w:val="18"/>
                <w:szCs w:val="18"/>
                <w:lang w:val="hy-AM" w:eastAsia="en-US"/>
              </w:rPr>
              <w:t>Գծապատկեր 1.19. Ծախսային բաղադրիչների տեսա- կարար կշիռները ՀՆԱ-ի կազմում</w:t>
            </w:r>
          </w:p>
          <w:p w:rsidR="00D178DD" w:rsidRPr="00D178DD" w:rsidRDefault="00D178DD" w:rsidP="00D178DD">
            <w:pPr>
              <w:spacing w:before="40" w:line="276" w:lineRule="auto"/>
              <w:ind w:firstLine="0"/>
              <w:contextualSpacing w:val="0"/>
              <w:jc w:val="left"/>
              <w:rPr>
                <w:i/>
                <w:sz w:val="16"/>
                <w:szCs w:val="16"/>
                <w:lang w:val="hy-AM" w:eastAsia="en-US"/>
              </w:rPr>
            </w:pPr>
            <w:r w:rsidRPr="00D178DD">
              <w:rPr>
                <w:i/>
                <w:sz w:val="16"/>
                <w:szCs w:val="16"/>
                <w:lang w:val="hy-AM" w:eastAsia="en-US"/>
              </w:rPr>
              <w:t>Աղբյուրը՝ ՀՀ ՎԿ, ՀՀ ՖՆ հաշվարկներ և կանխատեսումներ</w:t>
            </w:r>
          </w:p>
        </w:tc>
      </w:tr>
    </w:tbl>
    <w:p w:rsidR="00D178DD" w:rsidRPr="00D178DD" w:rsidRDefault="00D178DD" w:rsidP="00D178DD">
      <w:pPr>
        <w:spacing w:after="60" w:line="276" w:lineRule="auto"/>
        <w:ind w:firstLine="562"/>
        <w:contextualSpacing w:val="0"/>
        <w:rPr>
          <w:rFonts w:eastAsia="Calibri" w:cs="Sylfaen"/>
          <w:b w:val="0"/>
          <w:bCs/>
          <w:szCs w:val="22"/>
          <w:lang w:val="hy-AM" w:eastAsia="en-US"/>
        </w:rPr>
      </w:pPr>
      <w:r w:rsidRPr="00D178DD">
        <w:rPr>
          <w:rFonts w:eastAsia="Calibri"/>
          <w:bCs/>
          <w:szCs w:val="22"/>
          <w:u w:val="single"/>
          <w:lang w:val="hy-AM" w:eastAsia="en-US"/>
        </w:rPr>
        <w:t>Համախառն պահանջարկ</w:t>
      </w:r>
      <w:r w:rsidRPr="00D178DD">
        <w:rPr>
          <w:rFonts w:eastAsia="Calibri" w:cs="Times Armenian"/>
          <w:szCs w:val="22"/>
          <w:u w:val="single"/>
          <w:lang w:val="hy-AM" w:eastAsia="en-US"/>
        </w:rPr>
        <w:t xml:space="preserve">ի </w:t>
      </w:r>
      <w:r w:rsidRPr="00D178DD">
        <w:rPr>
          <w:rFonts w:eastAsia="Calibri" w:cs="Sylfaen"/>
          <w:szCs w:val="22"/>
          <w:u w:val="single"/>
          <w:lang w:val="hy-AM" w:eastAsia="en-US"/>
        </w:rPr>
        <w:t>կանխատեսում.</w:t>
      </w:r>
      <w:r w:rsidRPr="00D178DD">
        <w:rPr>
          <w:rFonts w:eastAsia="Calibri" w:cs="Sylfaen"/>
          <w:szCs w:val="22"/>
          <w:lang w:val="hy-AM" w:eastAsia="en-US"/>
        </w:rPr>
        <w:t xml:space="preserve"> </w:t>
      </w:r>
      <w:r w:rsidRPr="00D178DD">
        <w:rPr>
          <w:rFonts w:eastAsia="Calibri" w:cs="Sylfaen"/>
          <w:b w:val="0"/>
          <w:bCs/>
          <w:szCs w:val="22"/>
          <w:lang w:val="hy-AM" w:eastAsia="en-US"/>
        </w:rPr>
        <w:t xml:space="preserve">Ընթացիկ զարգացումների պայմաններում 2022թ. վերջնական սպառումը իրական արտահայտությամբ կաճի 7.8%-ով, իսկ ներդրումները՝ 18.3%-ով։ Սպառման և ներդրումների աճին կնպաստեն տնօրինվող եկամտի աճը (այդ թվում՝ դրամական փոխանցումների բարձր աճը), դեռևս Համավարակի շրջանում մասնավոր հատվածում կուտակված նախազգուշական խնայողությունների օգտագործումը, օտարերկրացիների ներհոսքը, բնակարանային շինարարության շարունակվող աճը, ինչպես նաև </w:t>
      </w:r>
      <w:r w:rsidRPr="00D178DD">
        <w:rPr>
          <w:rFonts w:eastAsia="Calibri" w:cs="Sylfaen"/>
          <w:b w:val="0"/>
          <w:bCs/>
          <w:szCs w:val="22"/>
          <w:lang w:val="hy-AM" w:eastAsia="en-US"/>
        </w:rPr>
        <w:lastRenderedPageBreak/>
        <w:t xml:space="preserve">ՀՀ կառավարության կողմից շարունակվող Համավարակի և </w:t>
      </w:r>
      <w:r w:rsidR="00822D2B" w:rsidRPr="00822D2B">
        <w:rPr>
          <w:rFonts w:eastAsia="Calibri" w:cs="Sylfaen"/>
          <w:b w:val="0"/>
          <w:bCs/>
          <w:szCs w:val="22"/>
          <w:lang w:val="hy-AM" w:eastAsia="en-US"/>
        </w:rPr>
        <w:t>Ղարաբաղ</w:t>
      </w:r>
      <w:r w:rsidRPr="00D178DD">
        <w:rPr>
          <w:rFonts w:eastAsia="Calibri" w:cs="Sylfaen"/>
          <w:b w:val="0"/>
          <w:bCs/>
          <w:szCs w:val="22"/>
          <w:lang w:val="hy-AM" w:eastAsia="en-US"/>
        </w:rPr>
        <w:t xml:space="preserve">յան պատերազմի հետևանքների մեղմանն ու ներդրումային միջավայրի բարելավմանն ուղղված քաղաքա-կանությունները։ </w:t>
      </w:r>
    </w:p>
    <w:p w:rsidR="00D178DD" w:rsidRPr="00D178DD" w:rsidRDefault="00D178DD" w:rsidP="00D178DD">
      <w:pPr>
        <w:spacing w:after="60" w:line="276" w:lineRule="auto"/>
        <w:ind w:firstLine="562"/>
        <w:contextualSpacing w:val="0"/>
        <w:rPr>
          <w:rFonts w:eastAsia="Calibri" w:cs="Sylfaen"/>
          <w:b w:val="0"/>
          <w:bCs/>
          <w:szCs w:val="22"/>
          <w:lang w:val="hy-AM" w:eastAsia="en-US"/>
        </w:rPr>
      </w:pPr>
      <w:bookmarkStart w:id="43" w:name="_Toc51360524"/>
      <w:r w:rsidRPr="00D178DD">
        <w:rPr>
          <w:rFonts w:eastAsia="Calibri" w:cs="Sylfaen"/>
          <w:b w:val="0"/>
          <w:bCs/>
          <w:szCs w:val="22"/>
          <w:lang w:val="hy-AM" w:eastAsia="en-US"/>
        </w:rPr>
        <w:t>2023թ. սպառումը կաճի 4%-ով, իսկ ներդրումները՝ 18.4%-ով: Ներդրումների աճը կպայմանավորվի ինչպես պետական (38.1% աճ), այնպես էլ ՀՀ կառավարության կողմից մասնավոր ներդրումների խթանման քաղաքականության իրականացման արդյունքում ներքին և օտարերկրյա միջոցներով ֆինանսավորվող մասնավոր ներդրումներով (12.7% աճ)։</w:t>
      </w:r>
    </w:p>
    <w:p w:rsidR="00D178DD" w:rsidRPr="00D178DD" w:rsidRDefault="00D178DD" w:rsidP="00D178DD">
      <w:pPr>
        <w:spacing w:before="40" w:after="60" w:line="276" w:lineRule="auto"/>
        <w:ind w:firstLine="562"/>
        <w:contextualSpacing w:val="0"/>
        <w:rPr>
          <w:rFonts w:eastAsia="Calibri" w:cs="Sylfaen"/>
          <w:b w:val="0"/>
          <w:bCs/>
          <w:szCs w:val="22"/>
          <w:lang w:val="hy-AM" w:eastAsia="en-US"/>
        </w:rPr>
      </w:pPr>
      <w:r w:rsidRPr="00D178DD">
        <w:rPr>
          <w:rFonts w:eastAsia="Calibri" w:cs="Sylfaen"/>
          <w:b w:val="0"/>
          <w:bCs/>
          <w:szCs w:val="22"/>
          <w:lang w:val="hy-AM" w:eastAsia="en-US"/>
        </w:rPr>
        <w:t>2022թ. արտահանումը և ներմուծումը կաճեն համապատասխանաբար 33.9%-ով և 21.4%-ով՝ պայմանավորված ներքին և արտաքին պահանջարկի (հատկապես՝ ծառայությունների արտահանման մասով), ինչպես նաև տնտեսական ակտիվության աճով։ ՀՀ և համաշխարհային տնտեսական աճերի, ՀՀ տնտեսության արտահանելի հատվածի զարգացումների, տնօրինվող եկամտի աճի, զբոսաշրջության վերականգման, ինչպես նաև արտահանմանը և ներդրումների խրախուսմանն ուղղված ՀՀ կառավարության քաղաքականության պայմաններում 2023թ. արտահանումն ու ներմուծումը կաճեն համապատասխանաբար` 9.3%-ով և 5.8%-ով:</w:t>
      </w:r>
    </w:p>
    <w:p w:rsidR="00D178DD" w:rsidRPr="00D178DD" w:rsidRDefault="00D178DD" w:rsidP="00D178DD">
      <w:pPr>
        <w:spacing w:before="0" w:after="120" w:line="240" w:lineRule="auto"/>
        <w:ind w:firstLine="0"/>
        <w:contextualSpacing w:val="0"/>
        <w:jc w:val="left"/>
        <w:rPr>
          <w:rFonts w:eastAsia="Calibri"/>
          <w:bCs/>
          <w:sz w:val="24"/>
          <w:lang w:val="hy-AM" w:eastAsia="en-US"/>
        </w:rPr>
      </w:pPr>
      <w:r w:rsidRPr="00D178DD">
        <w:rPr>
          <w:rFonts w:eastAsia="Calibri"/>
          <w:bCs/>
          <w:sz w:val="24"/>
          <w:lang w:val="hy-AM" w:eastAsia="en-US"/>
        </w:rPr>
        <w:t>1.3.2. Աշխատանքի շուկա</w:t>
      </w:r>
      <w:bookmarkEnd w:id="43"/>
    </w:p>
    <w:p w:rsidR="00D178DD" w:rsidRPr="00D178DD" w:rsidRDefault="00D178DD" w:rsidP="00D178DD">
      <w:pPr>
        <w:tabs>
          <w:tab w:val="num" w:pos="720"/>
          <w:tab w:val="left" w:pos="9450"/>
        </w:tabs>
        <w:spacing w:before="40" w:after="60" w:line="276" w:lineRule="auto"/>
        <w:ind w:firstLine="630"/>
        <w:contextualSpacing w:val="0"/>
        <w:rPr>
          <w:rFonts w:cs="Times Armenian"/>
          <w:bCs/>
          <w:szCs w:val="22"/>
          <w:lang w:val="hy-AM" w:eastAsia="en-US"/>
        </w:rPr>
      </w:pPr>
      <w:r w:rsidRPr="00D178DD">
        <w:rPr>
          <w:rFonts w:cs="Times Armenian"/>
          <w:bCs/>
          <w:szCs w:val="22"/>
          <w:lang w:val="hy-AM" w:eastAsia="en-US"/>
        </w:rPr>
        <w:t xml:space="preserve">Տնտեսության վերականգնման պայմաններում 2021թ. գործազրկության մակարդակը նվազել է, իսկ աշխատուժի մասնակցության մակարդակն աճել: Աճել է նաև միջին ամսական աշխատավարձը։ </w:t>
      </w:r>
      <w:r w:rsidRPr="00D178DD">
        <w:rPr>
          <w:rFonts w:cs="Times Armenian"/>
          <w:b w:val="0"/>
          <w:bCs/>
          <w:szCs w:val="22"/>
          <w:lang w:val="hy-AM" w:eastAsia="en-US"/>
        </w:rPr>
        <w:t>2021թ. գործազրկության մակարդակը 18.1%-ից նվազել է 15.3%-ի, իսկ աշխատուժի մասնակցության մակարդակը 58%-ից բարձրացել է 58.5%-ի:</w:t>
      </w:r>
      <w:r w:rsidRPr="00D178DD">
        <w:rPr>
          <w:rFonts w:cs="Times Armenian"/>
          <w:b w:val="0"/>
          <w:szCs w:val="22"/>
          <w:lang w:val="hy-AM" w:eastAsia="en-US"/>
        </w:rPr>
        <w:t xml:space="preserve"> Նույն ժամանակաշրջանում զբաղվածների թիվն աճել է 0.3%-ով, իսկ գործազուրկների թիվը՝ նվազել 17.5%-ով: Միջին ամսական աշխատավարձը 2022թ. աճել է 7.6%-ով, միաժամանակ իրական աշխատավարձը` 7.2% միջին գնաճի պայմաններում ավելացել է 0.4%-ով:</w:t>
      </w:r>
    </w:p>
    <w:p w:rsidR="00D178DD" w:rsidRPr="00D178DD" w:rsidRDefault="00D178DD" w:rsidP="00D178DD">
      <w:pPr>
        <w:tabs>
          <w:tab w:val="num" w:pos="720"/>
          <w:tab w:val="left" w:pos="9450"/>
        </w:tabs>
        <w:spacing w:before="40" w:after="60" w:line="276" w:lineRule="auto"/>
        <w:ind w:firstLine="630"/>
        <w:contextualSpacing w:val="0"/>
        <w:rPr>
          <w:rFonts w:eastAsiaTheme="majorEastAsia"/>
          <w:b w:val="0"/>
          <w:bCs/>
          <w:lang w:val="hy-AM"/>
        </w:rPr>
      </w:pPr>
      <w:r w:rsidRPr="00D178DD">
        <w:rPr>
          <w:rFonts w:cs="Times Armenian"/>
          <w:bCs/>
          <w:szCs w:val="22"/>
          <w:lang w:val="hy-AM" w:eastAsia="en-US"/>
        </w:rPr>
        <w:t xml:space="preserve">Բարձր տնտեսական աճի պայմաններում 2022թ. առաջին եռամսյակում գործազրկության մակարդակի նվազումը և աշխատուժի մասնակցության մակարդակի աճը շարունակվել է։ </w:t>
      </w:r>
      <w:r w:rsidRPr="00D178DD">
        <w:rPr>
          <w:rFonts w:cs="Times Armenian"/>
          <w:b w:val="0"/>
          <w:bCs/>
          <w:szCs w:val="22"/>
          <w:lang w:val="hy-AM" w:eastAsia="en-US"/>
        </w:rPr>
        <w:t>2022թ. առաջին եռամսյակում գործազրկության մակարդակը նվազել է՝ 16.7%-ից հասնելով 14.8%-ի, իսկ</w:t>
      </w:r>
      <w:r w:rsidRPr="00D178DD">
        <w:rPr>
          <w:rFonts w:cs="Times Armenian"/>
          <w:bCs/>
          <w:szCs w:val="22"/>
          <w:lang w:val="hy-AM" w:eastAsia="en-US"/>
        </w:rPr>
        <w:t xml:space="preserve"> </w:t>
      </w:r>
      <w:r w:rsidRPr="00D178DD">
        <w:rPr>
          <w:rFonts w:cs="Times Armenian"/>
          <w:b w:val="0"/>
          <w:bCs/>
          <w:szCs w:val="22"/>
          <w:lang w:val="hy-AM" w:eastAsia="en-US"/>
        </w:rPr>
        <w:t>աշխատուժի մասնակցության մակարդակն աճել՝ 56.2%-ից հասնելով 56.8%-ի:</w:t>
      </w:r>
      <w:r w:rsidRPr="00D178DD">
        <w:rPr>
          <w:rFonts w:cs="Times Armenian"/>
          <w:b w:val="0"/>
          <w:szCs w:val="22"/>
          <w:lang w:val="hy-AM" w:eastAsia="en-US"/>
        </w:rPr>
        <w:t xml:space="preserve"> Նույն ժամանակաշրջանում զբաղվածների թիվն աճել է 3.3%-ով՝ կազմելով 1070.5 հազ, մարդ, իսկ գործազուրկների թիվը նվազել է 10.2%-ով և կազմել՝ 186.4 հազ. մարդ: </w:t>
      </w:r>
      <w:r w:rsidRPr="00D178DD">
        <w:rPr>
          <w:rFonts w:eastAsiaTheme="majorEastAsia"/>
          <w:b w:val="0"/>
          <w:bCs/>
          <w:lang w:val="hy-AM"/>
        </w:rPr>
        <w:t>2022թ. հունվար-հուլիսին պաշտոնապես գրանցված գործազուրկների միջին ամսական թիվը նախորդ տարվա նույն եռամսյակի նկատմամբ նվազել է 10.8%-ով՝ կազմելով 55,432 մարդ: Նշենք, նաև, որ նշված ժամանակահատվածում 5.6%-ով աճել է վարձու աշխատողների թիվը, որին հիմնականում նպաստել են մեծածախ և մանրածախ առևտուր, տեղեկատվություն և կապ, ինչպես նաև կացություն և հանրային սննդի կազմակերպում ոլորտներում գրանցված աճերը։</w:t>
      </w:r>
    </w:p>
    <w:p w:rsidR="00D178DD" w:rsidRPr="00D178DD" w:rsidRDefault="00D178DD" w:rsidP="00D178DD">
      <w:pPr>
        <w:spacing w:after="120" w:line="276" w:lineRule="auto"/>
        <w:ind w:firstLine="562"/>
        <w:rPr>
          <w:rFonts w:eastAsiaTheme="majorEastAsia"/>
          <w:lang w:val="hy-AM"/>
        </w:rPr>
      </w:pPr>
      <w:r w:rsidRPr="00D178DD">
        <w:rPr>
          <w:rFonts w:eastAsiaTheme="majorEastAsia"/>
          <w:bCs/>
          <w:lang w:val="hy-AM"/>
        </w:rPr>
        <w:t>2022թ. տնտեսական աճի պայմաններում աշխատանքի շուկայում կդրսևորվեն դրական զարգացումներ։</w:t>
      </w:r>
      <w:r w:rsidRPr="00D178DD">
        <w:rPr>
          <w:rFonts w:eastAsiaTheme="majorEastAsia"/>
          <w:lang w:val="hy-AM"/>
        </w:rPr>
        <w:t xml:space="preserve"> </w:t>
      </w:r>
      <w:r w:rsidRPr="00D178DD">
        <w:rPr>
          <w:rFonts w:eastAsiaTheme="majorEastAsia"/>
          <w:b w:val="0"/>
          <w:lang w:val="hy-AM"/>
        </w:rPr>
        <w:t xml:space="preserve">Այս պայմաններում ակնկալվում է զբաղվածության շարունակական աճ և գործազրկության նվազում։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063"/>
        <w:gridCol w:w="4961"/>
      </w:tblGrid>
      <w:tr w:rsidR="00D178DD" w:rsidRPr="00D178DD" w:rsidTr="004B2286">
        <w:trPr>
          <w:trHeight w:val="3144"/>
        </w:trPr>
        <w:tc>
          <w:tcPr>
            <w:tcW w:w="5063" w:type="dxa"/>
          </w:tcPr>
          <w:p w:rsidR="00D178DD" w:rsidRPr="00D178DD" w:rsidRDefault="00D178DD" w:rsidP="00D178DD">
            <w:pPr>
              <w:spacing w:before="40" w:after="60" w:line="240" w:lineRule="auto"/>
              <w:ind w:left="158" w:firstLine="0"/>
              <w:contextualSpacing w:val="0"/>
              <w:rPr>
                <w:rFonts w:cs="Times Armenian"/>
                <w:bCs/>
                <w:i/>
                <w:sz w:val="18"/>
                <w:szCs w:val="18"/>
                <w:lang w:val="hy-AM" w:eastAsia="en-US"/>
              </w:rPr>
            </w:pPr>
            <w:r w:rsidRPr="00D178DD">
              <w:rPr>
                <w:rFonts w:cs="Times Armenian"/>
                <w:bCs/>
                <w:i/>
                <w:sz w:val="18"/>
                <w:szCs w:val="18"/>
                <w:lang w:val="hy-AM" w:eastAsia="en-US"/>
              </w:rPr>
              <w:lastRenderedPageBreak/>
              <w:t>Գծապատկեր 1.</w:t>
            </w:r>
            <w:r w:rsidRPr="00D178DD">
              <w:rPr>
                <w:rFonts w:cs="Times Armenian"/>
                <w:bCs/>
                <w:i/>
                <w:sz w:val="18"/>
                <w:szCs w:val="18"/>
                <w:lang w:val="en-US" w:eastAsia="en-US"/>
              </w:rPr>
              <w:t>20.</w:t>
            </w:r>
            <w:r w:rsidRPr="00D178DD">
              <w:rPr>
                <w:rFonts w:cs="Times Armenian"/>
                <w:bCs/>
                <w:i/>
                <w:sz w:val="18"/>
                <w:szCs w:val="18"/>
                <w:lang w:val="hy-AM" w:eastAsia="en-US"/>
              </w:rPr>
              <w:t xml:space="preserve"> Գործազրկություն և զբաղվածություն </w:t>
            </w:r>
          </w:p>
          <w:p w:rsidR="00D178DD" w:rsidRPr="00D178DD" w:rsidRDefault="00D178DD" w:rsidP="00D178DD">
            <w:pPr>
              <w:spacing w:before="40" w:after="60" w:line="240" w:lineRule="auto"/>
              <w:ind w:firstLine="0"/>
              <w:contextualSpacing w:val="0"/>
              <w:jc w:val="left"/>
              <w:rPr>
                <w:rFonts w:cs="Times Armenian"/>
                <w:b w:val="0"/>
                <w:bCs/>
                <w:szCs w:val="22"/>
                <w:lang w:val="en-US" w:eastAsia="en-US"/>
              </w:rPr>
            </w:pPr>
            <w:r w:rsidRPr="00D178DD">
              <w:rPr>
                <w:rFonts w:cs="Times Armenian"/>
                <w:b w:val="0"/>
                <w:bCs/>
                <w:noProof/>
                <w:szCs w:val="22"/>
                <w:lang w:val="en-US" w:eastAsia="en-US"/>
              </w:rPr>
              <w:drawing>
                <wp:inline distT="0" distB="0" distL="0" distR="0" wp14:anchorId="7AE50434" wp14:editId="3EDF289D">
                  <wp:extent cx="2962275" cy="2105025"/>
                  <wp:effectExtent l="0" t="0" r="9525" b="9525"/>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178DD" w:rsidRPr="00D178DD" w:rsidRDefault="00D178DD" w:rsidP="00D178DD">
            <w:pPr>
              <w:spacing w:before="40" w:after="60" w:line="240" w:lineRule="auto"/>
              <w:ind w:left="155" w:firstLine="0"/>
              <w:contextualSpacing w:val="0"/>
              <w:jc w:val="left"/>
              <w:rPr>
                <w:rFonts w:cs="Times Armenian"/>
                <w:bCs/>
                <w:i/>
                <w:sz w:val="16"/>
                <w:szCs w:val="16"/>
                <w:lang w:val="hy-AM" w:eastAsia="en-US"/>
              </w:rPr>
            </w:pPr>
            <w:r w:rsidRPr="00D178DD">
              <w:rPr>
                <w:rFonts w:cs="Times Armenian"/>
                <w:b w:val="0"/>
                <w:i/>
                <w:sz w:val="16"/>
                <w:szCs w:val="16"/>
                <w:lang w:val="en-US" w:eastAsia="en-US"/>
              </w:rPr>
              <w:t>Աղբյուրը՝ ՀՀ ՎԿ</w:t>
            </w:r>
          </w:p>
        </w:tc>
        <w:tc>
          <w:tcPr>
            <w:tcW w:w="4961" w:type="dxa"/>
          </w:tcPr>
          <w:p w:rsidR="00D178DD" w:rsidRPr="00D178DD" w:rsidRDefault="00D178DD" w:rsidP="00D178DD">
            <w:pPr>
              <w:spacing w:before="40" w:line="240" w:lineRule="auto"/>
              <w:ind w:left="173" w:firstLine="0"/>
              <w:contextualSpacing w:val="0"/>
              <w:jc w:val="left"/>
              <w:rPr>
                <w:rFonts w:cs="Times Armenian"/>
                <w:noProof/>
                <w:sz w:val="18"/>
                <w:szCs w:val="18"/>
                <w:lang w:val="hy-AM" w:eastAsia="en-US"/>
              </w:rPr>
            </w:pPr>
            <w:r w:rsidRPr="00D178DD">
              <w:rPr>
                <w:rFonts w:cs="Times Armenian"/>
                <w:b w:val="0"/>
                <w:noProof/>
                <w:szCs w:val="22"/>
                <w:lang w:val="en-US" w:eastAsia="en-US"/>
              </w:rPr>
              <w:drawing>
                <wp:anchor distT="0" distB="0" distL="114300" distR="114300" simplePos="0" relativeHeight="251675648" behindDoc="1" locked="0" layoutInCell="1" allowOverlap="1" wp14:anchorId="1225F444" wp14:editId="55189763">
                  <wp:simplePos x="0" y="0"/>
                  <wp:positionH relativeFrom="column">
                    <wp:posOffset>-6985</wp:posOffset>
                  </wp:positionH>
                  <wp:positionV relativeFrom="paragraph">
                    <wp:posOffset>372110</wp:posOffset>
                  </wp:positionV>
                  <wp:extent cx="2987040" cy="2105025"/>
                  <wp:effectExtent l="0" t="0" r="3810" b="9525"/>
                  <wp:wrapTight wrapText="bothSides">
                    <wp:wrapPolygon edited="0">
                      <wp:start x="0" y="0"/>
                      <wp:lineTo x="0" y="21502"/>
                      <wp:lineTo x="21490" y="21502"/>
                      <wp:lineTo x="21490" y="0"/>
                      <wp:lineTo x="0" y="0"/>
                    </wp:wrapPolygon>
                  </wp:wrapTight>
                  <wp:docPr id="15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Pr="00D178DD">
              <w:rPr>
                <w:rFonts w:cs="Times Armenian"/>
                <w:bCs/>
                <w:i/>
                <w:iCs/>
                <w:sz w:val="18"/>
                <w:szCs w:val="18"/>
                <w:lang w:val="hy-AM" w:eastAsia="en-US"/>
              </w:rPr>
              <w:t>Գծապատկեր 1.21. Միջին ամսական անվանական աշխատավարձի կուտակային աճ</w:t>
            </w:r>
            <w:r w:rsidRPr="00D178DD">
              <w:rPr>
                <w:rFonts w:cs="Times Armenian"/>
                <w:noProof/>
                <w:sz w:val="18"/>
                <w:szCs w:val="18"/>
                <w:lang w:val="hy-AM" w:eastAsia="en-US"/>
              </w:rPr>
              <w:t xml:space="preserve">, 2022թ., % </w:t>
            </w:r>
          </w:p>
          <w:p w:rsidR="00D178DD" w:rsidRPr="00D178DD" w:rsidRDefault="00D178DD" w:rsidP="00D178DD">
            <w:pPr>
              <w:spacing w:before="0" w:after="60" w:line="240" w:lineRule="auto"/>
              <w:ind w:left="173" w:firstLine="0"/>
              <w:contextualSpacing w:val="0"/>
              <w:jc w:val="left"/>
              <w:rPr>
                <w:rFonts w:cs="Times Armenian"/>
                <w:bCs/>
                <w:i/>
                <w:sz w:val="16"/>
                <w:szCs w:val="16"/>
                <w:lang w:val="hy-AM" w:eastAsia="en-US"/>
              </w:rPr>
            </w:pPr>
            <w:r w:rsidRPr="00D178DD">
              <w:rPr>
                <w:rFonts w:cs="Times Armenian"/>
                <w:b w:val="0"/>
                <w:i/>
                <w:sz w:val="16"/>
                <w:szCs w:val="16"/>
                <w:lang w:val="hy-AM" w:eastAsia="en-US"/>
              </w:rPr>
              <w:t>Աղբյուրը՝ ՀՀ ՎԿ</w:t>
            </w:r>
          </w:p>
        </w:tc>
      </w:tr>
    </w:tbl>
    <w:p w:rsidR="00D178DD" w:rsidRPr="00D178DD" w:rsidRDefault="00D178DD" w:rsidP="00D178DD">
      <w:pPr>
        <w:spacing w:after="60" w:line="276" w:lineRule="auto"/>
        <w:ind w:firstLine="634"/>
        <w:contextualSpacing w:val="0"/>
        <w:rPr>
          <w:rFonts w:cs="Times Armenian"/>
          <w:szCs w:val="22"/>
          <w:lang w:val="hy-AM" w:eastAsia="en-US"/>
        </w:rPr>
      </w:pPr>
      <w:r w:rsidRPr="00D178DD">
        <w:rPr>
          <w:rFonts w:cs="Times Armenian"/>
          <w:szCs w:val="22"/>
          <w:lang w:val="hy-AM" w:eastAsia="en-US"/>
        </w:rPr>
        <w:t>2022թ. տարեսկզբից</w:t>
      </w:r>
      <w:r w:rsidRPr="00D178DD">
        <w:rPr>
          <w:rFonts w:cs="Times Armenian"/>
          <w:szCs w:val="22"/>
          <w:lang w:eastAsia="en-US"/>
        </w:rPr>
        <w:t xml:space="preserve"> </w:t>
      </w:r>
      <w:r w:rsidRPr="00D178DD">
        <w:rPr>
          <w:rFonts w:cs="Times Armenian"/>
          <w:szCs w:val="22"/>
          <w:lang w:val="en-US" w:eastAsia="en-US"/>
        </w:rPr>
        <w:t>տնտես</w:t>
      </w:r>
      <w:r w:rsidRPr="00D178DD">
        <w:rPr>
          <w:rFonts w:cs="Times Armenian"/>
          <w:szCs w:val="22"/>
          <w:lang w:val="hy-AM" w:eastAsia="en-US"/>
        </w:rPr>
        <w:t>ակ</w:t>
      </w:r>
      <w:r w:rsidRPr="00D178DD">
        <w:rPr>
          <w:rFonts w:cs="Times Armenian"/>
          <w:szCs w:val="22"/>
          <w:lang w:val="en-US" w:eastAsia="en-US"/>
        </w:rPr>
        <w:t>ան</w:t>
      </w:r>
      <w:r w:rsidRPr="00D178DD">
        <w:rPr>
          <w:rFonts w:cs="Times Armenian"/>
          <w:szCs w:val="22"/>
          <w:lang w:eastAsia="en-US"/>
        </w:rPr>
        <w:t xml:space="preserve"> </w:t>
      </w:r>
      <w:r w:rsidRPr="00D178DD">
        <w:rPr>
          <w:rFonts w:cs="Times Armenian"/>
          <w:szCs w:val="22"/>
          <w:lang w:val="hy-AM" w:eastAsia="en-US"/>
        </w:rPr>
        <w:t xml:space="preserve">աճի </w:t>
      </w:r>
      <w:r w:rsidRPr="00D178DD">
        <w:rPr>
          <w:rFonts w:cs="Times Armenian"/>
          <w:szCs w:val="22"/>
          <w:lang w:val="en-US" w:eastAsia="en-US"/>
        </w:rPr>
        <w:t>պայմաններում</w:t>
      </w:r>
      <w:r w:rsidRPr="00D178DD">
        <w:rPr>
          <w:rFonts w:cs="Times Armenian"/>
          <w:szCs w:val="22"/>
          <w:lang w:eastAsia="en-US"/>
        </w:rPr>
        <w:t xml:space="preserve"> </w:t>
      </w:r>
      <w:r w:rsidRPr="00D178DD">
        <w:rPr>
          <w:rFonts w:cs="Times Armenian"/>
          <w:szCs w:val="22"/>
          <w:lang w:val="hy-AM" w:eastAsia="en-US"/>
        </w:rPr>
        <w:t xml:space="preserve">միջին ամսական անվանական աշխատավարձի աճի տեմպը (հիմնականում մասնավոր հատվածում) սկսեց </w:t>
      </w:r>
      <w:r w:rsidRPr="00D178DD">
        <w:rPr>
          <w:rFonts w:cs="Times Armenian"/>
          <w:szCs w:val="22"/>
          <w:lang w:val="en-US" w:eastAsia="en-US"/>
        </w:rPr>
        <w:t>արագանալ</w:t>
      </w:r>
      <w:r w:rsidRPr="00D178DD">
        <w:rPr>
          <w:rFonts w:cs="Times Armenian"/>
          <w:szCs w:val="22"/>
          <w:lang w:val="hy-AM" w:eastAsia="en-US"/>
        </w:rPr>
        <w:t xml:space="preserve">: </w:t>
      </w:r>
      <w:r w:rsidRPr="00D178DD">
        <w:rPr>
          <w:rFonts w:cs="Times Armenian"/>
          <w:b w:val="0"/>
          <w:szCs w:val="22"/>
          <w:lang w:val="hy-AM" w:eastAsia="en-US"/>
        </w:rPr>
        <w:t xml:space="preserve">2022թ. հունվար-հուլիսին միջին ամսական անվանական աշխատավարձն աճել է 12%-ով՝ կազմելով 221,683 դրամ, </w:t>
      </w:r>
      <w:r w:rsidRPr="00D178DD">
        <w:rPr>
          <w:rFonts w:cs="Times Armenian"/>
          <w:b w:val="0"/>
          <w:szCs w:val="22"/>
          <w:lang w:val="en-US" w:eastAsia="en-US"/>
        </w:rPr>
        <w:t>ինչը</w:t>
      </w:r>
      <w:r w:rsidRPr="00D178DD">
        <w:rPr>
          <w:rFonts w:cs="Times Armenian"/>
          <w:b w:val="0"/>
          <w:szCs w:val="22"/>
          <w:lang w:val="hy-AM" w:eastAsia="en-US"/>
        </w:rPr>
        <w:t xml:space="preserve"> հիմնականում պայմանավորված է եղել տեղեկատվություն և կապ, ֆինանսական և ապահովագրական գործունեություն, ինչպես նաև մեծածախ և մանրածախ առևտուր ճյուղերում գրանցված աշխատավարձերի աճով: Միաժամանակ, ՍԳԻ 8.3% աճի պա</w:t>
      </w:r>
      <w:r w:rsidRPr="00D178DD">
        <w:rPr>
          <w:rFonts w:cs="Times Armenian"/>
          <w:b w:val="0"/>
          <w:szCs w:val="22"/>
          <w:lang w:val="en-US" w:eastAsia="en-US"/>
        </w:rPr>
        <w:t>յմաններում</w:t>
      </w:r>
      <w:r w:rsidRPr="00D178DD">
        <w:rPr>
          <w:rFonts w:cs="Times Armenian"/>
          <w:b w:val="0"/>
          <w:szCs w:val="22"/>
          <w:lang w:val="hy-AM" w:eastAsia="en-US"/>
        </w:rPr>
        <w:t xml:space="preserve"> իրական աշխատավարձ</w:t>
      </w:r>
      <w:r w:rsidRPr="00D178DD">
        <w:rPr>
          <w:rFonts w:cs="Times Armenian"/>
          <w:b w:val="0"/>
          <w:szCs w:val="22"/>
          <w:lang w:val="en-US" w:eastAsia="en-US"/>
        </w:rPr>
        <w:t>ն</w:t>
      </w:r>
      <w:r w:rsidRPr="00D178DD">
        <w:rPr>
          <w:rFonts w:cs="Times Armenian"/>
          <w:b w:val="0"/>
          <w:szCs w:val="22"/>
          <w:lang w:val="hy-AM" w:eastAsia="en-US"/>
        </w:rPr>
        <w:t xml:space="preserve"> աճել է շուրջ 3.5%-ով: Պետական հատվածում միջին ամսական անվանական աշխատավարձն աճել է 4.3%-ով՝ կազմելով  179,175 դրամ, իսկ մասնավոր հատվածում՝ 14.3%-ով՝ կազմելով 240,502 դրամ:</w:t>
      </w:r>
    </w:p>
    <w:p w:rsidR="00D178DD" w:rsidRPr="00D178DD" w:rsidRDefault="00D178DD" w:rsidP="00D178DD">
      <w:pPr>
        <w:rPr>
          <w:lang w:val="hy-AM" w:eastAsia="en-US"/>
        </w:rPr>
      </w:pPr>
    </w:p>
    <w:p w:rsidR="00D178DD" w:rsidRPr="00D178DD" w:rsidRDefault="00D178DD" w:rsidP="00D178DD">
      <w:pPr>
        <w:spacing w:before="0" w:after="120" w:line="240" w:lineRule="auto"/>
        <w:ind w:firstLine="0"/>
        <w:contextualSpacing w:val="0"/>
        <w:jc w:val="left"/>
        <w:rPr>
          <w:rFonts w:eastAsia="Calibri"/>
          <w:bCs/>
          <w:sz w:val="24"/>
          <w:lang w:val="hy-AM" w:eastAsia="en-US"/>
        </w:rPr>
      </w:pPr>
      <w:r w:rsidRPr="00D178DD">
        <w:rPr>
          <w:rFonts w:eastAsia="Calibri"/>
          <w:bCs/>
          <w:sz w:val="24"/>
          <w:lang w:val="hy-AM" w:eastAsia="en-US"/>
        </w:rPr>
        <w:t xml:space="preserve">1.3.3. ՀՀ վճարային հաշվեկշիռ, արտահանում և ներմուծում </w:t>
      </w:r>
    </w:p>
    <w:p w:rsidR="00D178DD" w:rsidRPr="00D178DD" w:rsidRDefault="00D178DD" w:rsidP="00D178DD">
      <w:pPr>
        <w:spacing w:before="0" w:after="120" w:line="276" w:lineRule="auto"/>
        <w:ind w:left="5" w:firstLine="1"/>
        <w:contextualSpacing w:val="0"/>
        <w:rPr>
          <w:rFonts w:eastAsia="Calibri" w:cs="Sylfaen"/>
          <w:b w:val="0"/>
          <w:szCs w:val="22"/>
          <w:lang w:val="hy-AM" w:eastAsia="en-US"/>
        </w:rPr>
      </w:pPr>
      <w:r w:rsidRPr="00D178DD">
        <w:rPr>
          <w:rFonts w:cs="Times Armenian"/>
          <w:szCs w:val="22"/>
          <w:lang w:val="hy-AM" w:eastAsia="en-US"/>
        </w:rPr>
        <w:t xml:space="preserve">          202</w:t>
      </w:r>
      <w:r w:rsidRPr="00D178DD">
        <w:rPr>
          <w:rFonts w:cs="Sylfaen"/>
          <w:lang w:val="hy-AM"/>
        </w:rPr>
        <w:t>1թ</w:t>
      </w:r>
      <w:r w:rsidRPr="00D178DD">
        <w:rPr>
          <w:rFonts w:ascii="Cambria Math" w:eastAsia="Calibri" w:hAnsi="Cambria Math" w:cs="Cambria Math"/>
          <w:szCs w:val="22"/>
          <w:lang w:val="hy-AM" w:eastAsia="en-US"/>
        </w:rPr>
        <w:t>․</w:t>
      </w:r>
      <w:r w:rsidRPr="00D178DD">
        <w:rPr>
          <w:rFonts w:eastAsia="Calibri" w:cs="Sylfaen"/>
          <w:szCs w:val="22"/>
          <w:lang w:val="hy-AM" w:eastAsia="en-US"/>
        </w:rPr>
        <w:t xml:space="preserve"> ընթացիկ հաշվի պակասուրդը նախորդ տարվա համեմատ վատթարացել է՝ կազմելով ՀՆԱ-ի 3.7%-ը: </w:t>
      </w:r>
      <w:r w:rsidRPr="00D178DD">
        <w:rPr>
          <w:rFonts w:eastAsia="Calibri" w:cs="Sylfaen"/>
          <w:b w:val="0"/>
          <w:szCs w:val="22"/>
          <w:lang w:val="hy-AM" w:eastAsia="en-US"/>
        </w:rPr>
        <w:t>Ընթացիկ հաշվի վատթարացումը հիմնականում պայմանավորված է եղել ներքին պահանջարկի վերականգման հետևանքով ապրանքների ներմուծման ծավալների աճով և սկզբնական եկամուտների կրճատմամբ:</w:t>
      </w:r>
    </w:p>
    <w:p w:rsidR="00D178DD" w:rsidRPr="00D178DD" w:rsidRDefault="00D178DD" w:rsidP="00D178DD">
      <w:pPr>
        <w:spacing w:before="0" w:after="120" w:line="276" w:lineRule="auto"/>
        <w:ind w:left="8" w:firstLine="1"/>
        <w:contextualSpacing w:val="0"/>
        <w:rPr>
          <w:rFonts w:eastAsia="Calibri" w:cs="Sylfaen"/>
          <w:b w:val="0"/>
          <w:szCs w:val="22"/>
          <w:lang w:val="hy-AM" w:eastAsia="en-US"/>
        </w:rPr>
      </w:pPr>
      <w:r w:rsidRPr="00D178DD">
        <w:rPr>
          <w:rFonts w:cs="Sylfaen"/>
          <w:sz w:val="24"/>
          <w:lang w:val="hy-AM"/>
        </w:rPr>
        <w:t xml:space="preserve">         </w:t>
      </w:r>
      <w:r w:rsidRPr="00D178DD">
        <w:rPr>
          <w:rFonts w:cs="Sylfaen"/>
          <w:szCs w:val="22"/>
          <w:lang w:val="it-IT"/>
        </w:rPr>
        <w:t>2022</w:t>
      </w:r>
      <w:r w:rsidRPr="00D178DD">
        <w:rPr>
          <w:rFonts w:cs="Sylfaen"/>
          <w:szCs w:val="22"/>
          <w:lang w:val="hy-AM"/>
        </w:rPr>
        <w:t>թ</w:t>
      </w:r>
      <w:r w:rsidRPr="00D178DD">
        <w:rPr>
          <w:rFonts w:cs="Sylfaen"/>
          <w:szCs w:val="22"/>
          <w:lang w:val="it-IT"/>
        </w:rPr>
        <w:t>.</w:t>
      </w:r>
      <w:r w:rsidRPr="00D178DD">
        <w:rPr>
          <w:rFonts w:cs="Sylfaen"/>
          <w:szCs w:val="22"/>
          <w:lang w:val="hy-AM"/>
        </w:rPr>
        <w:t xml:space="preserve"> ութ ամիսներին ապրանքների</w:t>
      </w:r>
      <w:r w:rsidRPr="00D178DD">
        <w:rPr>
          <w:rFonts w:cs="Sylfaen"/>
          <w:szCs w:val="22"/>
          <w:lang w:val="it-IT"/>
        </w:rPr>
        <w:t xml:space="preserve"> </w:t>
      </w:r>
      <w:r w:rsidRPr="00D178DD">
        <w:rPr>
          <w:rFonts w:cs="Sylfaen"/>
          <w:szCs w:val="22"/>
          <w:lang w:val="hy-AM"/>
        </w:rPr>
        <w:t>արտահանման նկատմամբ ներմուծման առաջանցիկ աճի արդյունքում առևտրային հաշվեկշիռը</w:t>
      </w:r>
      <w:r w:rsidRPr="00D178DD">
        <w:rPr>
          <w:rFonts w:cs="Sylfaen"/>
          <w:szCs w:val="22"/>
          <w:lang w:val="it-IT"/>
        </w:rPr>
        <w:t xml:space="preserve"> </w:t>
      </w:r>
      <w:r w:rsidRPr="00D178DD">
        <w:rPr>
          <w:rFonts w:cs="Sylfaen"/>
          <w:szCs w:val="22"/>
          <w:lang w:val="hy-AM"/>
        </w:rPr>
        <w:t>վատթարացել</w:t>
      </w:r>
      <w:r w:rsidRPr="00D178DD">
        <w:rPr>
          <w:rFonts w:cs="Sylfaen"/>
          <w:szCs w:val="22"/>
          <w:lang w:val="it-IT"/>
        </w:rPr>
        <w:t xml:space="preserve"> </w:t>
      </w:r>
      <w:r w:rsidRPr="00D178DD">
        <w:rPr>
          <w:rFonts w:cs="Sylfaen"/>
          <w:szCs w:val="22"/>
          <w:lang w:val="hy-AM"/>
        </w:rPr>
        <w:t>է</w:t>
      </w:r>
      <w:r w:rsidRPr="00D178DD">
        <w:rPr>
          <w:rFonts w:cs="Sylfaen"/>
          <w:szCs w:val="22"/>
          <w:lang w:val="it-IT"/>
        </w:rPr>
        <w:t>,</w:t>
      </w:r>
      <w:r w:rsidRPr="00D178DD">
        <w:rPr>
          <w:rFonts w:cs="Sylfaen"/>
          <w:szCs w:val="22"/>
          <w:lang w:val="hy-AM"/>
        </w:rPr>
        <w:t>ծառայությունների</w:t>
      </w:r>
      <w:r w:rsidRPr="00D178DD">
        <w:rPr>
          <w:rFonts w:cs="Sylfaen"/>
          <w:szCs w:val="22"/>
          <w:lang w:val="it-IT"/>
        </w:rPr>
        <w:t xml:space="preserve"> </w:t>
      </w:r>
      <w:r w:rsidRPr="00D178DD">
        <w:rPr>
          <w:rFonts w:cs="Sylfaen"/>
          <w:szCs w:val="22"/>
          <w:lang w:val="hy-AM"/>
        </w:rPr>
        <w:t>հաշվեկշիռը բարելավվել է և էապես մեծացել է դրամական փոխանցումների ներհոսքը</w:t>
      </w:r>
      <w:r w:rsidRPr="00D178DD">
        <w:rPr>
          <w:rFonts w:cs="Sylfaen"/>
          <w:b w:val="0"/>
          <w:szCs w:val="22"/>
          <w:lang w:val="hy-AM"/>
        </w:rPr>
        <w:t>: Ծառայությունների հաշվեկշռի բարելավումը պայմանավորվել է համավարակի</w:t>
      </w:r>
      <w:r w:rsidRPr="00D178DD">
        <w:rPr>
          <w:rFonts w:cs="Sylfaen"/>
          <w:b w:val="0"/>
          <w:szCs w:val="22"/>
          <w:lang w:val="it-IT"/>
        </w:rPr>
        <w:t xml:space="preserve"> </w:t>
      </w:r>
      <w:r w:rsidRPr="00D178DD">
        <w:rPr>
          <w:rFonts w:cs="Sylfaen"/>
          <w:b w:val="0"/>
          <w:szCs w:val="22"/>
          <w:lang w:val="hy-AM"/>
        </w:rPr>
        <w:t>դեմ</w:t>
      </w:r>
      <w:r w:rsidRPr="00D178DD">
        <w:rPr>
          <w:rFonts w:cs="Sylfaen"/>
          <w:b w:val="0"/>
          <w:szCs w:val="22"/>
          <w:lang w:val="it-IT"/>
        </w:rPr>
        <w:t xml:space="preserve"> </w:t>
      </w:r>
      <w:r w:rsidRPr="00D178DD">
        <w:rPr>
          <w:rFonts w:cs="Sylfaen"/>
          <w:b w:val="0"/>
          <w:szCs w:val="22"/>
          <w:lang w:val="hy-AM"/>
        </w:rPr>
        <w:t>պայքարի</w:t>
      </w:r>
      <w:r w:rsidRPr="00D178DD">
        <w:rPr>
          <w:rFonts w:cs="Sylfaen"/>
          <w:b w:val="0"/>
          <w:szCs w:val="22"/>
          <w:lang w:val="it-IT"/>
        </w:rPr>
        <w:t xml:space="preserve"> </w:t>
      </w:r>
      <w:r w:rsidRPr="00D178DD">
        <w:rPr>
          <w:rFonts w:cs="Sylfaen"/>
          <w:b w:val="0"/>
          <w:szCs w:val="22"/>
          <w:lang w:val="hy-AM"/>
        </w:rPr>
        <w:t>սահմանափակումների վերացման և ռուս-ուկրաինական հակամարտության հետևանքով ՀՀ այցելած զբոսաշրջիկների 2.4 անգամ աճով: Բացի այդ,</w:t>
      </w:r>
      <w:r w:rsidRPr="00D178DD">
        <w:rPr>
          <w:rFonts w:cs="Sylfaen"/>
          <w:b w:val="0"/>
          <w:szCs w:val="22"/>
          <w:lang w:val="it-IT"/>
        </w:rPr>
        <w:t xml:space="preserve"> </w:t>
      </w:r>
      <w:r w:rsidRPr="00D178DD">
        <w:rPr>
          <w:rFonts w:cs="Sylfaen"/>
          <w:b w:val="0"/>
          <w:szCs w:val="22"/>
          <w:lang w:val="hy-AM"/>
        </w:rPr>
        <w:t>ՀՀ բանկերի միջոցով ֆիզիկական անձանց անունով արտերկրից ստացված առևտրային և ոչ առևտրային բնույթի դրամական փոխանցումներն բարձր տեմպերով աճել</w:t>
      </w:r>
      <w:r w:rsidRPr="00D178DD">
        <w:rPr>
          <w:rFonts w:cs="Sylfaen"/>
          <w:b w:val="0"/>
          <w:szCs w:val="22"/>
          <w:lang w:val="it-IT"/>
        </w:rPr>
        <w:t xml:space="preserve"> </w:t>
      </w:r>
      <w:r w:rsidRPr="00D178DD">
        <w:rPr>
          <w:rFonts w:cs="Sylfaen"/>
          <w:b w:val="0"/>
          <w:szCs w:val="22"/>
          <w:lang w:val="hy-AM"/>
        </w:rPr>
        <w:t>են</w:t>
      </w:r>
      <w:r w:rsidRPr="00D178DD">
        <w:rPr>
          <w:rFonts w:cs="Sylfaen"/>
          <w:b w:val="0"/>
          <w:szCs w:val="22"/>
          <w:lang w:val="it-IT"/>
        </w:rPr>
        <w:t xml:space="preserve">, </w:t>
      </w:r>
      <w:r w:rsidRPr="00D178DD">
        <w:rPr>
          <w:rFonts w:cs="Sylfaen"/>
          <w:b w:val="0"/>
          <w:szCs w:val="22"/>
          <w:lang w:val="hy-AM"/>
        </w:rPr>
        <w:t>սակայն</w:t>
      </w:r>
      <w:r w:rsidRPr="00D178DD">
        <w:rPr>
          <w:rFonts w:cs="Sylfaen"/>
          <w:b w:val="0"/>
          <w:szCs w:val="22"/>
          <w:lang w:val="it-IT"/>
        </w:rPr>
        <w:t xml:space="preserve"> </w:t>
      </w:r>
      <w:r w:rsidRPr="00D178DD">
        <w:rPr>
          <w:rFonts w:cs="Sylfaen"/>
          <w:b w:val="0"/>
          <w:szCs w:val="22"/>
          <w:lang w:val="hy-AM"/>
        </w:rPr>
        <w:t>գնահատվում</w:t>
      </w:r>
      <w:r w:rsidRPr="00D178DD">
        <w:rPr>
          <w:rFonts w:cs="Sylfaen"/>
          <w:b w:val="0"/>
          <w:szCs w:val="22"/>
          <w:lang w:val="it-IT"/>
        </w:rPr>
        <w:t xml:space="preserve"> </w:t>
      </w:r>
      <w:r w:rsidRPr="00D178DD">
        <w:rPr>
          <w:rFonts w:cs="Sylfaen"/>
          <w:b w:val="0"/>
          <w:szCs w:val="22"/>
          <w:lang w:val="hy-AM"/>
        </w:rPr>
        <w:t>է</w:t>
      </w:r>
      <w:r w:rsidRPr="00D178DD">
        <w:rPr>
          <w:rFonts w:cs="Sylfaen"/>
          <w:b w:val="0"/>
          <w:szCs w:val="22"/>
          <w:lang w:val="it-IT"/>
        </w:rPr>
        <w:t xml:space="preserve">, </w:t>
      </w:r>
      <w:r w:rsidRPr="00D178DD">
        <w:rPr>
          <w:rFonts w:cs="Sylfaen"/>
          <w:b w:val="0"/>
          <w:szCs w:val="22"/>
          <w:lang w:val="hy-AM"/>
        </w:rPr>
        <w:t>որ</w:t>
      </w:r>
      <w:r w:rsidRPr="00D178DD">
        <w:rPr>
          <w:rFonts w:cs="Sylfaen"/>
          <w:b w:val="0"/>
          <w:szCs w:val="22"/>
          <w:lang w:val="it-IT"/>
        </w:rPr>
        <w:t xml:space="preserve"> </w:t>
      </w:r>
      <w:r w:rsidRPr="00D178DD">
        <w:rPr>
          <w:rFonts w:cs="Sylfaen"/>
          <w:b w:val="0"/>
          <w:szCs w:val="22"/>
          <w:lang w:val="hy-AM"/>
        </w:rPr>
        <w:t>ոչ առևտրային բնույթի դրամական փոխանցումները ավելի դանդաղ են աճում: Մ</w:t>
      </w:r>
      <w:r w:rsidRPr="00D178DD">
        <w:rPr>
          <w:rFonts w:eastAsia="Calibri" w:cs="Sylfaen"/>
          <w:b w:val="0"/>
          <w:szCs w:val="22"/>
          <w:lang w:val="hy-AM" w:eastAsia="en-US"/>
        </w:rPr>
        <w:t>ասնավորապես՝ ը</w:t>
      </w:r>
      <w:r w:rsidRPr="00D178DD">
        <w:rPr>
          <w:rFonts w:cs="Sylfaen"/>
          <w:b w:val="0"/>
          <w:szCs w:val="22"/>
          <w:lang w:val="hy-AM"/>
        </w:rPr>
        <w:t xml:space="preserve">նթացիկ տարվա </w:t>
      </w:r>
      <w:r w:rsidRPr="00D178DD">
        <w:rPr>
          <w:rFonts w:cs="Sylfaen"/>
          <w:b w:val="0"/>
          <w:szCs w:val="22"/>
          <w:lang w:val="hy-AM"/>
        </w:rPr>
        <w:lastRenderedPageBreak/>
        <w:t xml:space="preserve">հունվար-հուլիս ամիսներին տեղի է ունեցել արտերկրից ստացված դրամական փոխանցումների զգալի աճ </w:t>
      </w:r>
      <w:r w:rsidRPr="00D178DD">
        <w:rPr>
          <w:rFonts w:cs="Sylfaen"/>
          <w:b w:val="0"/>
          <w:szCs w:val="22"/>
          <w:lang w:val="it-IT"/>
        </w:rPr>
        <w:t>(</w:t>
      </w:r>
      <w:r w:rsidRPr="00D178DD">
        <w:rPr>
          <w:rFonts w:cs="Sylfaen"/>
          <w:b w:val="0"/>
          <w:szCs w:val="22"/>
          <w:lang w:val="hy-AM"/>
        </w:rPr>
        <w:t>2.1 անգամ</w:t>
      </w:r>
      <w:r w:rsidRPr="00D178DD">
        <w:rPr>
          <w:rFonts w:cs="Sylfaen"/>
          <w:b w:val="0"/>
          <w:szCs w:val="22"/>
          <w:vertAlign w:val="superscript"/>
          <w:lang w:val="hy-AM"/>
        </w:rPr>
        <w:footnoteReference w:id="6"/>
      </w:r>
      <w:r w:rsidRPr="00D178DD">
        <w:rPr>
          <w:rFonts w:cs="Sylfaen"/>
          <w:b w:val="0"/>
          <w:szCs w:val="22"/>
          <w:lang w:val="it-IT"/>
        </w:rPr>
        <w:t>)</w:t>
      </w:r>
      <w:r w:rsidRPr="00D178DD">
        <w:rPr>
          <w:rFonts w:cs="Sylfaen"/>
          <w:b w:val="0"/>
          <w:szCs w:val="22"/>
          <w:lang w:val="hy-AM"/>
        </w:rPr>
        <w:t xml:space="preserve">։ </w:t>
      </w:r>
      <w:r w:rsidRPr="00D178DD">
        <w:rPr>
          <w:rFonts w:eastAsia="Calibri" w:cs="Sylfaen"/>
          <w:b w:val="0"/>
          <w:szCs w:val="22"/>
          <w:lang w:val="hy-AM" w:eastAsia="en-US"/>
        </w:rPr>
        <w:t xml:space="preserve">      </w:t>
      </w:r>
    </w:p>
    <w:p w:rsidR="00D178DD" w:rsidRPr="00D178DD" w:rsidRDefault="00D178DD" w:rsidP="00D178DD">
      <w:pPr>
        <w:spacing w:before="0" w:after="120" w:line="276" w:lineRule="auto"/>
        <w:ind w:firstLine="0"/>
        <w:contextualSpacing w:val="0"/>
        <w:rPr>
          <w:b w:val="0"/>
          <w:lang w:val="hy-AM"/>
        </w:rPr>
      </w:pPr>
      <w:r w:rsidRPr="00D178DD">
        <w:rPr>
          <w:rFonts w:eastAsia="Calibri" w:cs="Sylfaen"/>
          <w:b w:val="0"/>
          <w:szCs w:val="22"/>
          <w:lang w:val="hy-AM" w:eastAsia="en-US"/>
        </w:rPr>
        <w:t xml:space="preserve">  </w:t>
      </w:r>
      <w:r w:rsidRPr="00D178DD">
        <w:rPr>
          <w:rFonts w:eastAsia="Calibri" w:cs="Sylfaen"/>
          <w:bCs/>
          <w:szCs w:val="22"/>
          <w:u w:val="single"/>
          <w:lang w:val="hy-AM" w:eastAsia="en-US"/>
        </w:rPr>
        <w:t>Կանխատեսում։</w:t>
      </w:r>
      <w:r w:rsidRPr="00D178DD">
        <w:rPr>
          <w:rFonts w:eastAsia="Calibri" w:cs="Sylfaen"/>
          <w:b w:val="0"/>
          <w:szCs w:val="22"/>
          <w:lang w:val="hy-AM" w:eastAsia="en-US"/>
        </w:rPr>
        <w:t xml:space="preserve"> Ա</w:t>
      </w:r>
      <w:r w:rsidRPr="00D178DD">
        <w:rPr>
          <w:b w:val="0"/>
          <w:lang w:val="hy-AM"/>
        </w:rPr>
        <w:t>ռևտրային հաշվեկշռի և ոչ առևտրային բնույթի (աշխատավարձ և տրասնֆերտներ) դրամական փոխանցումների ՀՆԱ-ում դերի վատթարացմամբ պայմանավորված ընթացիկ հաշվի պակասուրդը կխորանա և 2022թ</w:t>
      </w:r>
      <w:r w:rsidRPr="00D178DD">
        <w:rPr>
          <w:rFonts w:ascii="Cambria Math" w:hAnsi="Cambria Math" w:cs="Cambria Math"/>
          <w:b w:val="0"/>
          <w:lang w:val="hy-AM"/>
        </w:rPr>
        <w:t>․</w:t>
      </w:r>
      <w:r w:rsidRPr="00D178DD">
        <w:rPr>
          <w:rFonts w:eastAsiaTheme="majorEastAsia"/>
          <w:b w:val="0"/>
          <w:lang w:val="hy-AM"/>
        </w:rPr>
        <w:t xml:space="preserve"> կկազմի</w:t>
      </w:r>
      <w:r w:rsidRPr="00D178DD">
        <w:rPr>
          <w:rFonts w:eastAsiaTheme="majorEastAsia"/>
          <w:b w:val="0"/>
          <w:lang w:val="it-IT"/>
        </w:rPr>
        <w:t xml:space="preserve"> </w:t>
      </w:r>
      <w:r w:rsidRPr="00D178DD">
        <w:rPr>
          <w:rFonts w:eastAsiaTheme="majorEastAsia"/>
          <w:b w:val="0"/>
          <w:lang w:val="hy-AM"/>
        </w:rPr>
        <w:t>ՀՆԱ</w:t>
      </w:r>
      <w:r w:rsidRPr="00D178DD">
        <w:rPr>
          <w:rFonts w:eastAsiaTheme="majorEastAsia"/>
          <w:b w:val="0"/>
          <w:lang w:val="it-IT"/>
        </w:rPr>
        <w:t>-</w:t>
      </w:r>
      <w:r w:rsidRPr="00D178DD">
        <w:rPr>
          <w:rFonts w:eastAsiaTheme="majorEastAsia"/>
          <w:b w:val="0"/>
          <w:lang w:val="hy-AM"/>
        </w:rPr>
        <w:t>ի</w:t>
      </w:r>
      <w:r w:rsidRPr="00D178DD">
        <w:rPr>
          <w:rFonts w:eastAsiaTheme="majorEastAsia"/>
          <w:b w:val="0"/>
          <w:lang w:val="it-IT"/>
        </w:rPr>
        <w:t xml:space="preserve"> </w:t>
      </w:r>
      <w:r w:rsidRPr="00D178DD">
        <w:rPr>
          <w:rFonts w:eastAsiaTheme="majorEastAsia"/>
          <w:b w:val="0"/>
          <w:lang w:val="hy-AM"/>
        </w:rPr>
        <w:t>4.2</w:t>
      </w:r>
      <w:r w:rsidRPr="00D178DD">
        <w:rPr>
          <w:rFonts w:eastAsiaTheme="majorEastAsia"/>
          <w:b w:val="0"/>
          <w:lang w:val="it-IT"/>
        </w:rPr>
        <w:t>%</w:t>
      </w:r>
      <w:r w:rsidRPr="00D178DD">
        <w:rPr>
          <w:rFonts w:eastAsiaTheme="majorEastAsia"/>
          <w:b w:val="0"/>
          <w:lang w:val="hy-AM"/>
        </w:rPr>
        <w:t>-ը</w:t>
      </w:r>
      <w:r w:rsidRPr="00D178DD">
        <w:rPr>
          <w:b w:val="0"/>
          <w:lang w:val="hy-AM"/>
        </w:rPr>
        <w:t>:</w:t>
      </w:r>
      <w:r w:rsidRPr="00D178DD">
        <w:rPr>
          <w:rFonts w:cs="Times Armenian"/>
          <w:b w:val="0"/>
          <w:bCs/>
          <w:szCs w:val="22"/>
          <w:lang w:val="hy-AM" w:eastAsia="en-US"/>
        </w:rPr>
        <w:t xml:space="preserve"> Դրամական փոխանցումների դերի շարունակվող նվազման պայմաններում </w:t>
      </w:r>
      <w:r w:rsidRPr="00D178DD">
        <w:rPr>
          <w:rFonts w:eastAsiaTheme="majorEastAsia"/>
          <w:b w:val="0"/>
          <w:lang w:val="hy-AM"/>
        </w:rPr>
        <w:t>2023թ</w:t>
      </w:r>
      <w:r w:rsidRPr="00D178DD">
        <w:rPr>
          <w:rFonts w:ascii="Cambria Math" w:eastAsiaTheme="majorEastAsia" w:hAnsi="Cambria Math" w:cs="Cambria Math"/>
          <w:b w:val="0"/>
          <w:lang w:val="hy-AM"/>
        </w:rPr>
        <w:t xml:space="preserve">․ </w:t>
      </w:r>
      <w:r w:rsidRPr="00D178DD">
        <w:rPr>
          <w:rFonts w:eastAsiaTheme="majorEastAsia"/>
          <w:b w:val="0"/>
          <w:lang w:val="hy-AM"/>
        </w:rPr>
        <w:t>ընթացիկ</w:t>
      </w:r>
      <w:r w:rsidRPr="00D178DD">
        <w:rPr>
          <w:rFonts w:eastAsiaTheme="majorEastAsia"/>
          <w:b w:val="0"/>
          <w:lang w:val="it-IT"/>
        </w:rPr>
        <w:t xml:space="preserve"> </w:t>
      </w:r>
      <w:r w:rsidRPr="00D178DD">
        <w:rPr>
          <w:rFonts w:eastAsiaTheme="majorEastAsia"/>
          <w:b w:val="0"/>
          <w:lang w:val="hy-AM"/>
        </w:rPr>
        <w:t>հաշվի</w:t>
      </w:r>
      <w:r w:rsidRPr="00D178DD">
        <w:rPr>
          <w:rFonts w:eastAsiaTheme="majorEastAsia"/>
          <w:b w:val="0"/>
          <w:lang w:val="it-IT"/>
        </w:rPr>
        <w:t xml:space="preserve"> </w:t>
      </w:r>
      <w:r w:rsidRPr="00D178DD">
        <w:rPr>
          <w:rFonts w:eastAsiaTheme="majorEastAsia"/>
          <w:b w:val="0"/>
          <w:lang w:val="hy-AM"/>
        </w:rPr>
        <w:t>պակասուրդը կշարունակի</w:t>
      </w:r>
      <w:r w:rsidRPr="00D178DD">
        <w:rPr>
          <w:rFonts w:eastAsiaTheme="majorEastAsia"/>
          <w:b w:val="0"/>
          <w:lang w:val="it-IT"/>
        </w:rPr>
        <w:t xml:space="preserve"> </w:t>
      </w:r>
      <w:r w:rsidRPr="00D178DD">
        <w:rPr>
          <w:rFonts w:eastAsiaTheme="majorEastAsia"/>
          <w:b w:val="0"/>
          <w:lang w:val="hy-AM"/>
        </w:rPr>
        <w:t>խորանալ:</w:t>
      </w:r>
    </w:p>
    <w:p w:rsidR="00D178DD" w:rsidRPr="00D178DD" w:rsidRDefault="00D178DD" w:rsidP="00D178DD">
      <w:pPr>
        <w:keepNext/>
        <w:keepLines/>
        <w:tabs>
          <w:tab w:val="left" w:pos="0"/>
        </w:tabs>
        <w:spacing w:before="0" w:line="276" w:lineRule="auto"/>
        <w:ind w:firstLine="0"/>
        <w:contextualSpacing w:val="0"/>
        <w:jc w:val="left"/>
        <w:rPr>
          <w:rFonts w:eastAsia="Calibri"/>
          <w:b w:val="0"/>
          <w:i/>
          <w:sz w:val="18"/>
          <w:szCs w:val="18"/>
          <w:lang w:val="hy-AM" w:eastAsia="en-US"/>
        </w:rPr>
      </w:pPr>
      <w:r w:rsidRPr="00D178DD">
        <w:rPr>
          <w:rFonts w:eastAsia="Calibri"/>
          <w:b w:val="0"/>
          <w:i/>
          <w:noProof/>
          <w:sz w:val="18"/>
          <w:szCs w:val="18"/>
          <w:lang w:val="en-US" w:eastAsia="en-US"/>
        </w:rPr>
        <w:drawing>
          <wp:anchor distT="0" distB="0" distL="114300" distR="114300" simplePos="0" relativeHeight="251660288" behindDoc="1" locked="0" layoutInCell="1" allowOverlap="1" wp14:anchorId="2B74A422" wp14:editId="34C966CC">
            <wp:simplePos x="0" y="0"/>
            <wp:positionH relativeFrom="column">
              <wp:posOffset>3073400</wp:posOffset>
            </wp:positionH>
            <wp:positionV relativeFrom="paragraph">
              <wp:posOffset>300355</wp:posOffset>
            </wp:positionV>
            <wp:extent cx="3115310" cy="2264410"/>
            <wp:effectExtent l="0" t="0" r="8890" b="2540"/>
            <wp:wrapTight wrapText="bothSides">
              <wp:wrapPolygon edited="0">
                <wp:start x="0" y="0"/>
                <wp:lineTo x="0" y="21443"/>
                <wp:lineTo x="21530" y="21443"/>
                <wp:lineTo x="21530"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anchor>
        </w:drawing>
      </w:r>
      <w:r w:rsidRPr="00D178DD">
        <w:rPr>
          <w:rFonts w:eastAsia="Calibri" w:cs="Sylfaen"/>
          <w:i/>
          <w:szCs w:val="22"/>
          <w:lang w:val="hy-AM" w:eastAsia="en-US"/>
        </w:rPr>
        <w:t>Գծապատկեր</w:t>
      </w:r>
      <w:r w:rsidRPr="00D178DD">
        <w:rPr>
          <w:rFonts w:eastAsia="Calibri" w:cs="Times Armenian"/>
          <w:i/>
          <w:szCs w:val="22"/>
          <w:lang w:val="hy-AM" w:eastAsia="en-US"/>
        </w:rPr>
        <w:t xml:space="preserve"> 1.22.</w:t>
      </w:r>
      <w:r w:rsidRPr="00D178DD">
        <w:rPr>
          <w:rFonts w:eastAsia="Calibri" w:cs="Times Armenian"/>
          <w:b w:val="0"/>
          <w:i/>
          <w:sz w:val="21"/>
          <w:szCs w:val="20"/>
          <w:lang w:val="hy-AM" w:eastAsia="en-US"/>
        </w:rPr>
        <w:t xml:space="preserve"> </w:t>
      </w:r>
      <w:r w:rsidRPr="00D178DD">
        <w:rPr>
          <w:rFonts w:eastAsia="Calibri" w:cs="Sylfaen"/>
          <w:b w:val="0"/>
          <w:i/>
          <w:sz w:val="20"/>
          <w:szCs w:val="20"/>
          <w:lang w:val="hy-AM" w:eastAsia="en-US"/>
        </w:rPr>
        <w:t>Ընթացիկ հաշվի պակասուրդը և բաղադրատարրերը (ՀՆԱ-ում %)</w:t>
      </w:r>
    </w:p>
    <w:p w:rsidR="00D178DD" w:rsidRPr="00D178DD" w:rsidRDefault="00D178DD" w:rsidP="00D178DD">
      <w:pPr>
        <w:spacing w:before="0" w:line="276" w:lineRule="auto"/>
        <w:ind w:firstLine="0"/>
        <w:contextualSpacing w:val="0"/>
        <w:rPr>
          <w:rFonts w:eastAsia="Calibri"/>
          <w:b w:val="0"/>
          <w:i/>
          <w:sz w:val="16"/>
          <w:szCs w:val="16"/>
          <w:lang w:val="hy-AM"/>
        </w:rPr>
      </w:pPr>
      <w:r w:rsidRPr="00D178DD">
        <w:rPr>
          <w:rFonts w:eastAsia="Calibri"/>
          <w:b w:val="0"/>
          <w:i/>
          <w:noProof/>
          <w:sz w:val="16"/>
          <w:szCs w:val="16"/>
          <w:lang w:val="en-US" w:eastAsia="en-US"/>
        </w:rPr>
        <w:drawing>
          <wp:anchor distT="0" distB="0" distL="114300" distR="114300" simplePos="0" relativeHeight="251659264" behindDoc="1" locked="0" layoutInCell="1" allowOverlap="1" wp14:anchorId="2D796DA9" wp14:editId="2670C629">
            <wp:simplePos x="0" y="0"/>
            <wp:positionH relativeFrom="column">
              <wp:posOffset>-8255</wp:posOffset>
            </wp:positionH>
            <wp:positionV relativeFrom="paragraph">
              <wp:posOffset>66675</wp:posOffset>
            </wp:positionV>
            <wp:extent cx="2934335" cy="2264410"/>
            <wp:effectExtent l="0" t="0" r="18415" b="2540"/>
            <wp:wrapTight wrapText="bothSides">
              <wp:wrapPolygon edited="0">
                <wp:start x="0" y="0"/>
                <wp:lineTo x="0" y="21443"/>
                <wp:lineTo x="21595" y="21443"/>
                <wp:lineTo x="21595"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anchor>
        </w:drawing>
      </w:r>
      <w:r w:rsidRPr="00D178DD">
        <w:rPr>
          <w:rFonts w:eastAsia="Calibri"/>
          <w:b w:val="0"/>
          <w:i/>
          <w:sz w:val="16"/>
          <w:szCs w:val="16"/>
          <w:lang w:val="hy-AM"/>
        </w:rPr>
        <w:t>Աղբյուրը՝ ՀՀ ՎԿ, ՀՀ ՖՆ հաշվարկներ և  կանխատեսումներ</w:t>
      </w:r>
    </w:p>
    <w:p w:rsidR="00D178DD" w:rsidRPr="00D178DD" w:rsidRDefault="00D178DD" w:rsidP="00D178DD">
      <w:pPr>
        <w:spacing w:before="0" w:after="120" w:line="276" w:lineRule="auto"/>
        <w:ind w:firstLine="0"/>
        <w:contextualSpacing w:val="0"/>
        <w:rPr>
          <w:rFonts w:eastAsia="Calibri" w:cs="Sylfaen"/>
          <w:szCs w:val="22"/>
          <w:u w:val="single"/>
          <w:lang w:val="hy-AM" w:eastAsia="en-US"/>
        </w:rPr>
      </w:pPr>
    </w:p>
    <w:p w:rsidR="00D178DD" w:rsidRPr="00D178DD" w:rsidRDefault="00D178DD" w:rsidP="00D178DD">
      <w:pPr>
        <w:spacing w:before="0" w:after="120" w:line="276" w:lineRule="auto"/>
        <w:ind w:left="7" w:firstLine="1"/>
        <w:contextualSpacing w:val="0"/>
        <w:rPr>
          <w:rFonts w:eastAsia="Calibri" w:cs="Sylfaen"/>
          <w:b w:val="0"/>
          <w:szCs w:val="22"/>
          <w:lang w:val="hy-AM" w:eastAsia="en-US"/>
        </w:rPr>
      </w:pPr>
      <w:r w:rsidRPr="00D178DD">
        <w:rPr>
          <w:rFonts w:eastAsia="Calibri" w:cs="Sylfaen"/>
          <w:szCs w:val="22"/>
          <w:lang w:val="hy-AM" w:eastAsia="en-US"/>
        </w:rPr>
        <w:t xml:space="preserve">        </w:t>
      </w:r>
      <w:r w:rsidRPr="00D178DD">
        <w:rPr>
          <w:rFonts w:eastAsia="Calibri" w:cs="Sylfaen"/>
          <w:szCs w:val="22"/>
          <w:u w:val="single"/>
          <w:lang w:val="hy-AM" w:eastAsia="en-US"/>
        </w:rPr>
        <w:t>Արտահանում:</w:t>
      </w:r>
      <w:r w:rsidRPr="00D178DD">
        <w:rPr>
          <w:rFonts w:eastAsia="Calibri" w:cs="Sylfaen"/>
          <w:szCs w:val="22"/>
          <w:lang w:val="hy-AM" w:eastAsia="en-US"/>
        </w:rPr>
        <w:t xml:space="preserve"> 2021թ. արձանագրվել է ապրանքների և ծառայությունների դոլարային արտահանման 31.3% աճ: </w:t>
      </w:r>
      <w:r w:rsidRPr="00D178DD">
        <w:rPr>
          <w:rFonts w:eastAsia="Calibri" w:cs="Sylfaen"/>
          <w:b w:val="0"/>
          <w:bCs/>
          <w:szCs w:val="22"/>
          <w:lang w:val="hy-AM" w:eastAsia="en-US"/>
        </w:rPr>
        <w:t>Այդ աճը հիմնականում պայմանավորվել է համավարակի դեմ պայքարի սահմանափակումների թուլացմամբ և արտաքին պահանջարկի վերականգմամբ:</w:t>
      </w:r>
      <w:r w:rsidRPr="00D178DD">
        <w:rPr>
          <w:rFonts w:eastAsia="Calibri" w:cs="Sylfaen"/>
          <w:b w:val="0"/>
          <w:szCs w:val="22"/>
          <w:lang w:val="hy-AM" w:eastAsia="en-US"/>
        </w:rPr>
        <w:t xml:space="preserve"> ՀՀ ապրանքների արտահանումը 2021թ</w:t>
      </w:r>
      <w:r w:rsidRPr="00D178DD">
        <w:rPr>
          <w:rFonts w:ascii="Cambria Math" w:eastAsia="Calibri" w:hAnsi="Cambria Math" w:cs="Cambria Math"/>
          <w:b w:val="0"/>
          <w:szCs w:val="22"/>
          <w:lang w:val="hy-AM" w:eastAsia="en-US"/>
        </w:rPr>
        <w:t>․</w:t>
      </w:r>
      <w:r w:rsidRPr="00D178DD">
        <w:rPr>
          <w:rFonts w:eastAsia="Calibri" w:cs="Sylfaen"/>
          <w:b w:val="0"/>
          <w:szCs w:val="22"/>
          <w:lang w:val="hy-AM" w:eastAsia="en-US"/>
        </w:rPr>
        <w:t xml:space="preserve"> աճել է 20.5%-ով: 2021թ</w:t>
      </w:r>
      <w:r w:rsidRPr="00D178DD">
        <w:rPr>
          <w:rFonts w:ascii="Cambria Math" w:eastAsia="Calibri" w:hAnsi="Cambria Math" w:cs="Cambria Math"/>
          <w:b w:val="0"/>
          <w:szCs w:val="22"/>
          <w:lang w:val="hy-AM" w:eastAsia="en-US"/>
        </w:rPr>
        <w:t>․</w:t>
      </w:r>
      <w:r w:rsidRPr="00D178DD">
        <w:rPr>
          <w:rFonts w:eastAsia="Calibri" w:cs="Sylfaen"/>
          <w:b w:val="0"/>
          <w:szCs w:val="22"/>
          <w:lang w:val="hy-AM" w:eastAsia="en-US"/>
        </w:rPr>
        <w:t xml:space="preserve"> հիմնականում ճանապարհորդության նպատակով ՀՀ այցելությունների աճի արդյունքում ծառայությունների արտահանումն աճել է 57.8%-ով:</w:t>
      </w:r>
    </w:p>
    <w:p w:rsidR="00D178DD" w:rsidRPr="00D178DD" w:rsidRDefault="00D178DD" w:rsidP="00D178DD">
      <w:pPr>
        <w:spacing w:before="0" w:after="120" w:line="276" w:lineRule="auto"/>
        <w:ind w:firstLine="720"/>
        <w:contextualSpacing w:val="0"/>
        <w:rPr>
          <w:rFonts w:eastAsia="Calibri" w:cs="Sylfaen"/>
          <w:b w:val="0"/>
          <w:szCs w:val="22"/>
          <w:lang w:val="hy-AM" w:eastAsia="en-US"/>
        </w:rPr>
      </w:pPr>
      <w:r w:rsidRPr="00D178DD">
        <w:rPr>
          <w:rFonts w:eastAsia="Calibri" w:cs="Sylfaen"/>
          <w:szCs w:val="22"/>
          <w:lang w:val="hy-AM" w:eastAsia="en-US"/>
        </w:rPr>
        <w:t>2022թ. ծառայությունների աճի նախորդ տարվա միտումները շարունակվում են</w:t>
      </w:r>
      <w:r w:rsidRPr="00D178DD">
        <w:rPr>
          <w:rFonts w:eastAsia="Calibri" w:cs="Sylfaen"/>
          <w:b w:val="0"/>
          <w:szCs w:val="22"/>
          <w:lang w:val="hy-AM" w:eastAsia="en-US"/>
        </w:rPr>
        <w:t xml:space="preserve">, </w:t>
      </w:r>
      <w:r w:rsidRPr="00D178DD">
        <w:rPr>
          <w:rFonts w:eastAsia="Calibri" w:cs="Sylfaen"/>
          <w:szCs w:val="22"/>
          <w:lang w:val="hy-AM" w:eastAsia="en-US"/>
        </w:rPr>
        <w:t xml:space="preserve">որը հիմնականում պայմանավորվել է 2022թ. զբոսաշրջիկների թվի աճով: </w:t>
      </w:r>
      <w:r w:rsidRPr="00D178DD">
        <w:rPr>
          <w:rFonts w:eastAsia="Calibri" w:cs="Sylfaen"/>
          <w:b w:val="0"/>
          <w:szCs w:val="22"/>
          <w:lang w:val="hy-AM" w:eastAsia="en-US"/>
        </w:rPr>
        <w:t xml:space="preserve">Ընդ որում զբոսաշրջության աճին մեծ նպաստում է ունեցել ՌԴ-ի և Ուկրիանիայի միջև հակամարտության և ՌԴ-ի նկատմամբ կիրառվող պատժամիջոցների հետևանքով ՀՀ այցելող ռուս զբոսաշրջիկների թվի կտրուկ աճը։ 2022թ. առաջին կիսամյակում ծառայությունների արտահանումը աճին նպաստել է նաև ՏՏ ոլորտի արտահանումը ։ </w:t>
      </w:r>
    </w:p>
    <w:p w:rsidR="00D178DD" w:rsidRPr="00D178DD" w:rsidRDefault="00D178DD" w:rsidP="00D178DD">
      <w:pPr>
        <w:spacing w:before="0" w:after="120" w:line="276" w:lineRule="auto"/>
        <w:ind w:left="7" w:firstLine="1"/>
        <w:contextualSpacing w:val="0"/>
        <w:rPr>
          <w:rFonts w:eastAsiaTheme="majorEastAsia"/>
          <w:b w:val="0"/>
          <w:lang w:val="hy-AM"/>
        </w:rPr>
      </w:pPr>
      <w:r w:rsidRPr="00D178DD">
        <w:rPr>
          <w:rFonts w:eastAsiaTheme="majorEastAsia"/>
          <w:bCs/>
          <w:lang w:val="hy-AM"/>
        </w:rPr>
        <w:t xml:space="preserve">          ՀՀ ապրանքների արտահանումը գրանցել է կտրուկ աճ</w:t>
      </w:r>
      <w:r w:rsidRPr="00D178DD">
        <w:rPr>
          <w:rFonts w:ascii="Cambria Math" w:eastAsiaTheme="majorEastAsia" w:hAnsi="Cambria Math" w:cs="Cambria Math"/>
          <w:bCs/>
          <w:lang w:val="hy-AM"/>
        </w:rPr>
        <w:t>․</w:t>
      </w:r>
      <w:r w:rsidRPr="00D178DD">
        <w:rPr>
          <w:rFonts w:eastAsiaTheme="majorEastAsia"/>
          <w:bCs/>
          <w:lang w:val="hy-AM"/>
        </w:rPr>
        <w:t xml:space="preserve"> 2022թ. հունվար-օգոստոս ամիսներին աճը կազմել է 53.1%</w:t>
      </w:r>
      <w:r w:rsidRPr="00D178DD">
        <w:rPr>
          <w:rFonts w:eastAsiaTheme="majorEastAsia"/>
          <w:lang w:val="hy-AM"/>
        </w:rPr>
        <w:t xml:space="preserve">: </w:t>
      </w:r>
      <w:r w:rsidRPr="00D178DD">
        <w:rPr>
          <w:rFonts w:eastAsiaTheme="majorEastAsia"/>
          <w:b w:val="0"/>
          <w:lang w:val="hy-AM"/>
        </w:rPr>
        <w:t xml:space="preserve">Վերջինս հիմնականում պայմանավորվել է արտահանման որոշ շուկաներում արտաքին պահանջարկի աճով, ՀՀ դրամի՝ ռուբլու նկատմամբ իրական </w:t>
      </w:r>
      <w:r w:rsidRPr="00D178DD">
        <w:rPr>
          <w:rFonts w:eastAsiaTheme="majorEastAsia"/>
          <w:b w:val="0"/>
          <w:lang w:val="hy-AM"/>
        </w:rPr>
        <w:lastRenderedPageBreak/>
        <w:t xml:space="preserve">փոխարժեքի արժեզրկված դիրքով և ՌԴ-ում ՀՀ-ից արտահանվող ապրանքների շուկաների ընդյալնմամբ: </w:t>
      </w:r>
    </w:p>
    <w:p w:rsidR="00D178DD" w:rsidRPr="00D178DD" w:rsidRDefault="00D178DD" w:rsidP="00D178DD">
      <w:pPr>
        <w:keepNext/>
        <w:keepLines/>
        <w:spacing w:before="0" w:line="276" w:lineRule="auto"/>
        <w:ind w:firstLine="0"/>
        <w:contextualSpacing w:val="0"/>
        <w:rPr>
          <w:rFonts w:eastAsia="Calibri" w:cs="Sylfaen"/>
          <w:b w:val="0"/>
          <w:bCs/>
          <w:i/>
          <w:sz w:val="20"/>
          <w:szCs w:val="20"/>
          <w:lang w:val="hy-AM" w:eastAsia="en-US"/>
        </w:rPr>
      </w:pPr>
      <w:r w:rsidRPr="00D178DD">
        <w:rPr>
          <w:rFonts w:eastAsia="Calibri"/>
          <w:i/>
          <w:noProof/>
          <w:color w:val="990033"/>
          <w:szCs w:val="22"/>
          <w:lang w:val="en-US" w:eastAsia="en-US"/>
        </w:rPr>
        <w:drawing>
          <wp:anchor distT="0" distB="0" distL="114300" distR="114300" simplePos="0" relativeHeight="251662336" behindDoc="1" locked="0" layoutInCell="1" allowOverlap="1" wp14:anchorId="4F6EDD99" wp14:editId="6B381417">
            <wp:simplePos x="0" y="0"/>
            <wp:positionH relativeFrom="margin">
              <wp:align>left</wp:align>
            </wp:positionH>
            <wp:positionV relativeFrom="paragraph">
              <wp:posOffset>318770</wp:posOffset>
            </wp:positionV>
            <wp:extent cx="3295650" cy="2028825"/>
            <wp:effectExtent l="0" t="0" r="0" b="9525"/>
            <wp:wrapTight wrapText="bothSides">
              <wp:wrapPolygon edited="0">
                <wp:start x="0" y="0"/>
                <wp:lineTo x="0" y="21499"/>
                <wp:lineTo x="21475" y="21499"/>
                <wp:lineTo x="21475"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D178DD">
        <w:rPr>
          <w:rFonts w:eastAsia="Calibri"/>
          <w:i/>
          <w:noProof/>
          <w:szCs w:val="22"/>
          <w:lang w:val="en-US" w:eastAsia="en-US"/>
        </w:rPr>
        <w:drawing>
          <wp:anchor distT="0" distB="0" distL="114300" distR="114300" simplePos="0" relativeHeight="251663360" behindDoc="1" locked="0" layoutInCell="1" allowOverlap="1" wp14:anchorId="6167AA91" wp14:editId="61077263">
            <wp:simplePos x="0" y="0"/>
            <wp:positionH relativeFrom="margin">
              <wp:posOffset>3409315</wp:posOffset>
            </wp:positionH>
            <wp:positionV relativeFrom="paragraph">
              <wp:posOffset>319405</wp:posOffset>
            </wp:positionV>
            <wp:extent cx="3076575" cy="2019300"/>
            <wp:effectExtent l="0" t="0" r="9525" b="0"/>
            <wp:wrapTight wrapText="bothSides">
              <wp:wrapPolygon edited="0">
                <wp:start x="0" y="0"/>
                <wp:lineTo x="0" y="21396"/>
                <wp:lineTo x="21533" y="21396"/>
                <wp:lineTo x="2153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D178DD">
        <w:rPr>
          <w:rFonts w:eastAsia="Calibri" w:cs="Sylfaen"/>
          <w:i/>
          <w:szCs w:val="22"/>
          <w:lang w:val="hy-AM" w:eastAsia="en-US"/>
        </w:rPr>
        <w:t>Գծապատկեր 1.23</w:t>
      </w:r>
      <w:r w:rsidRPr="00D178DD">
        <w:rPr>
          <w:rFonts w:ascii="MS Gothic" w:eastAsia="MS Gothic" w:hAnsi="MS Gothic" w:cs="MS Gothic" w:hint="eastAsia"/>
          <w:i/>
          <w:szCs w:val="22"/>
          <w:lang w:val="hy-AM" w:eastAsia="en-US"/>
        </w:rPr>
        <w:t>․</w:t>
      </w:r>
      <w:r w:rsidRPr="00D178DD">
        <w:rPr>
          <w:rFonts w:eastAsia="Calibri" w:cs="Sylfaen"/>
          <w:b w:val="0"/>
          <w:bCs/>
          <w:i/>
          <w:sz w:val="20"/>
          <w:szCs w:val="20"/>
          <w:lang w:val="hy-AM" w:eastAsia="en-US"/>
        </w:rPr>
        <w:t xml:space="preserve"> 2022թ. ապրանքների արտահանման միտումները, %</w:t>
      </w:r>
    </w:p>
    <w:p w:rsidR="00D178DD" w:rsidRPr="00D178DD" w:rsidRDefault="00D178DD" w:rsidP="00D178DD">
      <w:pPr>
        <w:spacing w:before="0" w:line="276" w:lineRule="auto"/>
        <w:ind w:firstLine="540"/>
        <w:contextualSpacing w:val="0"/>
        <w:rPr>
          <w:rFonts w:eastAsia="Calibri"/>
          <w:b w:val="0"/>
          <w:i/>
          <w:sz w:val="16"/>
          <w:szCs w:val="16"/>
          <w:lang w:val="hy-AM"/>
        </w:rPr>
      </w:pPr>
      <w:r w:rsidRPr="00D178DD">
        <w:rPr>
          <w:rFonts w:eastAsia="Calibri"/>
          <w:b w:val="0"/>
          <w:i/>
          <w:sz w:val="16"/>
          <w:szCs w:val="16"/>
          <w:lang w:val="hy-AM"/>
        </w:rPr>
        <w:t>Աղբյուրը՝ ՀՀ ՎԿ և ՀՀ ՖՆ հաշվարկներ:</w:t>
      </w:r>
    </w:p>
    <w:p w:rsidR="00D178DD" w:rsidRPr="00D178DD" w:rsidRDefault="00D178DD" w:rsidP="00D178DD">
      <w:pPr>
        <w:spacing w:before="0" w:line="276" w:lineRule="auto"/>
        <w:ind w:firstLine="0"/>
        <w:contextualSpacing w:val="0"/>
        <w:rPr>
          <w:rFonts w:eastAsia="Calibri" w:cs="Sylfaen"/>
          <w:szCs w:val="22"/>
          <w:u w:val="single"/>
          <w:lang w:val="hy-AM" w:eastAsia="en-US"/>
        </w:rPr>
      </w:pPr>
    </w:p>
    <w:p w:rsidR="00D178DD" w:rsidRPr="00D178DD" w:rsidRDefault="00D178DD" w:rsidP="00D178DD">
      <w:pPr>
        <w:tabs>
          <w:tab w:val="left" w:pos="0"/>
        </w:tabs>
        <w:spacing w:before="0" w:after="120" w:line="276" w:lineRule="auto"/>
        <w:ind w:firstLine="539"/>
        <w:contextualSpacing w:val="0"/>
        <w:rPr>
          <w:rFonts w:eastAsia="Calibri" w:cs="Sylfaen"/>
          <w:b w:val="0"/>
          <w:color w:val="FF0000"/>
          <w:szCs w:val="22"/>
          <w:lang w:val="hy-AM" w:eastAsia="en-US"/>
        </w:rPr>
      </w:pPr>
      <w:r w:rsidRPr="00D178DD">
        <w:rPr>
          <w:rFonts w:eastAsiaTheme="majorEastAsia"/>
          <w:iCs/>
          <w:u w:val="single"/>
          <w:lang w:val="hy-AM"/>
        </w:rPr>
        <w:t>Կանխատեսում</w:t>
      </w:r>
      <w:r w:rsidRPr="00D178DD">
        <w:rPr>
          <w:rFonts w:eastAsiaTheme="majorEastAsia"/>
          <w:lang w:val="hy-AM"/>
        </w:rPr>
        <w:t xml:space="preserve">։ </w:t>
      </w:r>
      <w:r w:rsidRPr="00D178DD">
        <w:rPr>
          <w:rFonts w:eastAsiaTheme="majorEastAsia"/>
          <w:b w:val="0"/>
          <w:lang w:val="hy-AM"/>
        </w:rPr>
        <w:t>Վերոնշյալ զարգացումների պայմաններում</w:t>
      </w:r>
      <w:r w:rsidRPr="00D178DD">
        <w:rPr>
          <w:rFonts w:eastAsiaTheme="majorEastAsia"/>
          <w:lang w:val="hy-AM"/>
        </w:rPr>
        <w:t xml:space="preserve"> </w:t>
      </w:r>
      <w:r w:rsidRPr="00D178DD">
        <w:rPr>
          <w:rFonts w:eastAsiaTheme="majorEastAsia"/>
          <w:b w:val="0"/>
          <w:lang w:val="hy-AM"/>
        </w:rPr>
        <w:t>2022թ. սպասվում է մոտ 53.3% արտահանման աճ։ Այդուհանդերձ՝ Թեղուտի հանքավայրի շահագործման ժամանակավոր դադարեցումն ապրանքների արտահանման զսպող գործոն կհանդիսանան, իսկ տուրիզմի հաշվին ծառայությունների արտահանման վերականգնումը կլինի համեմատաբար արագ: Համաշխարհային և ՀՀ տնտեսական ակտիվության, զբոսաշրջության աստիճանական վերականգնմամբ և արտահանելի հատվածի ներդրումների խթանմանն ուղղված ՀՀ կառավարության քաղաքականության ջանքերի, ՌԴ-ում ՀՀ-ից արտահանվող ապրանքների շուկաների ընդյալնման, ՏՏ ոլորտի ծառայությունների արտահանման ընդյալմանը համահունչ 2023թ. ակնկալվում է ապրանքների և ծառայությունների արտահանման 14.3% աճ:</w:t>
      </w:r>
      <w:r w:rsidRPr="00D178DD">
        <w:rPr>
          <w:rFonts w:eastAsia="Calibri" w:cs="Sylfaen"/>
          <w:b w:val="0"/>
          <w:color w:val="FF0000"/>
          <w:szCs w:val="22"/>
          <w:lang w:val="hy-AM" w:eastAsia="en-US"/>
        </w:rPr>
        <w:t xml:space="preserve"> </w:t>
      </w:r>
    </w:p>
    <w:p w:rsidR="00D178DD" w:rsidRPr="00D178DD" w:rsidRDefault="00D178DD" w:rsidP="00D178DD">
      <w:pPr>
        <w:spacing w:line="276" w:lineRule="auto"/>
        <w:rPr>
          <w:rFonts w:eastAsiaTheme="majorEastAsia"/>
          <w:bCs/>
          <w:lang w:val="hy-AM"/>
        </w:rPr>
      </w:pPr>
      <w:r w:rsidRPr="00D178DD">
        <w:rPr>
          <w:rFonts w:eastAsia="Calibri" w:cs="Sylfaen"/>
          <w:szCs w:val="22"/>
          <w:u w:val="single"/>
          <w:lang w:val="hy-AM" w:eastAsia="en-US"/>
        </w:rPr>
        <w:t>Ներմուծում:</w:t>
      </w:r>
      <w:r w:rsidRPr="00D178DD">
        <w:rPr>
          <w:rFonts w:eastAsia="Calibri" w:cs="Sylfaen"/>
          <w:szCs w:val="22"/>
          <w:lang w:val="hy-AM" w:eastAsia="en-US"/>
        </w:rPr>
        <w:t xml:space="preserve"> </w:t>
      </w:r>
      <w:r w:rsidRPr="00D178DD">
        <w:rPr>
          <w:rFonts w:eastAsiaTheme="majorEastAsia"/>
          <w:bCs/>
          <w:lang w:val="hy-AM"/>
        </w:rPr>
        <w:t>2021թ</w:t>
      </w:r>
      <w:r w:rsidRPr="00D178DD">
        <w:rPr>
          <w:rFonts w:ascii="Cambria Math" w:eastAsiaTheme="majorEastAsia" w:hAnsi="Cambria Math" w:cs="Cambria Math"/>
          <w:bCs/>
          <w:lang w:val="hy-AM"/>
        </w:rPr>
        <w:t>․</w:t>
      </w:r>
      <w:r w:rsidRPr="00D178DD">
        <w:rPr>
          <w:rFonts w:eastAsiaTheme="majorEastAsia"/>
          <w:bCs/>
          <w:lang w:val="hy-AM"/>
        </w:rPr>
        <w:t xml:space="preserve"> ապրանքների և ծառայությունների ներմուծման աճերը սկսել են վերականգնվել։ </w:t>
      </w:r>
      <w:r w:rsidRPr="00D178DD">
        <w:rPr>
          <w:rFonts w:eastAsiaTheme="majorEastAsia"/>
          <w:b w:val="0"/>
          <w:bCs/>
          <w:lang w:val="hy-AM"/>
        </w:rPr>
        <w:t>Արձանագրվել է ապրանքների ներմուծման 16.6% աճ` հիմնականում պայմանավորված տնտեսական ակտիվությամբ և ներքին պահանջարկի վերականգնմամբ: Ծառայությունների ներմուծման աճը 2021թ. կազմել է 36.4% և հիմնականում պայմանավորվել է համավարկի հետ կապված տուրիզմի հոսքերի սահմանափակումների թուլացմամբ:</w:t>
      </w:r>
    </w:p>
    <w:p w:rsidR="00D178DD" w:rsidRPr="00D178DD" w:rsidRDefault="00D178DD" w:rsidP="00D178DD">
      <w:pPr>
        <w:tabs>
          <w:tab w:val="left" w:pos="0"/>
        </w:tabs>
        <w:spacing w:before="0" w:after="120" w:line="276" w:lineRule="auto"/>
        <w:ind w:firstLine="539"/>
        <w:contextualSpacing w:val="0"/>
        <w:rPr>
          <w:rFonts w:eastAsia="Calibri" w:cs="Sylfaen"/>
          <w:b w:val="0"/>
          <w:szCs w:val="22"/>
          <w:lang w:val="hy-AM" w:eastAsia="en-US"/>
        </w:rPr>
      </w:pPr>
      <w:r w:rsidRPr="00D178DD">
        <w:rPr>
          <w:rFonts w:eastAsia="Calibri" w:cs="Sylfaen"/>
          <w:szCs w:val="22"/>
          <w:lang w:val="hy-AM" w:eastAsia="en-US"/>
        </w:rPr>
        <w:t xml:space="preserve">2022թ. հունվար-օգոստոս ամիսներին արձանագրվել է ապրանքների ներմուծման 58.3% աճ՝ </w:t>
      </w:r>
      <w:r w:rsidRPr="00D178DD">
        <w:rPr>
          <w:rFonts w:eastAsia="Calibri" w:cs="Sylfaen"/>
          <w:b w:val="0"/>
          <w:szCs w:val="22"/>
          <w:lang w:val="hy-AM" w:eastAsia="en-US"/>
        </w:rPr>
        <w:t>հիմնականում պայմանավորված տնտեսական բարձր ակտիվությամբ և ներքին պահանջարկի բարձր աճով, մեքենաների և սարքավորումների ներմուծման բարձր աճի տեմպերով և ներմուծման բարձր գներով (8.7)%::</w:t>
      </w:r>
    </w:p>
    <w:p w:rsidR="00D178DD" w:rsidRPr="00D178DD" w:rsidRDefault="00D178DD" w:rsidP="00D178DD">
      <w:pPr>
        <w:tabs>
          <w:tab w:val="left" w:pos="0"/>
        </w:tabs>
        <w:spacing w:before="0" w:after="120" w:line="276" w:lineRule="auto"/>
        <w:ind w:firstLine="539"/>
        <w:contextualSpacing w:val="0"/>
        <w:rPr>
          <w:rFonts w:eastAsia="Calibri" w:cs="Sylfaen"/>
          <w:szCs w:val="22"/>
          <w:lang w:val="hy-AM" w:eastAsia="en-US"/>
        </w:rPr>
      </w:pPr>
      <w:r w:rsidRPr="00D178DD">
        <w:rPr>
          <w:rFonts w:eastAsia="Calibri" w:cs="Sylfaen"/>
          <w:b w:val="0"/>
          <w:szCs w:val="22"/>
          <w:lang w:val="hy-AM" w:eastAsia="en-US"/>
        </w:rPr>
        <w:t xml:space="preserve"> 2022թ. առաջին կիսամյակի տվյալներով ծառայությունների ներմուծումը շարունակել է աճել՝ հիմնականում արտագնա զբոսաշրջության հաշվին: </w:t>
      </w:r>
      <w:r w:rsidRPr="00D178DD">
        <w:rPr>
          <w:rFonts w:eastAsia="Calibri" w:cs="Sylfaen"/>
          <w:szCs w:val="22"/>
          <w:lang w:val="hy-AM" w:eastAsia="en-US"/>
        </w:rPr>
        <w:t xml:space="preserve"> </w:t>
      </w:r>
    </w:p>
    <w:p w:rsidR="00D178DD" w:rsidRPr="00D178DD" w:rsidRDefault="00D178DD" w:rsidP="00D178DD">
      <w:pPr>
        <w:tabs>
          <w:tab w:val="left" w:pos="0"/>
        </w:tabs>
        <w:spacing w:before="0" w:after="120" w:line="276" w:lineRule="auto"/>
        <w:ind w:firstLine="539"/>
        <w:contextualSpacing w:val="0"/>
        <w:rPr>
          <w:rFonts w:eastAsia="Calibri" w:cs="Sylfaen"/>
          <w:b w:val="0"/>
          <w:bCs/>
          <w:i/>
          <w:iCs/>
          <w:szCs w:val="22"/>
          <w:lang w:val="hy-AM" w:eastAsia="en-US"/>
        </w:rPr>
      </w:pPr>
      <w:r w:rsidRPr="00D178DD">
        <w:rPr>
          <w:rFonts w:eastAsia="Calibri"/>
          <w:bCs/>
          <w:i/>
          <w:iCs/>
          <w:noProof/>
          <w:szCs w:val="22"/>
          <w:lang w:val="en-US" w:eastAsia="en-US"/>
        </w:rPr>
        <w:lastRenderedPageBreak/>
        <w:drawing>
          <wp:anchor distT="0" distB="0" distL="114300" distR="114300" simplePos="0" relativeHeight="251661312" behindDoc="1" locked="0" layoutInCell="1" allowOverlap="1" wp14:anchorId="75BC2783" wp14:editId="4E44CDD7">
            <wp:simplePos x="0" y="0"/>
            <wp:positionH relativeFrom="margin">
              <wp:posOffset>3133559</wp:posOffset>
            </wp:positionH>
            <wp:positionV relativeFrom="paragraph">
              <wp:posOffset>370233</wp:posOffset>
            </wp:positionV>
            <wp:extent cx="3162300" cy="1943100"/>
            <wp:effectExtent l="0" t="0" r="0" b="0"/>
            <wp:wrapTight wrapText="bothSides">
              <wp:wrapPolygon edited="0">
                <wp:start x="0" y="0"/>
                <wp:lineTo x="0" y="21388"/>
                <wp:lineTo x="21470" y="21388"/>
                <wp:lineTo x="2147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r w:rsidRPr="00D178DD">
        <w:rPr>
          <w:rFonts w:eastAsia="Calibri" w:cs="Sylfaen"/>
          <w:bCs/>
          <w:i/>
          <w:iCs/>
          <w:noProof/>
          <w:szCs w:val="22"/>
          <w:lang w:val="en-US" w:eastAsia="en-US"/>
        </w:rPr>
        <w:drawing>
          <wp:anchor distT="0" distB="0" distL="114300" distR="114300" simplePos="0" relativeHeight="251658240" behindDoc="1" locked="0" layoutInCell="1" allowOverlap="1" wp14:anchorId="409997AF" wp14:editId="5F5CE199">
            <wp:simplePos x="0" y="0"/>
            <wp:positionH relativeFrom="margin">
              <wp:posOffset>36195</wp:posOffset>
            </wp:positionH>
            <wp:positionV relativeFrom="paragraph">
              <wp:posOffset>376196</wp:posOffset>
            </wp:positionV>
            <wp:extent cx="3051175" cy="1966595"/>
            <wp:effectExtent l="0" t="0" r="15875" b="14605"/>
            <wp:wrapTight wrapText="bothSides">
              <wp:wrapPolygon edited="0">
                <wp:start x="0" y="0"/>
                <wp:lineTo x="0" y="21551"/>
                <wp:lineTo x="21578" y="21551"/>
                <wp:lineTo x="21578"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r w:rsidRPr="00D178DD">
        <w:rPr>
          <w:rFonts w:eastAsia="Calibri" w:cs="Sylfaen"/>
          <w:bCs/>
          <w:i/>
          <w:iCs/>
          <w:szCs w:val="22"/>
          <w:lang w:val="hy-AM" w:eastAsia="en-US"/>
        </w:rPr>
        <w:t>Գծապատկեր 1.24</w:t>
      </w:r>
      <w:r w:rsidRPr="00D178DD">
        <w:rPr>
          <w:rFonts w:ascii="MS Gothic" w:eastAsia="MS Gothic" w:hAnsi="MS Gothic" w:cs="MS Gothic" w:hint="eastAsia"/>
          <w:bCs/>
          <w:i/>
          <w:iCs/>
          <w:szCs w:val="22"/>
          <w:lang w:val="hy-AM" w:eastAsia="en-US"/>
        </w:rPr>
        <w:t>․</w:t>
      </w:r>
      <w:r w:rsidRPr="00D178DD">
        <w:rPr>
          <w:rFonts w:eastAsia="Calibri" w:cs="Sylfaen"/>
          <w:b w:val="0"/>
          <w:bCs/>
          <w:i/>
          <w:iCs/>
          <w:sz w:val="21"/>
          <w:szCs w:val="21"/>
          <w:lang w:val="hy-AM" w:eastAsia="en-US"/>
        </w:rPr>
        <w:t xml:space="preserve"> </w:t>
      </w:r>
      <w:r w:rsidRPr="00D178DD">
        <w:rPr>
          <w:rFonts w:eastAsia="Calibri" w:cs="Sylfaen"/>
          <w:b w:val="0"/>
          <w:bCs/>
          <w:i/>
          <w:iCs/>
          <w:sz w:val="20"/>
          <w:szCs w:val="20"/>
          <w:lang w:val="hy-AM" w:eastAsia="en-US"/>
        </w:rPr>
        <w:t>2022թ. ապրանքների ներմուծման միտումները, %</w:t>
      </w:r>
    </w:p>
    <w:p w:rsidR="00D178DD" w:rsidRPr="00D178DD" w:rsidRDefault="00D178DD" w:rsidP="00D178DD">
      <w:pPr>
        <w:tabs>
          <w:tab w:val="left" w:pos="0"/>
        </w:tabs>
        <w:spacing w:before="0" w:line="276" w:lineRule="auto"/>
        <w:ind w:firstLine="0"/>
        <w:contextualSpacing w:val="0"/>
        <w:rPr>
          <w:rFonts w:eastAsia="Calibri" w:cs="Sylfaen"/>
          <w:b w:val="0"/>
          <w:i/>
          <w:sz w:val="18"/>
          <w:szCs w:val="18"/>
          <w:lang w:val="hy-AM" w:eastAsia="en-US"/>
        </w:rPr>
      </w:pPr>
      <w:r w:rsidRPr="00D178DD">
        <w:rPr>
          <w:rFonts w:eastAsia="Calibri"/>
          <w:b w:val="0"/>
          <w:i/>
          <w:sz w:val="16"/>
          <w:szCs w:val="16"/>
          <w:lang w:val="hy-AM"/>
        </w:rPr>
        <w:t>Աղբյուրը՝ ՀՀ ՎԿ և ՀՀ ՖՆ հաշվարկներ</w:t>
      </w:r>
      <w:r w:rsidRPr="00D178DD">
        <w:rPr>
          <w:rFonts w:eastAsia="Calibri" w:cs="Sylfaen"/>
          <w:b w:val="0"/>
          <w:i/>
          <w:sz w:val="18"/>
          <w:szCs w:val="18"/>
          <w:lang w:val="hy-AM" w:eastAsia="en-US"/>
        </w:rPr>
        <w:t xml:space="preserve">:  </w:t>
      </w:r>
    </w:p>
    <w:p w:rsidR="00D178DD" w:rsidRPr="00D178DD" w:rsidRDefault="00D178DD" w:rsidP="00D178DD">
      <w:pPr>
        <w:spacing w:line="276" w:lineRule="auto"/>
        <w:rPr>
          <w:rFonts w:eastAsiaTheme="majorEastAsia"/>
          <w:iCs/>
          <w:u w:val="single"/>
          <w:lang w:val="hy-AM"/>
        </w:rPr>
      </w:pPr>
    </w:p>
    <w:p w:rsidR="00D178DD" w:rsidRPr="00D178DD" w:rsidRDefault="00D178DD" w:rsidP="00D178DD">
      <w:pPr>
        <w:spacing w:line="276" w:lineRule="auto"/>
        <w:rPr>
          <w:rFonts w:eastAsiaTheme="majorEastAsia"/>
          <w:b w:val="0"/>
          <w:lang w:val="hy-AM"/>
        </w:rPr>
      </w:pPr>
      <w:r w:rsidRPr="00D178DD">
        <w:rPr>
          <w:rFonts w:eastAsiaTheme="majorEastAsia"/>
          <w:iCs/>
          <w:u w:val="single"/>
          <w:lang w:val="hy-AM"/>
        </w:rPr>
        <w:t>Կանխատեսում</w:t>
      </w:r>
      <w:r w:rsidRPr="00D178DD">
        <w:rPr>
          <w:rFonts w:eastAsiaTheme="majorEastAsia"/>
          <w:lang w:val="hy-AM"/>
        </w:rPr>
        <w:t xml:space="preserve">։ </w:t>
      </w:r>
      <w:r w:rsidRPr="00D178DD">
        <w:rPr>
          <w:rFonts w:eastAsiaTheme="majorEastAsia"/>
          <w:b w:val="0"/>
          <w:lang w:val="hy-AM"/>
        </w:rPr>
        <w:t>Վերոնշյալ զարգացումների պայմաններում 2022թ. սպասվում է շուրջ 44% ներմուծման աճ: Բարձր տնտեսական աճի,  երկրների միջև սահմանափակումների վերացմանը զուգընթաց զբոսաշրջության վերականգման, ինչպես նաև ներդրուների խթանմանն ուղղված ՀՀ կառավարության քաղաքականության ջանքերին համահունչ ներդրումային բնույթի ապրանքների աճի հաշվին` 2023թ. ներմուծման աճը կկազմի մոտ 14.3%:</w:t>
      </w:r>
    </w:p>
    <w:p w:rsidR="00D178DD" w:rsidRPr="00D178DD" w:rsidRDefault="00D178DD" w:rsidP="00D178DD">
      <w:pPr>
        <w:tabs>
          <w:tab w:val="left" w:pos="0"/>
        </w:tabs>
        <w:spacing w:before="0" w:line="276" w:lineRule="auto"/>
        <w:ind w:firstLine="0"/>
        <w:rPr>
          <w:rFonts w:eastAsia="Calibri" w:cs="Sylfaen"/>
          <w:i/>
          <w:szCs w:val="22"/>
          <w:lang w:val="hy-AM" w:eastAsia="en-US"/>
        </w:rPr>
      </w:pPr>
    </w:p>
    <w:p w:rsidR="00D178DD" w:rsidRPr="00D178DD" w:rsidRDefault="00D178DD" w:rsidP="00D178DD">
      <w:pPr>
        <w:tabs>
          <w:tab w:val="left" w:pos="0"/>
        </w:tabs>
        <w:spacing w:before="0" w:line="276" w:lineRule="auto"/>
        <w:ind w:firstLine="0"/>
        <w:rPr>
          <w:rFonts w:eastAsia="Calibri" w:cs="Sylfaen"/>
          <w:b w:val="0"/>
          <w:i/>
          <w:sz w:val="18"/>
          <w:szCs w:val="18"/>
          <w:lang w:val="hy-AM" w:eastAsia="en-US"/>
        </w:rPr>
      </w:pPr>
      <w:r w:rsidRPr="00D178DD">
        <w:rPr>
          <w:rFonts w:eastAsia="Calibri" w:cs="Sylfaen"/>
          <w:b w:val="0"/>
          <w:noProof/>
          <w:szCs w:val="22"/>
          <w:lang w:val="en-US" w:eastAsia="en-US"/>
        </w:rPr>
        <w:drawing>
          <wp:anchor distT="0" distB="0" distL="114300" distR="114300" simplePos="0" relativeHeight="251666432" behindDoc="1" locked="0" layoutInCell="1" allowOverlap="1" wp14:anchorId="0947A04C" wp14:editId="1BDD44CD">
            <wp:simplePos x="0" y="0"/>
            <wp:positionH relativeFrom="margin">
              <wp:align>left</wp:align>
            </wp:positionH>
            <wp:positionV relativeFrom="paragraph">
              <wp:posOffset>477851</wp:posOffset>
            </wp:positionV>
            <wp:extent cx="3171825" cy="2009775"/>
            <wp:effectExtent l="0" t="0" r="9525" b="9525"/>
            <wp:wrapTight wrapText="bothSides">
              <wp:wrapPolygon edited="0">
                <wp:start x="0" y="0"/>
                <wp:lineTo x="0" y="21498"/>
                <wp:lineTo x="21535" y="21498"/>
                <wp:lineTo x="21535"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D178DD">
        <w:rPr>
          <w:rFonts w:eastAsia="Calibri" w:cs="Sylfaen"/>
          <w:b w:val="0"/>
          <w:noProof/>
          <w:color w:val="C00000"/>
          <w:szCs w:val="22"/>
          <w:lang w:val="en-US" w:eastAsia="en-US"/>
        </w:rPr>
        <w:drawing>
          <wp:anchor distT="0" distB="0" distL="114300" distR="114300" simplePos="0" relativeHeight="251664384" behindDoc="1" locked="0" layoutInCell="1" allowOverlap="1" wp14:anchorId="12A52100" wp14:editId="63EFBD23">
            <wp:simplePos x="0" y="0"/>
            <wp:positionH relativeFrom="column">
              <wp:posOffset>3232785</wp:posOffset>
            </wp:positionH>
            <wp:positionV relativeFrom="paragraph">
              <wp:posOffset>473710</wp:posOffset>
            </wp:positionV>
            <wp:extent cx="3066415" cy="2009775"/>
            <wp:effectExtent l="0" t="0" r="635" b="9525"/>
            <wp:wrapTight wrapText="bothSides">
              <wp:wrapPolygon edited="0">
                <wp:start x="0" y="0"/>
                <wp:lineTo x="0" y="21498"/>
                <wp:lineTo x="21470" y="21498"/>
                <wp:lineTo x="2147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D178DD">
        <w:rPr>
          <w:rFonts w:eastAsia="Calibri" w:cs="Sylfaen"/>
          <w:i/>
          <w:szCs w:val="22"/>
          <w:lang w:val="hy-AM" w:eastAsia="en-US"/>
        </w:rPr>
        <w:t>Գծապարկեր 1.25</w:t>
      </w:r>
      <w:r w:rsidRPr="00D178DD">
        <w:rPr>
          <w:rFonts w:ascii="MS Gothic" w:eastAsia="MS Gothic" w:hAnsi="MS Gothic" w:cs="MS Gothic" w:hint="eastAsia"/>
          <w:i/>
          <w:szCs w:val="22"/>
          <w:lang w:val="hy-AM" w:eastAsia="en-US"/>
        </w:rPr>
        <w:t>․</w:t>
      </w:r>
      <w:r w:rsidRPr="00D178DD">
        <w:rPr>
          <w:rFonts w:eastAsia="Calibri" w:cs="Sylfaen"/>
          <w:b w:val="0"/>
          <w:bCs/>
          <w:sz w:val="21"/>
          <w:szCs w:val="21"/>
          <w:lang w:val="hy-AM" w:eastAsia="en-US"/>
        </w:rPr>
        <w:t xml:space="preserve"> </w:t>
      </w:r>
      <w:r w:rsidRPr="00D178DD">
        <w:rPr>
          <w:rFonts w:eastAsia="Calibri" w:cs="Sylfaen"/>
          <w:b w:val="0"/>
          <w:bCs/>
          <w:i/>
          <w:lang w:val="hy-AM"/>
        </w:rPr>
        <w:t>ՀՀ ապրանքների և ծառայությունների արտահանման և ներմուծման միտումները տնտեսական ցնցումների տարիներին և  2021-2023թթ., %</w:t>
      </w:r>
      <w:r w:rsidRPr="00D178DD">
        <w:rPr>
          <w:rFonts w:eastAsia="Calibri" w:cs="Sylfaen"/>
          <w:bCs/>
          <w:sz w:val="21"/>
          <w:szCs w:val="21"/>
          <w:lang w:val="hy-AM"/>
        </w:rPr>
        <w:t xml:space="preserve">  </w:t>
      </w:r>
    </w:p>
    <w:p w:rsidR="00D178DD" w:rsidRPr="00D178DD" w:rsidRDefault="00D178DD" w:rsidP="00D178DD">
      <w:pPr>
        <w:tabs>
          <w:tab w:val="left" w:pos="0"/>
          <w:tab w:val="num" w:pos="720"/>
        </w:tabs>
        <w:spacing w:before="0" w:line="276" w:lineRule="auto"/>
        <w:ind w:firstLine="0"/>
        <w:rPr>
          <w:rFonts w:eastAsia="Calibri"/>
          <w:b w:val="0"/>
          <w:i/>
          <w:sz w:val="16"/>
          <w:szCs w:val="16"/>
          <w:lang w:val="hy-AM"/>
        </w:rPr>
      </w:pPr>
      <w:r w:rsidRPr="00D178DD">
        <w:rPr>
          <w:rFonts w:eastAsia="Calibri"/>
          <w:b w:val="0"/>
          <w:i/>
          <w:sz w:val="16"/>
          <w:szCs w:val="16"/>
          <w:lang w:val="hy-AM"/>
        </w:rPr>
        <w:t>Աղբյուր՝ ՀՀ ՎԿ և  ՀՀ ՖՆ հաշվարկներ և կանխաեսումներ:</w:t>
      </w:r>
    </w:p>
    <w:p w:rsidR="00D178DD" w:rsidRPr="00D178DD" w:rsidRDefault="00D178DD" w:rsidP="00D178DD">
      <w:pPr>
        <w:spacing w:before="0" w:after="120" w:line="240" w:lineRule="auto"/>
        <w:ind w:firstLine="0"/>
        <w:contextualSpacing w:val="0"/>
        <w:jc w:val="left"/>
        <w:rPr>
          <w:rFonts w:eastAsia="Calibri"/>
          <w:bCs/>
          <w:sz w:val="24"/>
          <w:lang w:val="hy-AM" w:eastAsia="en-US"/>
        </w:rPr>
      </w:pPr>
    </w:p>
    <w:p w:rsidR="00D178DD" w:rsidRPr="00D178DD" w:rsidRDefault="00D178DD" w:rsidP="00D178DD">
      <w:pPr>
        <w:spacing w:before="0" w:after="120" w:line="240" w:lineRule="auto"/>
        <w:ind w:firstLine="0"/>
        <w:contextualSpacing w:val="0"/>
        <w:jc w:val="left"/>
        <w:rPr>
          <w:rFonts w:eastAsia="Calibri"/>
          <w:bCs/>
          <w:sz w:val="24"/>
          <w:lang w:val="en-US" w:eastAsia="en-US"/>
        </w:rPr>
      </w:pPr>
      <w:r w:rsidRPr="00D178DD">
        <w:rPr>
          <w:rFonts w:eastAsia="Calibri"/>
          <w:bCs/>
          <w:sz w:val="24"/>
          <w:lang w:val="hy-AM" w:eastAsia="en-US"/>
        </w:rPr>
        <w:t>1.3.4. Փոխարժեքներ</w:t>
      </w:r>
    </w:p>
    <w:tbl>
      <w:tblPr>
        <w:tblStyle w:val="TableGrid9121"/>
        <w:tblW w:w="10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7"/>
        <w:gridCol w:w="222"/>
      </w:tblGrid>
      <w:tr w:rsidR="00D178DD" w:rsidRPr="000C4EB4" w:rsidTr="004B2286">
        <w:trPr>
          <w:trHeight w:val="309"/>
        </w:trPr>
        <w:tc>
          <w:tcPr>
            <w:tcW w:w="10487" w:type="dxa"/>
          </w:tcPr>
          <w:p w:rsidR="00D178DD" w:rsidRPr="00D178DD" w:rsidRDefault="00D178DD" w:rsidP="00D178DD">
            <w:pPr>
              <w:spacing w:before="0" w:after="120" w:line="276" w:lineRule="auto"/>
              <w:ind w:left="2" w:right="-31" w:firstLine="565"/>
              <w:contextualSpacing w:val="0"/>
              <w:rPr>
                <w:rFonts w:cs="Sylfaen"/>
                <w:b w:val="0"/>
                <w:szCs w:val="22"/>
                <w:lang w:val="hy-AM" w:eastAsia="en-US"/>
              </w:rPr>
            </w:pPr>
            <w:r w:rsidRPr="00D178DD">
              <w:rPr>
                <w:rFonts w:cs="Sylfaen"/>
                <w:bCs/>
                <w:szCs w:val="22"/>
                <w:lang w:val="hy-AM" w:eastAsia="en-US"/>
              </w:rPr>
              <w:t xml:space="preserve">2021թ. ՀՀ դրամը շարունակել է արժեզրկվել՝ հիմնականում պայմանավորված առաջին կիսամյակում համավարակի և </w:t>
            </w:r>
            <w:r w:rsidR="00FB546F" w:rsidRPr="00FB546F">
              <w:rPr>
                <w:rFonts w:cs="Sylfaen"/>
                <w:bCs/>
                <w:szCs w:val="22"/>
                <w:lang w:val="hy-AM" w:eastAsia="en-US"/>
              </w:rPr>
              <w:t>Ղարաբաղյ</w:t>
            </w:r>
            <w:r w:rsidRPr="00D178DD">
              <w:rPr>
                <w:rFonts w:cs="Sylfaen"/>
                <w:bCs/>
                <w:szCs w:val="22"/>
                <w:lang w:val="hy-AM" w:eastAsia="en-US"/>
              </w:rPr>
              <w:t xml:space="preserve">ան պատերազմի հետևանքով ձևավորված անորոշություններով։ </w:t>
            </w:r>
            <w:r w:rsidRPr="00D178DD">
              <w:rPr>
                <w:rFonts w:cs="Sylfaen"/>
                <w:b w:val="0"/>
                <w:szCs w:val="22"/>
                <w:lang w:val="hy-AM" w:eastAsia="en-US"/>
              </w:rPr>
              <w:t xml:space="preserve">Նախորդ տարվա միջինի համեմատ դրամն արժեզրկվել է երեք հիմնական արժույթների նկատմամբ։ </w:t>
            </w:r>
            <w:r w:rsidRPr="00D178DD">
              <w:rPr>
                <w:b w:val="0"/>
                <w:lang w:val="hy-AM"/>
              </w:rPr>
              <w:t>ԱՄՆ</w:t>
            </w:r>
            <w:r w:rsidRPr="00D178DD">
              <w:rPr>
                <w:rFonts w:cs="Sylfaen"/>
                <w:b w:val="0"/>
                <w:szCs w:val="22"/>
                <w:lang w:val="hy-AM" w:eastAsia="en-US"/>
              </w:rPr>
              <w:t xml:space="preserve"> դոլարի նկատմամբ՝ 2</w:t>
            </w:r>
            <w:r w:rsidRPr="00D178DD">
              <w:rPr>
                <w:rFonts w:ascii="Cambria Math" w:hAnsi="Cambria Math" w:cs="Sylfaen"/>
                <w:b w:val="0"/>
                <w:szCs w:val="22"/>
                <w:lang w:val="hy-AM" w:eastAsia="en-US"/>
              </w:rPr>
              <w:t>․</w:t>
            </w:r>
            <w:r w:rsidRPr="00D178DD">
              <w:rPr>
                <w:rFonts w:cs="Sylfaen"/>
                <w:b w:val="0"/>
                <w:szCs w:val="22"/>
                <w:lang w:val="hy-AM" w:eastAsia="en-US"/>
              </w:rPr>
              <w:t>9%, եվրոյի նկատմամբ` 6.4% և ռուբլու նկատմամբ՝ 0</w:t>
            </w:r>
            <w:r w:rsidRPr="00D178DD">
              <w:rPr>
                <w:rFonts w:ascii="Cambria Math" w:hAnsi="Cambria Math" w:cs="Sylfaen"/>
                <w:b w:val="0"/>
                <w:szCs w:val="22"/>
                <w:lang w:val="hy-AM" w:eastAsia="en-US"/>
              </w:rPr>
              <w:t>․</w:t>
            </w:r>
            <w:r w:rsidRPr="00D178DD">
              <w:rPr>
                <w:rFonts w:cs="Sylfaen"/>
                <w:b w:val="0"/>
                <w:szCs w:val="22"/>
                <w:lang w:val="hy-AM" w:eastAsia="en-US"/>
              </w:rPr>
              <w:t xml:space="preserve">7%-ով։ </w:t>
            </w:r>
          </w:p>
          <w:p w:rsidR="00D178DD" w:rsidRPr="00D178DD" w:rsidRDefault="00D178DD" w:rsidP="00D178DD">
            <w:pPr>
              <w:spacing w:before="0" w:after="120" w:line="276" w:lineRule="auto"/>
              <w:ind w:left="5" w:firstLine="562"/>
              <w:contextualSpacing w:val="0"/>
              <w:rPr>
                <w:rFonts w:cs="Sylfaen"/>
                <w:b w:val="0"/>
                <w:szCs w:val="22"/>
                <w:lang w:val="hy-AM" w:eastAsia="en-US"/>
              </w:rPr>
            </w:pPr>
            <w:r w:rsidRPr="00D178DD">
              <w:rPr>
                <w:rFonts w:cs="Sylfaen"/>
                <w:bCs/>
                <w:szCs w:val="22"/>
                <w:lang w:val="hy-AM" w:eastAsia="en-US"/>
              </w:rPr>
              <w:t>2022թ</w:t>
            </w:r>
            <w:r w:rsidRPr="00D178DD">
              <w:rPr>
                <w:rFonts w:ascii="Cambria Math" w:hAnsi="Cambria Math" w:cs="Cambria Math"/>
                <w:bCs/>
                <w:szCs w:val="22"/>
                <w:lang w:val="hy-AM" w:eastAsia="en-US"/>
              </w:rPr>
              <w:t>․</w:t>
            </w:r>
            <w:r w:rsidRPr="00D178DD">
              <w:rPr>
                <w:rFonts w:cs="Sylfaen"/>
                <w:bCs/>
                <w:szCs w:val="22"/>
                <w:lang w:val="hy-AM" w:eastAsia="en-US"/>
              </w:rPr>
              <w:t xml:space="preserve"> </w:t>
            </w:r>
            <w:r w:rsidRPr="00D178DD">
              <w:rPr>
                <w:rFonts w:cs="GHEA Grapalat"/>
                <w:bCs/>
                <w:szCs w:val="22"/>
                <w:lang w:val="hy-AM" w:eastAsia="en-US"/>
              </w:rPr>
              <w:t>հունվար</w:t>
            </w:r>
            <w:r w:rsidRPr="00D178DD">
              <w:rPr>
                <w:rFonts w:cs="Sylfaen"/>
                <w:bCs/>
                <w:szCs w:val="22"/>
                <w:lang w:val="hy-AM" w:eastAsia="en-US"/>
              </w:rPr>
              <w:t>-</w:t>
            </w:r>
            <w:r w:rsidRPr="00D178DD">
              <w:rPr>
                <w:rFonts w:cs="GHEA Grapalat"/>
                <w:bCs/>
                <w:szCs w:val="22"/>
                <w:lang w:val="hy-AM" w:eastAsia="en-US"/>
              </w:rPr>
              <w:t>օգոստոս</w:t>
            </w:r>
            <w:r w:rsidRPr="00D178DD">
              <w:rPr>
                <w:rFonts w:cs="Sylfaen"/>
                <w:bCs/>
                <w:szCs w:val="22"/>
                <w:lang w:val="hy-AM" w:eastAsia="en-US"/>
              </w:rPr>
              <w:t xml:space="preserve"> </w:t>
            </w:r>
            <w:r w:rsidRPr="00D178DD">
              <w:rPr>
                <w:rFonts w:cs="GHEA Grapalat"/>
                <w:bCs/>
                <w:szCs w:val="22"/>
                <w:lang w:val="hy-AM" w:eastAsia="en-US"/>
              </w:rPr>
              <w:t>ամիսներին</w:t>
            </w:r>
            <w:r w:rsidRPr="00D178DD">
              <w:rPr>
                <w:rFonts w:cs="Sylfaen"/>
                <w:bCs/>
                <w:szCs w:val="22"/>
                <w:lang w:val="hy-AM" w:eastAsia="en-US"/>
              </w:rPr>
              <w:t xml:space="preserve"> </w:t>
            </w:r>
            <w:r w:rsidRPr="00D178DD">
              <w:rPr>
                <w:rFonts w:cs="GHEA Grapalat"/>
                <w:bCs/>
                <w:szCs w:val="22"/>
                <w:lang w:val="hy-AM" w:eastAsia="en-US"/>
              </w:rPr>
              <w:t>ՀՀ</w:t>
            </w:r>
            <w:r w:rsidRPr="00D178DD">
              <w:rPr>
                <w:rFonts w:cs="Sylfaen"/>
                <w:bCs/>
                <w:szCs w:val="22"/>
                <w:lang w:val="hy-AM" w:eastAsia="en-US"/>
              </w:rPr>
              <w:t xml:space="preserve"> </w:t>
            </w:r>
            <w:r w:rsidRPr="00D178DD">
              <w:rPr>
                <w:rFonts w:cs="GHEA Grapalat"/>
                <w:bCs/>
                <w:szCs w:val="22"/>
                <w:lang w:val="hy-AM" w:eastAsia="en-US"/>
              </w:rPr>
              <w:t>դրամը</w:t>
            </w:r>
            <w:r w:rsidRPr="00D178DD">
              <w:rPr>
                <w:rFonts w:cs="Sylfaen"/>
                <w:bCs/>
                <w:szCs w:val="22"/>
                <w:lang w:val="hy-AM" w:eastAsia="en-US"/>
              </w:rPr>
              <w:t xml:space="preserve"> </w:t>
            </w:r>
            <w:r w:rsidRPr="00D178DD">
              <w:rPr>
                <w:rFonts w:cs="GHEA Grapalat"/>
                <w:bCs/>
                <w:szCs w:val="22"/>
                <w:lang w:val="hy-AM" w:eastAsia="en-US"/>
              </w:rPr>
              <w:t>արժևորվել</w:t>
            </w:r>
            <w:r w:rsidRPr="00D178DD">
              <w:rPr>
                <w:rFonts w:cs="Sylfaen"/>
                <w:bCs/>
                <w:szCs w:val="22"/>
                <w:lang w:val="hy-AM" w:eastAsia="en-US"/>
              </w:rPr>
              <w:t xml:space="preserve"> </w:t>
            </w:r>
            <w:r w:rsidRPr="00D178DD">
              <w:rPr>
                <w:rFonts w:cs="GHEA Grapalat"/>
                <w:bCs/>
                <w:szCs w:val="22"/>
                <w:lang w:val="hy-AM" w:eastAsia="en-US"/>
              </w:rPr>
              <w:t>է</w:t>
            </w:r>
            <w:r w:rsidRPr="00D178DD">
              <w:rPr>
                <w:rFonts w:cs="Sylfaen"/>
                <w:bCs/>
                <w:szCs w:val="22"/>
                <w:lang w:val="hy-AM" w:eastAsia="en-US"/>
              </w:rPr>
              <w:t xml:space="preserve"> </w:t>
            </w:r>
            <w:r w:rsidRPr="00D178DD">
              <w:rPr>
                <w:rFonts w:cs="GHEA Grapalat"/>
                <w:bCs/>
                <w:szCs w:val="22"/>
                <w:lang w:val="hy-AM" w:eastAsia="en-US"/>
              </w:rPr>
              <w:t>երեք</w:t>
            </w:r>
            <w:r w:rsidRPr="00D178DD">
              <w:rPr>
                <w:rFonts w:cs="Sylfaen"/>
                <w:bCs/>
                <w:szCs w:val="22"/>
                <w:lang w:val="hy-AM" w:eastAsia="en-US"/>
              </w:rPr>
              <w:t xml:space="preserve"> </w:t>
            </w:r>
            <w:r w:rsidRPr="00D178DD">
              <w:rPr>
                <w:rFonts w:cs="GHEA Grapalat"/>
                <w:bCs/>
                <w:szCs w:val="22"/>
                <w:lang w:val="hy-AM" w:eastAsia="en-US"/>
              </w:rPr>
              <w:t>հիմնական</w:t>
            </w:r>
            <w:r w:rsidRPr="00D178DD">
              <w:rPr>
                <w:rFonts w:cs="Sylfaen"/>
                <w:bCs/>
                <w:szCs w:val="22"/>
                <w:lang w:val="hy-AM" w:eastAsia="en-US"/>
              </w:rPr>
              <w:t xml:space="preserve"> </w:t>
            </w:r>
            <w:r w:rsidRPr="00D178DD">
              <w:rPr>
                <w:rFonts w:cs="GHEA Grapalat"/>
                <w:bCs/>
                <w:szCs w:val="22"/>
                <w:lang w:val="hy-AM" w:eastAsia="en-US"/>
              </w:rPr>
              <w:t>արժույթների</w:t>
            </w:r>
            <w:r w:rsidRPr="00D178DD">
              <w:rPr>
                <w:rFonts w:cs="Sylfaen"/>
                <w:bCs/>
                <w:szCs w:val="22"/>
                <w:lang w:val="hy-AM" w:eastAsia="en-US"/>
              </w:rPr>
              <w:t xml:space="preserve"> </w:t>
            </w:r>
            <w:r w:rsidRPr="00D178DD">
              <w:rPr>
                <w:rFonts w:cs="GHEA Grapalat"/>
                <w:bCs/>
                <w:szCs w:val="22"/>
                <w:lang w:val="hy-AM" w:eastAsia="en-US"/>
              </w:rPr>
              <w:t>նկատմամբ՝</w:t>
            </w:r>
            <w:r w:rsidRPr="00D178DD">
              <w:rPr>
                <w:rFonts w:cs="Sylfaen"/>
                <w:bCs/>
                <w:szCs w:val="22"/>
                <w:lang w:val="hy-AM" w:eastAsia="en-US"/>
              </w:rPr>
              <w:t xml:space="preserve"> </w:t>
            </w:r>
            <w:r w:rsidRPr="00D178DD">
              <w:rPr>
                <w:rFonts w:cs="GHEA Grapalat"/>
                <w:bCs/>
                <w:szCs w:val="22"/>
                <w:lang w:val="hy-AM" w:eastAsia="en-US"/>
              </w:rPr>
              <w:t>հիմնականում</w:t>
            </w:r>
            <w:r w:rsidRPr="00D178DD">
              <w:rPr>
                <w:rFonts w:cs="Sylfaen"/>
                <w:bCs/>
                <w:szCs w:val="22"/>
                <w:lang w:val="hy-AM" w:eastAsia="en-US"/>
              </w:rPr>
              <w:t xml:space="preserve"> </w:t>
            </w:r>
            <w:r w:rsidRPr="00D178DD">
              <w:rPr>
                <w:rFonts w:cs="GHEA Grapalat"/>
                <w:bCs/>
                <w:szCs w:val="22"/>
                <w:lang w:val="hy-AM" w:eastAsia="en-US"/>
              </w:rPr>
              <w:t>պայմանավորված</w:t>
            </w:r>
            <w:r w:rsidRPr="00D178DD">
              <w:rPr>
                <w:rFonts w:cs="Sylfaen"/>
                <w:bCs/>
                <w:szCs w:val="22"/>
                <w:lang w:val="hy-AM" w:eastAsia="en-US"/>
              </w:rPr>
              <w:t xml:space="preserve"> </w:t>
            </w:r>
            <w:r w:rsidRPr="00D178DD">
              <w:rPr>
                <w:rFonts w:cs="GHEA Grapalat"/>
                <w:bCs/>
                <w:szCs w:val="22"/>
                <w:lang w:val="hy-AM" w:eastAsia="en-US"/>
              </w:rPr>
              <w:t>զբոսարջության</w:t>
            </w:r>
            <w:r w:rsidRPr="00D178DD">
              <w:rPr>
                <w:rFonts w:cs="Sylfaen"/>
                <w:bCs/>
                <w:szCs w:val="22"/>
                <w:lang w:val="hy-AM" w:eastAsia="en-US"/>
              </w:rPr>
              <w:t xml:space="preserve"> </w:t>
            </w:r>
            <w:r w:rsidRPr="00D178DD">
              <w:rPr>
                <w:rFonts w:cs="GHEA Grapalat"/>
                <w:bCs/>
                <w:szCs w:val="22"/>
                <w:lang w:val="hy-AM" w:eastAsia="en-US"/>
              </w:rPr>
              <w:t>և</w:t>
            </w:r>
            <w:r w:rsidRPr="00D178DD">
              <w:rPr>
                <w:rFonts w:cs="Sylfaen"/>
                <w:bCs/>
                <w:szCs w:val="22"/>
                <w:lang w:val="hy-AM" w:eastAsia="en-US"/>
              </w:rPr>
              <w:t xml:space="preserve"> </w:t>
            </w:r>
            <w:r w:rsidRPr="00D178DD">
              <w:rPr>
                <w:rFonts w:cs="GHEA Grapalat"/>
                <w:bCs/>
                <w:szCs w:val="22"/>
                <w:lang w:val="hy-AM" w:eastAsia="en-US"/>
              </w:rPr>
              <w:t>դրամական</w:t>
            </w:r>
            <w:r w:rsidRPr="00D178DD">
              <w:rPr>
                <w:rFonts w:cs="Sylfaen"/>
                <w:bCs/>
                <w:szCs w:val="22"/>
                <w:lang w:val="hy-AM" w:eastAsia="en-US"/>
              </w:rPr>
              <w:t xml:space="preserve"> </w:t>
            </w:r>
            <w:r w:rsidRPr="00D178DD">
              <w:rPr>
                <w:rFonts w:cs="GHEA Grapalat"/>
                <w:bCs/>
                <w:szCs w:val="22"/>
                <w:lang w:val="hy-AM" w:eastAsia="en-US"/>
              </w:rPr>
              <w:t>փոխանցումների</w:t>
            </w:r>
            <w:r w:rsidRPr="00D178DD">
              <w:rPr>
                <w:rFonts w:cs="Sylfaen"/>
                <w:bCs/>
                <w:szCs w:val="22"/>
                <w:lang w:val="hy-AM" w:eastAsia="en-US"/>
              </w:rPr>
              <w:t xml:space="preserve"> </w:t>
            </w:r>
            <w:r w:rsidRPr="00D178DD">
              <w:rPr>
                <w:rFonts w:cs="GHEA Grapalat"/>
                <w:bCs/>
                <w:szCs w:val="22"/>
                <w:lang w:val="hy-AM" w:eastAsia="en-US"/>
              </w:rPr>
              <w:t>ներհոսքի</w:t>
            </w:r>
            <w:r w:rsidRPr="00D178DD">
              <w:rPr>
                <w:rFonts w:cs="Sylfaen"/>
                <w:bCs/>
                <w:szCs w:val="22"/>
                <w:lang w:val="hy-AM" w:eastAsia="en-US"/>
              </w:rPr>
              <w:t xml:space="preserve"> </w:t>
            </w:r>
            <w:r w:rsidRPr="00D178DD">
              <w:rPr>
                <w:rFonts w:cs="GHEA Grapalat"/>
                <w:bCs/>
                <w:szCs w:val="22"/>
                <w:lang w:val="hy-AM" w:eastAsia="en-US"/>
              </w:rPr>
              <w:t>բարձր</w:t>
            </w:r>
            <w:r w:rsidRPr="00D178DD">
              <w:rPr>
                <w:rFonts w:cs="Sylfaen"/>
                <w:bCs/>
                <w:szCs w:val="22"/>
                <w:lang w:val="hy-AM" w:eastAsia="en-US"/>
              </w:rPr>
              <w:t xml:space="preserve"> </w:t>
            </w:r>
            <w:r w:rsidRPr="00D178DD">
              <w:rPr>
                <w:rFonts w:cs="GHEA Grapalat"/>
                <w:bCs/>
                <w:szCs w:val="22"/>
                <w:lang w:val="hy-AM" w:eastAsia="en-US"/>
              </w:rPr>
              <w:t>աճերով</w:t>
            </w:r>
            <w:r w:rsidRPr="00D178DD">
              <w:rPr>
                <w:rFonts w:cs="Sylfaen"/>
                <w:bCs/>
                <w:szCs w:val="22"/>
                <w:lang w:val="hy-AM" w:eastAsia="en-US"/>
              </w:rPr>
              <w:t xml:space="preserve">: </w:t>
            </w:r>
            <w:r w:rsidRPr="00D178DD">
              <w:rPr>
                <w:rFonts w:cs="Sylfaen"/>
                <w:b w:val="0"/>
                <w:szCs w:val="22"/>
                <w:lang w:val="hy-AM" w:eastAsia="en-US"/>
              </w:rPr>
              <w:t xml:space="preserve">2022թ. հունվար-օգոստոս ամիսներին ՀՀ դրամի միջին փոխարժեքը </w:t>
            </w:r>
            <w:r w:rsidRPr="00D178DD">
              <w:rPr>
                <w:rFonts w:cs="Sylfaen"/>
                <w:b w:val="0"/>
                <w:szCs w:val="22"/>
                <w:lang w:val="hy-AM" w:eastAsia="en-US"/>
              </w:rPr>
              <w:lastRenderedPageBreak/>
              <w:t>կազմել է մոտ 453</w:t>
            </w:r>
            <w:r w:rsidRPr="00D178DD">
              <w:rPr>
                <w:rFonts w:ascii="Cambria Math" w:hAnsi="Cambria Math" w:cs="Cambria Math"/>
                <w:b w:val="0"/>
                <w:szCs w:val="22"/>
                <w:lang w:val="hy-AM" w:eastAsia="en-US"/>
              </w:rPr>
              <w:t>․</w:t>
            </w:r>
            <w:r w:rsidRPr="00D178DD">
              <w:rPr>
                <w:rFonts w:cs="Sylfaen"/>
                <w:b w:val="0"/>
                <w:szCs w:val="22"/>
                <w:lang w:val="hy-AM" w:eastAsia="en-US"/>
              </w:rPr>
              <w:t>3 ՀՀ դրամ ԱՄՆ դոլարի դիմաց՝ նախորդ տարվա նույն ժամանակահատվածի միջինի նկատմամբ արժևորվելով 13.5%-ով: 2022թ. հունվար-օգոստոս ամիսներին ՀՀ դրամը եվրոյի նկատմամբ արժևորվել է շուրջ 26.3%-ով՝ կազմելով 488</w:t>
            </w:r>
            <w:r w:rsidRPr="00D178DD">
              <w:rPr>
                <w:rFonts w:ascii="Cambria Math" w:hAnsi="Cambria Math" w:cs="Sylfaen"/>
                <w:b w:val="0"/>
                <w:szCs w:val="22"/>
                <w:lang w:val="hy-AM" w:eastAsia="en-US"/>
              </w:rPr>
              <w:t>․</w:t>
            </w:r>
            <w:r w:rsidRPr="00D178DD">
              <w:rPr>
                <w:rFonts w:cs="Sylfaen"/>
                <w:b w:val="0"/>
                <w:szCs w:val="22"/>
                <w:lang w:val="hy-AM" w:eastAsia="en-US"/>
              </w:rPr>
              <w:t>5 դրամ մեկ եվրոյի նկատմամբ, իսկ ռուսական ռուբլու նկատմամբ՝ 7.1%-ով՝ կազմելով 6</w:t>
            </w:r>
            <w:r w:rsidRPr="00D178DD">
              <w:rPr>
                <w:rFonts w:ascii="Cambria Math" w:hAnsi="Cambria Math" w:cs="Sylfaen"/>
                <w:b w:val="0"/>
                <w:szCs w:val="22"/>
                <w:lang w:val="hy-AM" w:eastAsia="en-US"/>
              </w:rPr>
              <w:t>․</w:t>
            </w:r>
            <w:r w:rsidRPr="00D178DD">
              <w:rPr>
                <w:rFonts w:cs="Sylfaen"/>
                <w:b w:val="0"/>
                <w:szCs w:val="22"/>
                <w:lang w:val="hy-AM" w:eastAsia="en-US"/>
              </w:rPr>
              <w:t xml:space="preserve">5 դրամ մեկ ռուբլու նկատմամբ, ինչը հիմնականում պայմանավորված է մարտ ամսին ռուբլու կտրուկ արժեզրկմամբ։ </w:t>
            </w:r>
          </w:p>
          <w:p w:rsidR="00D178DD" w:rsidRPr="00D178DD" w:rsidRDefault="00D178DD" w:rsidP="00D178DD">
            <w:pPr>
              <w:spacing w:before="0" w:after="120" w:line="276" w:lineRule="auto"/>
              <w:ind w:left="10" w:firstLine="557"/>
              <w:contextualSpacing w:val="0"/>
              <w:rPr>
                <w:rFonts w:cs="Sylfaen"/>
                <w:b w:val="0"/>
                <w:szCs w:val="22"/>
                <w:lang w:val="hy-AM" w:eastAsia="en-US"/>
              </w:rPr>
            </w:pPr>
            <w:r w:rsidRPr="00D178DD">
              <w:rPr>
                <w:bCs/>
                <w:szCs w:val="22"/>
                <w:lang w:val="hy-AM" w:eastAsia="en-US"/>
              </w:rPr>
              <w:t xml:space="preserve"> Անվանական և իրական արդյունավետ փոխարժեքի՝ տարեզկզբից նկատվող արժևորման միտումը շարունակում է պահպանվել։</w:t>
            </w:r>
            <w:r w:rsidRPr="00D178DD">
              <w:rPr>
                <w:b w:val="0"/>
                <w:szCs w:val="22"/>
                <w:lang w:val="hy-AM" w:eastAsia="en-US"/>
              </w:rPr>
              <w:t xml:space="preserve"> Այսպես, ՀՀ արտաքին առևտրի տեսանկյունից առավել կարևոր արժույթներից բաղկացած զամբյուղի նկատմամբ ՀՀ ազգային արժույթն</w:t>
            </w:r>
            <w:r w:rsidRPr="00D178DD">
              <w:rPr>
                <w:rFonts w:cs="Sylfaen"/>
                <w:b w:val="0"/>
                <w:szCs w:val="22"/>
                <w:lang w:val="hy-AM" w:eastAsia="en-US"/>
              </w:rPr>
              <w:t xml:space="preserve"> իրական արտահայտությամբ 2021թ. արժևորվել է 1.2%-ով, իսկ անվանական արտահայտությամբ՝ 1.4%-ով: 2022թ. հունվար-հուլիս ամիսներին ՀՀ դրամի իրական արդյունավետ փոխարժեքի արժևորումը կազմել է 19.1%, իսկ անվանականի արժևորումը՝ 23.2%՝ իր բացասական ազդեցությունը թողնելով տեղական ապրանքների արտաքին մրցունակության վրա:</w:t>
            </w:r>
          </w:p>
          <w:tbl>
            <w:tblPr>
              <w:tblStyle w:val="TableGrid9121"/>
              <w:tblpPr w:leftFromText="180" w:rightFromText="180" w:vertAnchor="page" w:horzAnchor="margin" w:tblpY="4486"/>
              <w:tblOverlap w:val="never"/>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5090"/>
            </w:tblGrid>
            <w:tr w:rsidR="00D178DD" w:rsidRPr="000C4EB4" w:rsidTr="004B2286">
              <w:trPr>
                <w:trHeight w:val="309"/>
              </w:trPr>
              <w:tc>
                <w:tcPr>
                  <w:tcW w:w="5181" w:type="dxa"/>
                </w:tcPr>
                <w:p w:rsidR="00D178DD" w:rsidRPr="00D178DD" w:rsidRDefault="00D178DD" w:rsidP="00D178DD">
                  <w:pPr>
                    <w:spacing w:before="0" w:line="240" w:lineRule="auto"/>
                    <w:ind w:right="-267" w:firstLine="0"/>
                    <w:contextualSpacing w:val="0"/>
                    <w:rPr>
                      <w:rFonts w:cs="Sylfaen"/>
                      <w:b w:val="0"/>
                      <w:i/>
                      <w:sz w:val="18"/>
                      <w:szCs w:val="18"/>
                      <w:lang w:val="hy-AM" w:eastAsia="en-US"/>
                    </w:rPr>
                  </w:pPr>
                  <w:r w:rsidRPr="00D178DD">
                    <w:rPr>
                      <w:rFonts w:cs="Sylfaen"/>
                      <w:i/>
                      <w:sz w:val="18"/>
                      <w:szCs w:val="18"/>
                      <w:lang w:val="hy-AM" w:eastAsia="en-US"/>
                    </w:rPr>
                    <w:t xml:space="preserve">Գծապատկեր 1.26. </w:t>
                  </w:r>
                  <w:r w:rsidRPr="00D178DD">
                    <w:rPr>
                      <w:rFonts w:cs="Sylfaen"/>
                      <w:b w:val="0"/>
                      <w:i/>
                      <w:sz w:val="18"/>
                      <w:szCs w:val="18"/>
                      <w:lang w:val="hy-AM" w:eastAsia="en-US"/>
                    </w:rPr>
                    <w:t xml:space="preserve">ՀՀ դրամի անվանական </w:t>
                  </w:r>
                </w:p>
                <w:p w:rsidR="00D178DD" w:rsidRPr="00D178DD" w:rsidRDefault="00D178DD" w:rsidP="00D178DD">
                  <w:pPr>
                    <w:spacing w:before="0" w:line="240" w:lineRule="auto"/>
                    <w:ind w:right="-267" w:firstLine="0"/>
                    <w:contextualSpacing w:val="0"/>
                    <w:rPr>
                      <w:rFonts w:cs="Sylfaen"/>
                      <w:b w:val="0"/>
                      <w:i/>
                      <w:sz w:val="18"/>
                      <w:szCs w:val="18"/>
                      <w:lang w:val="hy-AM" w:eastAsia="en-US"/>
                    </w:rPr>
                  </w:pPr>
                  <w:r w:rsidRPr="00D178DD">
                    <w:rPr>
                      <w:rFonts w:cs="Sylfaen"/>
                      <w:b w:val="0"/>
                      <w:i/>
                      <w:sz w:val="18"/>
                      <w:szCs w:val="18"/>
                      <w:lang w:val="hy-AM" w:eastAsia="en-US"/>
                    </w:rPr>
                    <w:t xml:space="preserve">փոխարժեքի օրական դինամիկան </w:t>
                  </w:r>
                </w:p>
                <w:p w:rsidR="00D178DD" w:rsidRPr="00D178DD" w:rsidRDefault="00D178DD" w:rsidP="00D178DD">
                  <w:pPr>
                    <w:spacing w:before="0" w:line="240" w:lineRule="auto"/>
                    <w:ind w:right="-267" w:firstLine="0"/>
                    <w:contextualSpacing w:val="0"/>
                    <w:rPr>
                      <w:rFonts w:cs="Sylfaen"/>
                      <w:b w:val="0"/>
                      <w:i/>
                      <w:sz w:val="18"/>
                      <w:szCs w:val="18"/>
                      <w:lang w:val="hy-AM" w:eastAsia="en-US"/>
                    </w:rPr>
                  </w:pPr>
                  <w:r w:rsidRPr="00D178DD">
                    <w:rPr>
                      <w:rFonts w:cs="Sylfaen"/>
                      <w:b w:val="0"/>
                      <w:i/>
                      <w:sz w:val="18"/>
                      <w:szCs w:val="18"/>
                      <w:lang w:val="hy-AM" w:eastAsia="en-US"/>
                    </w:rPr>
                    <w:t>հիմնական արժույթների նկատմամբ</w:t>
                  </w:r>
                  <w:r w:rsidRPr="00D178DD">
                    <w:rPr>
                      <w:lang w:val="hy-AM"/>
                    </w:rPr>
                    <w:t xml:space="preserve"> </w:t>
                  </w:r>
                  <w:r w:rsidRPr="00D178DD">
                    <w:rPr>
                      <w:rFonts w:cs="Sylfaen"/>
                      <w:b w:val="0"/>
                      <w:i/>
                      <w:sz w:val="18"/>
                      <w:szCs w:val="18"/>
                      <w:lang w:val="hy-AM" w:eastAsia="en-US"/>
                    </w:rPr>
                    <w:t>(աճ՝ դրամի արժևորում)</w:t>
                  </w:r>
                </w:p>
                <w:p w:rsidR="00D178DD" w:rsidRPr="00D178DD" w:rsidRDefault="00D178DD" w:rsidP="00D178DD">
                  <w:pPr>
                    <w:tabs>
                      <w:tab w:val="left" w:pos="0"/>
                      <w:tab w:val="num" w:pos="720"/>
                    </w:tabs>
                    <w:spacing w:before="0" w:line="276" w:lineRule="auto"/>
                    <w:ind w:firstLine="0"/>
                    <w:rPr>
                      <w:rFonts w:cs="Sylfaen"/>
                      <w:b w:val="0"/>
                      <w:i/>
                      <w:sz w:val="18"/>
                      <w:szCs w:val="18"/>
                      <w:lang w:val="hy-AM" w:eastAsia="en-US"/>
                    </w:rPr>
                  </w:pPr>
                  <w:r w:rsidRPr="00D178DD">
                    <w:rPr>
                      <w:b w:val="0"/>
                      <w:i/>
                      <w:sz w:val="16"/>
                      <w:szCs w:val="16"/>
                      <w:lang w:val="hy-AM"/>
                    </w:rPr>
                    <w:t>Աղբյուրը՝ ՀՀ ԿԲ, ՀՀ ՖՆ հաշվարկներ</w:t>
                  </w:r>
                </w:p>
              </w:tc>
              <w:tc>
                <w:tcPr>
                  <w:tcW w:w="5090" w:type="dxa"/>
                </w:tcPr>
                <w:p w:rsidR="00D178DD" w:rsidRPr="00D178DD" w:rsidRDefault="00D178DD" w:rsidP="00D178DD">
                  <w:pPr>
                    <w:spacing w:before="0" w:line="240" w:lineRule="auto"/>
                    <w:ind w:right="217" w:firstLine="0"/>
                    <w:contextualSpacing w:val="0"/>
                    <w:rPr>
                      <w:rFonts w:cs="Sylfaen"/>
                      <w:b w:val="0"/>
                      <w:i/>
                      <w:sz w:val="18"/>
                      <w:szCs w:val="18"/>
                      <w:lang w:val="hy-AM" w:eastAsia="en-US"/>
                    </w:rPr>
                  </w:pPr>
                  <w:r w:rsidRPr="00D178DD">
                    <w:rPr>
                      <w:rFonts w:cs="Sylfaen"/>
                      <w:i/>
                      <w:sz w:val="18"/>
                      <w:szCs w:val="18"/>
                      <w:lang w:val="hy-AM" w:eastAsia="en-US"/>
                    </w:rPr>
                    <w:t>Գծապատկեր 1.27.</w:t>
                  </w:r>
                  <w:r w:rsidRPr="00D178DD">
                    <w:rPr>
                      <w:rFonts w:cs="Sylfaen"/>
                      <w:b w:val="0"/>
                      <w:i/>
                      <w:sz w:val="18"/>
                      <w:szCs w:val="18"/>
                      <w:lang w:val="hy-AM" w:eastAsia="en-US"/>
                    </w:rPr>
                    <w:t xml:space="preserve"> ՀՀ իրական և անվանական արդյունավետ փոխարժեքների կուտակային տ/տ աճերի դինամիկան (աճ՝ արժևորում)</w:t>
                  </w:r>
                </w:p>
                <w:p w:rsidR="00D178DD" w:rsidRPr="00D178DD" w:rsidRDefault="00D178DD" w:rsidP="00D178DD">
                  <w:pPr>
                    <w:tabs>
                      <w:tab w:val="left" w:pos="0"/>
                      <w:tab w:val="num" w:pos="720"/>
                    </w:tabs>
                    <w:spacing w:before="0" w:line="276" w:lineRule="auto"/>
                    <w:ind w:firstLine="0"/>
                    <w:rPr>
                      <w:rFonts w:cs="Sylfaen"/>
                      <w:b w:val="0"/>
                      <w:sz w:val="16"/>
                      <w:szCs w:val="16"/>
                      <w:lang w:val="hy-AM" w:eastAsia="en-US"/>
                    </w:rPr>
                  </w:pPr>
                  <w:r w:rsidRPr="00D178DD">
                    <w:rPr>
                      <w:b w:val="0"/>
                      <w:i/>
                      <w:sz w:val="16"/>
                      <w:szCs w:val="16"/>
                      <w:lang w:val="hy-AM"/>
                    </w:rPr>
                    <w:t>Աղբյուրը՝ ՀՀ ԿԲ, ՀՀ ՖՆ հաշվարկներ</w:t>
                  </w:r>
                </w:p>
              </w:tc>
            </w:tr>
          </w:tbl>
          <w:p w:rsidR="00D178DD" w:rsidRPr="00D178DD" w:rsidRDefault="00D178DD" w:rsidP="00D178DD">
            <w:pPr>
              <w:spacing w:before="0" w:after="120" w:line="276" w:lineRule="auto"/>
              <w:ind w:firstLine="539"/>
              <w:contextualSpacing w:val="0"/>
              <w:rPr>
                <w:rFonts w:cs="Sylfaen"/>
                <w:b w:val="0"/>
                <w:sz w:val="18"/>
                <w:szCs w:val="18"/>
                <w:lang w:val="hy-AM" w:eastAsia="en-US"/>
              </w:rPr>
            </w:pPr>
            <w:r w:rsidRPr="00D178DD">
              <w:rPr>
                <w:rFonts w:ascii="Times New Roman" w:hAnsi="Times New Roman"/>
                <w:b w:val="0"/>
                <w:noProof/>
                <w:sz w:val="24"/>
                <w:lang w:val="en-US" w:eastAsia="en-US"/>
              </w:rPr>
              <w:drawing>
                <wp:anchor distT="0" distB="0" distL="114300" distR="114300" simplePos="0" relativeHeight="251673600" behindDoc="1" locked="0" layoutInCell="1" allowOverlap="1" wp14:anchorId="7F37D422" wp14:editId="1BD21630">
                  <wp:simplePos x="0" y="0"/>
                  <wp:positionH relativeFrom="margin">
                    <wp:posOffset>-65953</wp:posOffset>
                  </wp:positionH>
                  <wp:positionV relativeFrom="paragraph">
                    <wp:posOffset>802057</wp:posOffset>
                  </wp:positionV>
                  <wp:extent cx="3145790" cy="2127250"/>
                  <wp:effectExtent l="0" t="0" r="16510" b="6350"/>
                  <wp:wrapTight wrapText="bothSides">
                    <wp:wrapPolygon edited="0">
                      <wp:start x="0" y="0"/>
                      <wp:lineTo x="0" y="21471"/>
                      <wp:lineTo x="21583" y="21471"/>
                      <wp:lineTo x="21583" y="0"/>
                      <wp:lineTo x="0" y="0"/>
                    </wp:wrapPolygon>
                  </wp:wrapTight>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D178DD">
              <w:rPr>
                <w:noProof/>
                <w:lang w:val="en-US" w:eastAsia="en-US"/>
              </w:rPr>
              <w:drawing>
                <wp:anchor distT="0" distB="0" distL="114300" distR="114300" simplePos="0" relativeHeight="251674624" behindDoc="1" locked="0" layoutInCell="1" allowOverlap="1" wp14:anchorId="65A9F066" wp14:editId="43786567">
                  <wp:simplePos x="0" y="0"/>
                  <wp:positionH relativeFrom="column">
                    <wp:posOffset>3365691</wp:posOffset>
                  </wp:positionH>
                  <wp:positionV relativeFrom="paragraph">
                    <wp:posOffset>792593</wp:posOffset>
                  </wp:positionV>
                  <wp:extent cx="3090545" cy="2127250"/>
                  <wp:effectExtent l="0" t="0" r="14605" b="6350"/>
                  <wp:wrapTight wrapText="bothSides">
                    <wp:wrapPolygon edited="0">
                      <wp:start x="0" y="0"/>
                      <wp:lineTo x="0" y="21471"/>
                      <wp:lineTo x="21569" y="21471"/>
                      <wp:lineTo x="21569" y="0"/>
                      <wp:lineTo x="0" y="0"/>
                    </wp:wrapPolygon>
                  </wp:wrapTight>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tc>
        <w:tc>
          <w:tcPr>
            <w:tcW w:w="222" w:type="dxa"/>
          </w:tcPr>
          <w:p w:rsidR="00D178DD" w:rsidRPr="00D178DD" w:rsidRDefault="00D178DD" w:rsidP="00D178DD">
            <w:pPr>
              <w:spacing w:before="0" w:line="240" w:lineRule="auto"/>
              <w:ind w:right="217" w:firstLine="0"/>
              <w:contextualSpacing w:val="0"/>
              <w:rPr>
                <w:rFonts w:cs="Sylfaen"/>
                <w:b w:val="0"/>
                <w:i/>
                <w:noProof/>
                <w:sz w:val="18"/>
                <w:szCs w:val="18"/>
                <w:lang w:val="hy-AM" w:eastAsia="en-US"/>
              </w:rPr>
            </w:pPr>
          </w:p>
        </w:tc>
      </w:tr>
    </w:tbl>
    <w:p w:rsidR="00D178DD" w:rsidRPr="00D178DD" w:rsidRDefault="00D178DD" w:rsidP="00D178DD">
      <w:pPr>
        <w:spacing w:before="0" w:after="120" w:line="240" w:lineRule="auto"/>
        <w:ind w:firstLine="0"/>
        <w:contextualSpacing w:val="0"/>
        <w:jc w:val="left"/>
        <w:rPr>
          <w:rFonts w:eastAsia="Calibri"/>
          <w:lang w:val="hy-AM"/>
        </w:rPr>
      </w:pPr>
      <w:bookmarkStart w:id="44" w:name="_Toc106795032"/>
      <w:bookmarkStart w:id="45" w:name="_Toc106877332"/>
      <w:r w:rsidRPr="00D178DD">
        <w:rPr>
          <w:rFonts w:eastAsia="Calibri"/>
          <w:bCs/>
          <w:sz w:val="24"/>
          <w:lang w:val="hy-AM" w:eastAsia="en-US"/>
        </w:rPr>
        <w:lastRenderedPageBreak/>
        <w:t>1.3.5. Գնաճ և դրամավարկային քաղաքականություն</w:t>
      </w:r>
      <w:bookmarkEnd w:id="44"/>
      <w:bookmarkEnd w:id="45"/>
      <w:r w:rsidRPr="00D178DD">
        <w:rPr>
          <w:rFonts w:eastAsia="Calibri"/>
          <w:bCs/>
          <w:sz w:val="24"/>
          <w:lang w:val="hy-AM" w:eastAsia="en-US"/>
        </w:rPr>
        <w:t xml:space="preserve"> </w:t>
      </w:r>
    </w:p>
    <w:p w:rsidR="00D178DD" w:rsidRPr="00D178DD" w:rsidRDefault="00D178DD" w:rsidP="00D178DD">
      <w:pPr>
        <w:spacing w:after="120" w:line="276" w:lineRule="auto"/>
        <w:rPr>
          <w:rFonts w:eastAsia="Calibri" w:cs="Sylfaen"/>
          <w:b w:val="0"/>
          <w:lang w:val="hy-AM"/>
        </w:rPr>
      </w:pPr>
      <w:r w:rsidRPr="00D178DD">
        <w:rPr>
          <w:rFonts w:eastAsia="Calibri" w:cs="Sylfaen"/>
          <w:lang w:val="hy-AM"/>
        </w:rPr>
        <w:t>2021թ.-ին գրանցվել է գնաճի զգալի արագացում, ինչի արդյունքում այն բարձր է գտնվել 4 տոկոս (±1.5) թիրախային միջակայքից:</w:t>
      </w:r>
      <w:r w:rsidRPr="00D178DD">
        <w:rPr>
          <w:rFonts w:eastAsia="Calibri" w:cs="Sylfaen"/>
          <w:b w:val="0"/>
          <w:lang w:val="hy-AM"/>
        </w:rPr>
        <w:t xml:space="preserve"> Գնաճի արագացմանը նպաստել են ինչպես </w:t>
      </w:r>
      <w:r w:rsidRPr="00D178DD">
        <w:rPr>
          <w:rFonts w:eastAsia="GHEA Grapalat" w:cs="GHEA Grapalat"/>
          <w:b w:val="0"/>
          <w:lang w:val="hy-AM"/>
        </w:rPr>
        <w:t>առաջարկի (միջազգային ապրանքահումքային շուկաներում դրսևորված գների աճ, բեռնափոխադրումների սակագների աճ, տարվա առաջին կեսին նախորդ համադրելի ժամանակահատվածի համեմատ ՀՀ դրամի արժեզրկված դիրք), այնպես էլ՝ պահանջարկի (մասնավոր սպառման աճ, գնաճային սպասումների ավելացում) գործոնները, հանգեցնելով միջին գնաճի արագացմանը մինչև 7.2%` նախորդող տարվա 1.2% ցուցանիշի դիմաց</w:t>
      </w:r>
      <w:r w:rsidRPr="00D178DD">
        <w:rPr>
          <w:rFonts w:eastAsia="Calibri" w:cs="Sylfaen"/>
          <w:b w:val="0"/>
          <w:lang w:val="hy-AM"/>
        </w:rPr>
        <w:t xml:space="preserve">։ Իսկ 12-ամսյա գնաճը 2021թ.-ի դեկտեմբերին կազմել է 7.7%՝ 2020թ.-ի դեկտեմբերին գրանցված 3.7% ցուցանիշի դիմաց։ </w:t>
      </w:r>
    </w:p>
    <w:p w:rsidR="00D178DD" w:rsidRPr="00D178DD" w:rsidRDefault="00D178DD" w:rsidP="00D178DD">
      <w:pPr>
        <w:spacing w:after="120" w:line="276" w:lineRule="auto"/>
        <w:rPr>
          <w:rFonts w:eastAsia="Calibri" w:cs="Sylfaen"/>
          <w:b w:val="0"/>
          <w:lang w:val="hy-AM"/>
        </w:rPr>
      </w:pPr>
      <w:r w:rsidRPr="00D178DD">
        <w:rPr>
          <w:rFonts w:eastAsia="Calibri" w:cs="Sylfaen"/>
          <w:bCs/>
          <w:lang w:val="hy-AM"/>
        </w:rPr>
        <w:t>2022թ. գնաճի տեմպերը շարունակել են արագանալ։</w:t>
      </w:r>
      <w:r w:rsidRPr="00D178DD">
        <w:rPr>
          <w:rFonts w:eastAsia="Calibri" w:cs="Sylfaen"/>
          <w:lang w:val="hy-AM"/>
        </w:rPr>
        <w:t xml:space="preserve"> </w:t>
      </w:r>
      <w:r w:rsidRPr="00D178DD">
        <w:rPr>
          <w:rFonts w:eastAsia="Calibri" w:cs="Sylfaen"/>
          <w:b w:val="0"/>
          <w:lang w:val="hy-AM"/>
        </w:rPr>
        <w:t xml:space="preserve">2022թ. սկզբին գնաճը 2021թ.-ի տարեվերջի համեմատությամբ որոշակիորեն դանդաղել է, ապա՝ մարտ ամսից սկսած արագացել՝ պայմանավորված ռուս-ուկրաինական հակամարտության սրման արդյունքում միջազգային ապրանքահումքային շուկաներում դիտված գների կտրուկ աճով, ՀՀ դրամի փոփարժեքի տատանողականությամբ, գնաճային սպասումների ավելացմամբ, համախառն </w:t>
      </w:r>
      <w:r w:rsidRPr="00D178DD">
        <w:rPr>
          <w:rFonts w:eastAsia="Calibri" w:cs="Sylfaen"/>
          <w:b w:val="0"/>
          <w:lang w:val="hy-AM"/>
        </w:rPr>
        <w:lastRenderedPageBreak/>
        <w:t>պահանջարկի աճով (այդ թվում՝ օտարերկյա այցելուների կտրուկ աճով պայմանավորված), ինչպես նաև կարգավորվող ծառայությունների սակագների աճի շարունակական ազդեցությամբ: Արդյունքում 2022թ.-ի հունիսին 12 ամսյա գնաճը կազմել է 10</w:t>
      </w:r>
      <w:r w:rsidRPr="00D178DD">
        <w:rPr>
          <w:rFonts w:ascii="Cambria Math" w:eastAsia="Calibri" w:hAnsi="Cambria Math" w:cs="Cambria Math"/>
          <w:b w:val="0"/>
          <w:lang w:val="hy-AM"/>
        </w:rPr>
        <w:t>․</w:t>
      </w:r>
      <w:r w:rsidRPr="00D178DD">
        <w:rPr>
          <w:rFonts w:eastAsia="Calibri" w:cs="Sylfaen"/>
          <w:b w:val="0"/>
          <w:lang w:val="hy-AM"/>
        </w:rPr>
        <w:t>3%՝ օգոստոսին նվազելով մինչև 9.1%, իսկ միջին գնաճը՝ 8.4%: Նշված ժամանակահատվածում ևս գնաճը հիմնականում պայմանավորված է եղել սննդամթերքի և ոչ ալկոհոլային խմիչքների ապրանքախմբով (12 ամսյա գնաճին նպաստումը կազմել է 4.7%-ային կետ, իսկ միջին գնաճին՝ 4</w:t>
      </w:r>
      <w:r w:rsidRPr="00D178DD">
        <w:rPr>
          <w:rFonts w:ascii="MS Mincho" w:eastAsia="MS Mincho" w:hAnsi="MS Mincho" w:cs="MS Mincho"/>
          <w:b w:val="0"/>
          <w:lang w:val="hy-AM"/>
        </w:rPr>
        <w:t>.</w:t>
      </w:r>
      <w:r w:rsidRPr="00D178DD">
        <w:rPr>
          <w:rFonts w:eastAsia="Calibri" w:cs="Sylfaen"/>
          <w:b w:val="0"/>
          <w:lang w:val="hy-AM"/>
        </w:rPr>
        <w:t>9%-ային կետ), միաժամանակ բարձրացել է ծառայությունների նպաստումը գնաճին</w:t>
      </w:r>
      <w:r w:rsidRPr="00D178DD">
        <w:rPr>
          <w:rFonts w:eastAsia="Calibri" w:cs="Sylfaen"/>
          <w:b w:val="0"/>
          <w:sz w:val="20"/>
          <w:lang w:val="hy-AM"/>
        </w:rPr>
        <w:t>։</w:t>
      </w:r>
    </w:p>
    <w:p w:rsidR="00D178DD" w:rsidRPr="00D178DD" w:rsidRDefault="00D178DD" w:rsidP="00D178DD">
      <w:pPr>
        <w:spacing w:after="120" w:line="276" w:lineRule="auto"/>
        <w:rPr>
          <w:rFonts w:eastAsia="Calibri" w:cs="Sylfaen"/>
          <w:b w:val="0"/>
          <w:lang w:val="hy-AM"/>
        </w:rPr>
      </w:pPr>
      <w:r w:rsidRPr="00D178DD">
        <w:rPr>
          <w:rFonts w:eastAsia="Calibri" w:cs="Sylfaen"/>
          <w:lang w:val="hy-AM"/>
        </w:rPr>
        <w:t>2021թ</w:t>
      </w:r>
      <w:r w:rsidRPr="00D178DD">
        <w:rPr>
          <w:rFonts w:ascii="Cambria Math" w:eastAsia="Calibri" w:hAnsi="Cambria Math" w:cs="Cambria Math"/>
          <w:lang w:val="hy-AM"/>
        </w:rPr>
        <w:t>․</w:t>
      </w:r>
      <w:r w:rsidRPr="00D178DD">
        <w:rPr>
          <w:rFonts w:eastAsia="Calibri" w:cs="Sylfaen"/>
          <w:lang w:val="hy-AM"/>
        </w:rPr>
        <w:t>-ի ընթացքում ԿԲ-ն իրականացրել է զսպող քաղաքականություն՝</w:t>
      </w:r>
      <w:r w:rsidRPr="00D178DD">
        <w:rPr>
          <w:rFonts w:eastAsia="Calibri" w:cs="Sylfaen"/>
          <w:b w:val="0"/>
          <w:lang w:val="hy-AM"/>
        </w:rPr>
        <w:t xml:space="preserve"> 2020թ. դեկտեմբերից մինչև 2021թ. դեկտեմբեր վերաֆինանսավորման տոկոսադրույքը բարձրացնելով 3.5 տոկոսային կետով և հասցնելով 7.75%-ի։ Տոկոսադրույքի բարձրացմամբ ԿԲ-ն արձագանքել է մի կողմից </w:t>
      </w:r>
      <w:r w:rsidRPr="00D178DD">
        <w:rPr>
          <w:rFonts w:eastAsia="GHEA Grapalat" w:cs="GHEA Grapalat"/>
          <w:b w:val="0"/>
          <w:lang w:val="hy-AM"/>
        </w:rPr>
        <w:t>ներքին տնտեսությունում, մյուս կողմից՝ միջազգային պարենային շուկաներում գնաճային զարգացումներին և գնաճային սպասումների ավելացմանը:</w:t>
      </w:r>
      <w:r w:rsidRPr="00D178DD">
        <w:rPr>
          <w:rFonts w:eastAsia="Calibri" w:cs="Sylfaen"/>
          <w:b w:val="0"/>
          <w:lang w:val="hy-AM"/>
        </w:rPr>
        <w:t xml:space="preserve"> </w:t>
      </w:r>
    </w:p>
    <w:p w:rsidR="00D178DD" w:rsidRPr="00D178DD" w:rsidRDefault="00D178DD" w:rsidP="00D178DD">
      <w:pPr>
        <w:spacing w:after="120" w:line="276" w:lineRule="auto"/>
        <w:rPr>
          <w:rFonts w:eastAsia="Calibri" w:cs="Sylfaen"/>
          <w:b w:val="0"/>
          <w:lang w:val="hy-AM"/>
        </w:rPr>
      </w:pPr>
      <w:r w:rsidRPr="00D178DD">
        <w:rPr>
          <w:rFonts w:eastAsia="Calibri" w:cs="Sylfaen"/>
          <w:bCs/>
          <w:lang w:val="hy-AM"/>
        </w:rPr>
        <w:t>2022թ. հունվար–օգոստոս ամիսներին ՀՀ ԿԲ-ն շարունակել է բարձրացնել վերաֆինանսավորման տոկոսադրույքը ընդհանուր առմամբ 1.5 տոկոսային կետով`</w:t>
      </w:r>
      <w:r w:rsidRPr="00D178DD">
        <w:rPr>
          <w:rFonts w:eastAsia="Calibri" w:cs="Sylfaen"/>
          <w:b w:val="0"/>
          <w:lang w:val="hy-AM"/>
        </w:rPr>
        <w:t xml:space="preserve"> արձագանքելով ռուս-ուկրաինական ռազմական հակամարտության արդյունքում միջազգային ապրանքահումքային շուկաներում  գնաճի նոր ալիքի հետևանքով առաջացած գնաճային սպասումների աճին և ներքին պահանջարկի բարձր աճի հետևանքով ձևավորվող գնաճային ճնշումներին</w:t>
      </w:r>
      <w:r w:rsidRPr="00D178DD" w:rsidDel="005253D1">
        <w:rPr>
          <w:rFonts w:eastAsia="Calibri" w:cs="Sylfaen"/>
          <w:b w:val="0"/>
          <w:lang w:val="hy-AM"/>
        </w:rPr>
        <w:t xml:space="preserve"> </w:t>
      </w:r>
      <w:r w:rsidRPr="00D178DD">
        <w:rPr>
          <w:rFonts w:eastAsia="Calibri" w:cs="Sylfaen"/>
          <w:b w:val="0"/>
          <w:lang w:val="hy-AM"/>
        </w:rPr>
        <w:t xml:space="preserve">։ </w:t>
      </w:r>
    </w:p>
    <w:p w:rsidR="00D178DD" w:rsidRPr="00D178DD" w:rsidRDefault="00D178DD" w:rsidP="00D178DD">
      <w:pPr>
        <w:spacing w:after="120" w:line="276" w:lineRule="auto"/>
        <w:rPr>
          <w:rFonts w:eastAsia="Calibri" w:cs="Sylfaen"/>
          <w:b w:val="0"/>
          <w:lang w:val="hy-AM"/>
        </w:rPr>
      </w:pPr>
      <w:r w:rsidRPr="00D178DD">
        <w:rPr>
          <w:rFonts w:eastAsia="Calibri" w:cs="Sylfaen"/>
          <w:u w:val="single"/>
          <w:lang w:val="hy-AM"/>
        </w:rPr>
        <w:t>Կանխատեսում</w:t>
      </w:r>
      <w:r w:rsidRPr="00D178DD">
        <w:rPr>
          <w:rFonts w:eastAsia="Calibri" w:cs="Sylfaen"/>
          <w:u w:val="single"/>
          <w:lang w:val="es-ES"/>
        </w:rPr>
        <w:t>.</w:t>
      </w:r>
      <w:r w:rsidRPr="00D178DD">
        <w:rPr>
          <w:rFonts w:eastAsia="Calibri" w:cs="Sylfaen"/>
          <w:lang w:val="es-ES"/>
        </w:rPr>
        <w:t xml:space="preserve"> </w:t>
      </w:r>
      <w:r w:rsidRPr="00D178DD">
        <w:rPr>
          <w:rFonts w:eastAsia="Calibri" w:cs="Sylfaen"/>
          <w:b w:val="0"/>
          <w:lang w:val="es-ES"/>
        </w:rPr>
        <w:t>202</w:t>
      </w:r>
      <w:r w:rsidRPr="00D178DD">
        <w:rPr>
          <w:rFonts w:eastAsia="Calibri" w:cs="Sylfaen"/>
          <w:b w:val="0"/>
          <w:lang w:val="hy-AM"/>
        </w:rPr>
        <w:t>2</w:t>
      </w:r>
      <w:r w:rsidRPr="00D178DD">
        <w:rPr>
          <w:rFonts w:eastAsia="Calibri" w:cs="Sylfaen"/>
          <w:b w:val="0"/>
          <w:lang w:val="es-ES"/>
        </w:rPr>
        <w:t>թ</w:t>
      </w:r>
      <w:r w:rsidRPr="00D178DD">
        <w:rPr>
          <w:rFonts w:eastAsia="Calibri" w:cs="Sylfaen"/>
          <w:b w:val="0"/>
          <w:lang w:val="hy-AM"/>
        </w:rPr>
        <w:t>.</w:t>
      </w:r>
      <w:r w:rsidRPr="00D178DD">
        <w:rPr>
          <w:rFonts w:eastAsia="Calibri" w:cs="Sylfaen"/>
          <w:b w:val="0"/>
          <w:lang w:val="es-ES"/>
        </w:rPr>
        <w:t xml:space="preserve"> 12-ամսա գնաճը </w:t>
      </w:r>
      <w:r w:rsidRPr="00D178DD">
        <w:rPr>
          <w:rFonts w:eastAsia="Calibri" w:cs="Sylfaen"/>
          <w:b w:val="0"/>
          <w:lang w:val="hy-AM"/>
        </w:rPr>
        <w:t>կգերազանցի թիրախային միջակայքը՝</w:t>
      </w:r>
      <w:r w:rsidRPr="00D178DD">
        <w:rPr>
          <w:rFonts w:eastAsia="Calibri" w:cs="Sylfaen"/>
          <w:b w:val="0"/>
          <w:lang w:val="es-ES"/>
        </w:rPr>
        <w:t xml:space="preserve"> կազմելով </w:t>
      </w:r>
      <w:r w:rsidRPr="00D178DD">
        <w:rPr>
          <w:rFonts w:eastAsia="Calibri" w:cs="Sylfaen"/>
          <w:b w:val="0"/>
          <w:lang w:val="hy-AM"/>
        </w:rPr>
        <w:t>8.</w:t>
      </w:r>
      <w:r w:rsidRPr="00D178DD">
        <w:rPr>
          <w:rFonts w:eastAsia="Calibri" w:cs="Sylfaen"/>
          <w:b w:val="0"/>
          <w:lang w:val="es-ES"/>
        </w:rPr>
        <w:t>5%</w:t>
      </w:r>
      <w:r w:rsidRPr="00D178DD">
        <w:rPr>
          <w:rFonts w:eastAsia="Calibri" w:cs="Sylfaen"/>
          <w:b w:val="0"/>
          <w:lang w:val="hy-AM"/>
        </w:rPr>
        <w:t xml:space="preserve">, իսկ միջին գնաճը կկազմի </w:t>
      </w:r>
      <w:r w:rsidRPr="00D178DD">
        <w:rPr>
          <w:rFonts w:eastAsia="Calibri" w:cs="Sylfaen"/>
          <w:b w:val="0"/>
          <w:lang w:val="es-ES"/>
        </w:rPr>
        <w:t>8.1</w:t>
      </w:r>
      <w:r w:rsidRPr="00D178DD">
        <w:rPr>
          <w:rFonts w:eastAsia="Calibri" w:cs="Sylfaen"/>
          <w:b w:val="0"/>
          <w:lang w:val="hy-AM"/>
        </w:rPr>
        <w:t>%</w:t>
      </w:r>
      <w:r w:rsidRPr="00D178DD">
        <w:rPr>
          <w:rFonts w:eastAsia="Calibri" w:cs="Sylfaen"/>
          <w:b w:val="0"/>
          <w:lang w:val="es-ES"/>
        </w:rPr>
        <w:t>:</w:t>
      </w:r>
      <w:r w:rsidRPr="00D178DD">
        <w:rPr>
          <w:rFonts w:eastAsia="Calibri" w:cs="Sylfaen"/>
          <w:b w:val="0"/>
          <w:lang w:val="hy-AM"/>
        </w:rPr>
        <w:t xml:space="preserve"> Միջնաժամկետ հատվածում, իրականացվող</w:t>
      </w:r>
      <w:r w:rsidRPr="00D178DD">
        <w:rPr>
          <w:rFonts w:eastAsia="Calibri" w:cs="Sylfaen"/>
          <w:b w:val="0"/>
          <w:lang w:val="es-ES"/>
        </w:rPr>
        <w:t xml:space="preserve"> </w:t>
      </w:r>
      <w:r w:rsidRPr="00D178DD">
        <w:rPr>
          <w:rFonts w:eastAsia="Calibri" w:cs="Sylfaen"/>
          <w:b w:val="0"/>
          <w:lang w:val="hy-AM"/>
        </w:rPr>
        <w:t>դրամավարկային քաղաքականության և աստիճանաբար մեղմվող</w:t>
      </w:r>
      <w:r w:rsidRPr="00D178DD">
        <w:rPr>
          <w:rFonts w:eastAsia="Calibri" w:cs="Sylfaen"/>
          <w:b w:val="0"/>
          <w:lang w:val="es-ES"/>
        </w:rPr>
        <w:t xml:space="preserve"> </w:t>
      </w:r>
      <w:r w:rsidRPr="00D178DD">
        <w:rPr>
          <w:rFonts w:eastAsia="Calibri" w:cs="Sylfaen"/>
          <w:b w:val="0"/>
          <w:lang w:val="hy-AM"/>
        </w:rPr>
        <w:t>ամբողջական պահանջարկի պարագայում գնաճը, կարճաժամկետ</w:t>
      </w:r>
      <w:r w:rsidRPr="00D178DD">
        <w:rPr>
          <w:rFonts w:eastAsia="Calibri" w:cs="Sylfaen"/>
          <w:b w:val="0"/>
          <w:lang w:val="es-ES"/>
        </w:rPr>
        <w:t xml:space="preserve"> </w:t>
      </w:r>
      <w:r w:rsidRPr="00D178DD">
        <w:rPr>
          <w:rFonts w:eastAsia="Calibri" w:cs="Sylfaen"/>
          <w:b w:val="0"/>
          <w:lang w:val="hy-AM"/>
        </w:rPr>
        <w:t>հատվածում մնալով թիրախից բարձր մակարդակում, կսկսի աստիճանաբար նվազել՝ 2023 թ. ընթացքում մոտենալով իր նպատակային</w:t>
      </w:r>
      <w:r w:rsidRPr="00D178DD">
        <w:rPr>
          <w:rFonts w:eastAsia="Calibri" w:cs="Sylfaen"/>
          <w:b w:val="0"/>
          <w:lang w:val="es-ES"/>
        </w:rPr>
        <w:t xml:space="preserve"> </w:t>
      </w:r>
      <w:r w:rsidRPr="00D178DD">
        <w:rPr>
          <w:rFonts w:eastAsia="Calibri" w:cs="Sylfaen"/>
          <w:b w:val="0"/>
          <w:lang w:val="hy-AM"/>
        </w:rPr>
        <w:t>ցուցանիշին։</w:t>
      </w:r>
    </w:p>
    <w:p w:rsidR="00D178DD" w:rsidRPr="00D178DD" w:rsidRDefault="00D178DD" w:rsidP="00D178DD">
      <w:pPr>
        <w:spacing w:after="120" w:line="276" w:lineRule="auto"/>
        <w:rPr>
          <w:rFonts w:eastAsia="Calibri" w:cs="Sylfaen"/>
          <w:b w:val="0"/>
          <w:lang w:val="hy-AM"/>
        </w:rPr>
      </w:pPr>
      <w:r w:rsidRPr="00D178DD">
        <w:rPr>
          <w:rFonts w:eastAsia="Calibri" w:cs="Sylfaen"/>
          <w:b w:val="0"/>
          <w:lang w:val="hy-AM"/>
        </w:rPr>
        <w:t>Կանխատեսվող հորիզոնում գնաճի կանխատեսված հետագծից շեղման ռիսկերը հավասարակշռված են, և դրանց ցանկացած դրսևորման դեպքում ԿԲ-ն պատրաստ է համապատասխանորեն արձագանքելու՝ միջնաժամկետ հատվածում գների կայունության նպատակի իրագործումն ապահովելու համար</w:t>
      </w:r>
      <w:r w:rsidRPr="00D178DD">
        <w:rPr>
          <w:rFonts w:ascii="GHEAGrapalat" w:eastAsiaTheme="minorHAnsi" w:hAnsi="GHEAGrapalat" w:cs="GHEAGrapalat"/>
          <w:b w:val="0"/>
          <w:sz w:val="20"/>
          <w:szCs w:val="20"/>
          <w:vertAlign w:val="superscript"/>
          <w:lang w:val="hy-AM"/>
        </w:rPr>
        <w:footnoteReference w:id="7"/>
      </w:r>
      <w:r w:rsidRPr="00D178DD">
        <w:rPr>
          <w:rFonts w:ascii="Arial" w:eastAsiaTheme="minorHAnsi" w:hAnsi="Arial" w:cs="Arial"/>
          <w:b w:val="0"/>
          <w:sz w:val="20"/>
          <w:szCs w:val="20"/>
          <w:lang w:val="hy-AM"/>
        </w:rPr>
        <w:t>։</w:t>
      </w:r>
    </w:p>
    <w:p w:rsidR="00D178DD" w:rsidRPr="00D178DD" w:rsidRDefault="00D178DD" w:rsidP="00D178DD">
      <w:pPr>
        <w:spacing w:after="120" w:line="276" w:lineRule="auto"/>
        <w:rPr>
          <w:rFonts w:cs="Sylfaen"/>
          <w:i/>
          <w:lang w:val="hy-AM"/>
        </w:rPr>
      </w:pPr>
    </w:p>
    <w:p w:rsidR="00D178DD" w:rsidRPr="00D178DD" w:rsidRDefault="00D178DD" w:rsidP="00D178DD">
      <w:pPr>
        <w:spacing w:after="120" w:line="276" w:lineRule="auto"/>
        <w:rPr>
          <w:rFonts w:cs="Sylfaen"/>
          <w:i/>
          <w:sz w:val="20"/>
          <w:szCs w:val="20"/>
          <w:lang w:val="hy-AM"/>
        </w:rPr>
      </w:pPr>
      <w:r w:rsidRPr="00D178DD">
        <w:rPr>
          <w:rFonts w:cs="Sylfaen"/>
          <w:i/>
          <w:lang w:val="hy-AM"/>
        </w:rPr>
        <w:t>Գծապատկեր 1.28.</w:t>
      </w:r>
      <w:r w:rsidRPr="00D178DD">
        <w:rPr>
          <w:rFonts w:cs="Sylfaen"/>
          <w:i/>
          <w:sz w:val="21"/>
          <w:szCs w:val="21"/>
          <w:lang w:val="hy-AM"/>
        </w:rPr>
        <w:t xml:space="preserve"> </w:t>
      </w:r>
      <w:r w:rsidRPr="00D178DD">
        <w:rPr>
          <w:rFonts w:cs="Sylfaen"/>
          <w:i/>
          <w:sz w:val="20"/>
          <w:szCs w:val="20"/>
          <w:lang w:val="hy-AM"/>
        </w:rPr>
        <w:t>Սպառողական գների աճը, դրամավարկային քաղաքականության հիմնական ցուցանիշները 2019-2022թթ</w:t>
      </w:r>
      <w:r w:rsidRPr="00D178DD">
        <w:rPr>
          <w:rFonts w:cs="Sylfaen"/>
          <w:i/>
          <w:sz w:val="20"/>
          <w:szCs w:val="20"/>
          <w:lang w:val="es-ES"/>
        </w:rPr>
        <w:t>.</w:t>
      </w:r>
      <w:r w:rsidRPr="00D178DD">
        <w:rPr>
          <w:rFonts w:cs="Sylfaen"/>
          <w:i/>
          <w:sz w:val="20"/>
          <w:szCs w:val="20"/>
          <w:lang w:val="hy-AM"/>
        </w:rPr>
        <w:t xml:space="preserve"> և գնաճի կանխատեսումները միջնաժամկետ հատվածում</w:t>
      </w:r>
    </w:p>
    <w:p w:rsidR="00D178DD" w:rsidRPr="00D178DD" w:rsidRDefault="00D178DD" w:rsidP="00D178DD">
      <w:pPr>
        <w:spacing w:after="120" w:line="276" w:lineRule="auto"/>
        <w:ind w:firstLine="0"/>
        <w:rPr>
          <w:rFonts w:eastAsia="Calibri" w:cs="Sylfaen"/>
          <w:i/>
          <w:lang w:val="hy-AM"/>
        </w:rPr>
      </w:pPr>
      <w:r w:rsidRPr="00D178DD">
        <w:rPr>
          <w:rFonts w:cs="Sylfaen"/>
          <w:b w:val="0"/>
          <w:noProof/>
          <w:lang w:val="en-US" w:eastAsia="en-US"/>
        </w:rPr>
        <w:lastRenderedPageBreak/>
        <w:drawing>
          <wp:inline distT="0" distB="0" distL="0" distR="0" wp14:anchorId="7CD6ECEB" wp14:editId="5C4BDEAB">
            <wp:extent cx="3028950" cy="2011680"/>
            <wp:effectExtent l="0" t="0" r="0" b="7620"/>
            <wp:docPr id="2049" name="Chart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D178DD">
        <w:rPr>
          <w:rFonts w:cs="Sylfaen"/>
          <w:b w:val="0"/>
          <w:noProof/>
          <w:lang w:val="en-US" w:eastAsia="en-US"/>
        </w:rPr>
        <w:drawing>
          <wp:inline distT="0" distB="0" distL="0" distR="0" wp14:anchorId="65AA2427" wp14:editId="4B39EACC">
            <wp:extent cx="3162300" cy="2011680"/>
            <wp:effectExtent l="0" t="0" r="0" b="762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D178DD">
        <w:rPr>
          <w:rFonts w:cs="Sylfaen"/>
          <w:noProof/>
          <w:lang w:val="hy-AM"/>
        </w:rPr>
        <w:t xml:space="preserve"> </w:t>
      </w:r>
      <w:r w:rsidRPr="00D178DD">
        <w:rPr>
          <w:rFonts w:cs="Sylfaen"/>
          <w:b w:val="0"/>
          <w:noProof/>
          <w:lang w:val="en-US" w:eastAsia="en-US"/>
        </w:rPr>
        <w:drawing>
          <wp:inline distT="0" distB="0" distL="0" distR="0" wp14:anchorId="07F16CE7" wp14:editId="53EB96C2">
            <wp:extent cx="6153785" cy="492760"/>
            <wp:effectExtent l="0" t="0" r="18415" b="2540"/>
            <wp:docPr id="2048" name="Chart 2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D178DD">
        <w:rPr>
          <w:rFonts w:cs="Sylfaen"/>
          <w:b w:val="0"/>
          <w:noProof/>
          <w:lang w:val="en-US" w:eastAsia="en-US"/>
        </w:rPr>
        <w:drawing>
          <wp:inline distT="0" distB="0" distL="0" distR="0" wp14:anchorId="10037D33" wp14:editId="70E6D681">
            <wp:extent cx="3028950" cy="2369185"/>
            <wp:effectExtent l="0" t="0" r="0" b="1206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D178DD">
        <w:rPr>
          <w:noProof/>
          <w:lang w:val="en-US" w:eastAsia="en-US"/>
        </w:rPr>
        <w:drawing>
          <wp:inline distT="0" distB="0" distL="0" distR="0" wp14:anchorId="62C00FEB" wp14:editId="7D2F8A5A">
            <wp:extent cx="3124835" cy="2365375"/>
            <wp:effectExtent l="0" t="0" r="18415" b="1587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D178DD">
        <w:rPr>
          <w:rFonts w:eastAsia="Calibri" w:cs="Sylfaen"/>
          <w:i/>
          <w:lang w:val="hy-AM"/>
        </w:rPr>
        <w:t xml:space="preserve"> </w:t>
      </w:r>
    </w:p>
    <w:p w:rsidR="00D178DD" w:rsidRPr="00D178DD" w:rsidRDefault="00D178DD" w:rsidP="00D178DD">
      <w:pPr>
        <w:spacing w:line="276" w:lineRule="auto"/>
        <w:ind w:right="-172"/>
        <w:rPr>
          <w:rFonts w:eastAsia="Calibri" w:cs="Sylfaen"/>
          <w:i/>
          <w:sz w:val="18"/>
          <w:szCs w:val="18"/>
          <w:lang w:val="hy-AM"/>
        </w:rPr>
      </w:pPr>
      <w:r w:rsidRPr="00D178DD">
        <w:rPr>
          <w:rFonts w:eastAsia="Calibri" w:cs="Sylfaen"/>
          <w:i/>
          <w:sz w:val="18"/>
          <w:szCs w:val="18"/>
          <w:lang w:val="hy-AM"/>
        </w:rPr>
        <w:t>Աղբյուրը՝ ՀՀ ԿԲ, ՀՀ ՖՆ հաշվարկներ և կանխատեսումներ</w:t>
      </w:r>
    </w:p>
    <w:p w:rsidR="00D178DD" w:rsidRPr="00D178DD" w:rsidRDefault="00D178DD" w:rsidP="00D178DD">
      <w:pPr>
        <w:rPr>
          <w:lang w:val="hy-AM"/>
        </w:rPr>
      </w:pPr>
    </w:p>
    <w:p w:rsidR="00D178DD" w:rsidRPr="00D178DD" w:rsidRDefault="00D178DD" w:rsidP="00D178DD">
      <w:pPr>
        <w:keepNext/>
        <w:keepLines/>
        <w:spacing w:before="0" w:line="276" w:lineRule="auto"/>
        <w:outlineLvl w:val="2"/>
        <w:rPr>
          <w:b w:val="0"/>
          <w:bCs/>
          <w:sz w:val="24"/>
          <w:lang w:val="hy-AM"/>
        </w:rPr>
      </w:pPr>
      <w:bookmarkStart w:id="46" w:name="_Toc46760406"/>
      <w:bookmarkStart w:id="47" w:name="_Toc51947415"/>
      <w:bookmarkStart w:id="48" w:name="_Toc52452088"/>
      <w:bookmarkStart w:id="49" w:name="_Toc57559415"/>
      <w:bookmarkStart w:id="50" w:name="_Toc83663897"/>
      <w:bookmarkStart w:id="51" w:name="_Toc83972833"/>
      <w:bookmarkStart w:id="52" w:name="_Toc115686019"/>
      <w:bookmarkStart w:id="53" w:name="_Toc120805193"/>
      <w:bookmarkStart w:id="54" w:name="_Toc165901405"/>
      <w:bookmarkEnd w:id="37"/>
      <w:r w:rsidRPr="00D178DD">
        <w:rPr>
          <w:bCs/>
          <w:sz w:val="24"/>
          <w:lang w:val="hy-AM"/>
        </w:rPr>
        <w:t>1.4. ԿԱՆԽԱՏԵՍՈՒՄՆԵՐԻ ՀԻՄՔՈՒՄ ԸՆԿԱԾ ԵՆԹԱԴՐՈՒԹՅՈՒՆՆԵՐԸ</w:t>
      </w:r>
      <w:bookmarkEnd w:id="46"/>
      <w:bookmarkEnd w:id="47"/>
      <w:bookmarkEnd w:id="48"/>
      <w:bookmarkEnd w:id="49"/>
      <w:bookmarkEnd w:id="50"/>
      <w:bookmarkEnd w:id="51"/>
      <w:bookmarkEnd w:id="52"/>
      <w:bookmarkEnd w:id="53"/>
      <w:bookmarkEnd w:id="54"/>
    </w:p>
    <w:p w:rsidR="00D178DD" w:rsidRPr="00D178DD" w:rsidRDefault="00D178DD" w:rsidP="00D178DD">
      <w:pPr>
        <w:spacing w:after="120" w:line="276" w:lineRule="auto"/>
        <w:ind w:firstLine="709"/>
        <w:contextualSpacing w:val="0"/>
        <w:rPr>
          <w:rFonts w:eastAsia="Calibri" w:cs="Sylfaen"/>
          <w:b w:val="0"/>
          <w:bCs/>
          <w:szCs w:val="22"/>
          <w:lang w:val="hy-AM" w:eastAsia="en-US"/>
        </w:rPr>
      </w:pPr>
      <w:r w:rsidRPr="00D178DD">
        <w:rPr>
          <w:rFonts w:eastAsia="Calibri" w:cs="Sylfaen"/>
          <w:b w:val="0"/>
          <w:bCs/>
          <w:szCs w:val="22"/>
          <w:lang w:val="hy-AM" w:eastAsia="en-US"/>
        </w:rPr>
        <w:t>2023թ</w:t>
      </w:r>
      <w:r w:rsidRPr="00D178DD">
        <w:rPr>
          <w:rFonts w:ascii="Cambria Math" w:eastAsia="Calibri" w:hAnsi="Cambria Math" w:cs="Cambria Math"/>
          <w:b w:val="0"/>
          <w:bCs/>
          <w:szCs w:val="22"/>
          <w:lang w:val="hy-AM" w:eastAsia="en-US"/>
        </w:rPr>
        <w:t>․</w:t>
      </w:r>
      <w:r w:rsidRPr="00D178DD">
        <w:rPr>
          <w:rFonts w:eastAsia="Calibri" w:cs="Sylfaen"/>
          <w:b w:val="0"/>
          <w:bCs/>
          <w:szCs w:val="22"/>
          <w:lang w:val="hy-AM" w:eastAsia="en-US"/>
        </w:rPr>
        <w:t xml:space="preserve"> պետական բյուջեի մակրոտնտեսական շրջանակի կանխատեսումներն իրականացվել են ՀՀ ՖՆ կողմից՝ կիրառելով տնտեսաչափական մոդելներ, և առանձին շոկերի և հարկաբյուջետային միջոցառումների ազդեցությունների գնահատման համար՝ ՀՀ ՖՆ </w:t>
      </w:r>
      <w:r w:rsidRPr="00D178DD">
        <w:rPr>
          <w:rFonts w:eastAsia="Calibri" w:cs="Sylfaen"/>
          <w:b w:val="0"/>
          <w:bCs/>
          <w:color w:val="000000" w:themeColor="text1"/>
          <w:szCs w:val="22"/>
          <w:lang w:val="hy-AM" w:eastAsia="en-US"/>
        </w:rPr>
        <w:t xml:space="preserve">Արարատ հարկաբյուջետային ռազմավարության </w:t>
      </w:r>
      <w:r w:rsidRPr="00D178DD">
        <w:rPr>
          <w:rFonts w:eastAsia="Calibri" w:cs="Sylfaen"/>
          <w:b w:val="0"/>
          <w:bCs/>
          <w:szCs w:val="22"/>
          <w:lang w:val="hy-AM" w:eastAsia="en-US"/>
        </w:rPr>
        <w:t>դինամիկ ստոխաստիկ ընդհանուր հավասարակշռության (</w:t>
      </w:r>
      <w:r w:rsidRPr="00D178DD">
        <w:rPr>
          <w:rFonts w:eastAsia="Calibri" w:cs="Sylfaen"/>
          <w:b w:val="0"/>
          <w:bCs/>
          <w:color w:val="000000" w:themeColor="text1"/>
          <w:szCs w:val="22"/>
          <w:lang w:val="hy-AM" w:eastAsia="en-US"/>
        </w:rPr>
        <w:t>Ararat Fiscal Strategy Model)</w:t>
      </w:r>
      <w:r w:rsidRPr="00D178DD">
        <w:rPr>
          <w:rFonts w:eastAsia="Calibri" w:cs="Sylfaen"/>
          <w:b w:val="0"/>
          <w:bCs/>
          <w:szCs w:val="22"/>
          <w:lang w:val="hy-AM" w:eastAsia="en-US"/>
        </w:rPr>
        <w:t xml:space="preserve"> մոդելը</w:t>
      </w:r>
      <w:r w:rsidRPr="00D178DD">
        <w:rPr>
          <w:rFonts w:eastAsia="Calibri"/>
          <w:b w:val="0"/>
          <w:szCs w:val="22"/>
          <w:vertAlign w:val="superscript"/>
          <w:lang w:val="es-ES" w:eastAsia="en-US"/>
        </w:rPr>
        <w:footnoteReference w:id="8"/>
      </w:r>
      <w:r w:rsidRPr="00D178DD">
        <w:rPr>
          <w:rFonts w:eastAsia="Calibri"/>
          <w:b w:val="0"/>
          <w:szCs w:val="22"/>
          <w:vertAlign w:val="superscript"/>
          <w:lang w:val="es-ES" w:eastAsia="en-US"/>
        </w:rPr>
        <w:t xml:space="preserve">, </w:t>
      </w:r>
      <w:r w:rsidRPr="00D178DD">
        <w:rPr>
          <w:rFonts w:eastAsia="Calibri" w:cs="Sylfaen"/>
          <w:b w:val="0"/>
          <w:bCs/>
          <w:szCs w:val="22"/>
          <w:lang w:val="hy-AM" w:eastAsia="en-US"/>
        </w:rPr>
        <w:t>որոնց համար տեղեկատվական հիմք են հանդիսացել նեքին և արտաքին ընթացիկ տնտեսակա</w:t>
      </w:r>
      <w:r w:rsidRPr="00D178DD">
        <w:rPr>
          <w:rFonts w:eastAsia="Calibri" w:cs="Sylfaen"/>
          <w:b w:val="0"/>
          <w:bCs/>
          <w:color w:val="000000" w:themeColor="text1"/>
          <w:szCs w:val="22"/>
          <w:lang w:val="hy-AM" w:eastAsia="en-US"/>
        </w:rPr>
        <w:t xml:space="preserve">ն և ֆինանսական զարգացումները, նախատեսվող հարկաբյուջետային միջոցառումների վերաբերյալ առկան տեղեկատվությունը, ինչպես նաև ՀՀ գործընկեր երկրների տնտեսական  զարգացումների և հումքային ապրանքների համաշխարհային գների միջազգային կառույցների կողմից արված կանխատեսումները: Բացի </w:t>
      </w:r>
      <w:r w:rsidRPr="00D178DD">
        <w:rPr>
          <w:rFonts w:eastAsia="Calibri" w:cs="Sylfaen"/>
          <w:b w:val="0"/>
          <w:bCs/>
          <w:color w:val="000000" w:themeColor="text1"/>
          <w:szCs w:val="22"/>
          <w:lang w:val="hy-AM" w:eastAsia="en-US"/>
        </w:rPr>
        <w:lastRenderedPageBreak/>
        <w:t>այդ հաշվի են առնվել ռուս-ուկրաինական հակամարտության պայմաններում 2022թ</w:t>
      </w:r>
      <w:r w:rsidRPr="00D178DD">
        <w:rPr>
          <w:rFonts w:ascii="Cambria Math" w:eastAsia="Calibri" w:hAnsi="Cambria Math" w:cs="Cambria Math"/>
          <w:b w:val="0"/>
          <w:bCs/>
          <w:color w:val="000000" w:themeColor="text1"/>
          <w:szCs w:val="22"/>
          <w:lang w:val="hy-AM" w:eastAsia="en-US"/>
        </w:rPr>
        <w:t>․</w:t>
      </w:r>
      <w:r w:rsidRPr="00D178DD">
        <w:rPr>
          <w:rFonts w:eastAsia="Calibri"/>
          <w:b w:val="0"/>
          <w:bCs/>
          <w:color w:val="000000" w:themeColor="text1"/>
          <w:szCs w:val="22"/>
          <w:lang w:val="hy-AM" w:eastAsia="en-US"/>
        </w:rPr>
        <w:t xml:space="preserve"> </w:t>
      </w:r>
      <w:r w:rsidRPr="00D178DD">
        <w:rPr>
          <w:rFonts w:eastAsia="Calibri" w:cs="Sylfaen"/>
          <w:b w:val="0"/>
          <w:bCs/>
          <w:color w:val="000000" w:themeColor="text1"/>
          <w:szCs w:val="22"/>
          <w:lang w:val="hy-AM" w:eastAsia="en-US"/>
        </w:rPr>
        <w:t>ընթացքում առաջացած ՌԴ-ից փոխանցվող ազդեցությունների և զարգացումների առանձնահատկություները։  Մասնավորապես՝</w:t>
      </w:r>
    </w:p>
    <w:p w:rsidR="00D178DD" w:rsidRPr="00D178DD" w:rsidRDefault="00D178DD" w:rsidP="00D178DD">
      <w:pPr>
        <w:numPr>
          <w:ilvl w:val="0"/>
          <w:numId w:val="34"/>
        </w:numPr>
        <w:spacing w:before="0" w:line="276" w:lineRule="auto"/>
        <w:ind w:left="426"/>
        <w:contextualSpacing w:val="0"/>
        <w:rPr>
          <w:rFonts w:eastAsia="Calibri" w:cs="Sylfaen"/>
          <w:bCs/>
          <w:szCs w:val="22"/>
          <w:lang w:val="hy-AM" w:eastAsia="en-US"/>
        </w:rPr>
      </w:pPr>
      <w:r w:rsidRPr="00D178DD">
        <w:rPr>
          <w:rFonts w:eastAsia="Calibri" w:cs="Sylfaen"/>
          <w:bCs/>
          <w:szCs w:val="22"/>
          <w:lang w:val="hy-AM" w:eastAsia="en-US"/>
        </w:rPr>
        <w:t>Արտաքին  գործոններ</w:t>
      </w:r>
      <w:r w:rsidRPr="00D178DD">
        <w:rPr>
          <w:rFonts w:eastAsia="Calibri" w:cs="Sylfaen"/>
          <w:bCs/>
          <w:szCs w:val="22"/>
          <w:lang w:eastAsia="en-US"/>
        </w:rPr>
        <w:t>.</w:t>
      </w:r>
    </w:p>
    <w:p w:rsidR="00D178DD" w:rsidRPr="00D178DD" w:rsidRDefault="00D178DD" w:rsidP="00D178DD">
      <w:pPr>
        <w:numPr>
          <w:ilvl w:val="0"/>
          <w:numId w:val="32"/>
        </w:numPr>
        <w:spacing w:before="0" w:after="120"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Համավարակից հետո համաշխարհային տնտեսության վերականգմանը զուգընթաց ընթացիկ տարվա փետրվար ամսից սկիզբ առած ռուս-ուկրաինական հակամարտության հետևանքով ՀՀ գործընկեր երկրներում կարձանագրվի տնտեսական աճի տեմպերի դանդաղում: Այս պայմաններում 2022թ. հուլիս ամսվա ԱՄՀ կանխատեսումների համաձայն 2022թ. ՀՀ հիմնական գործընկեր երկրների արտաքին պահանջարկը (առանց ՌԴ) կաճի 2.8%-ով</w:t>
      </w:r>
      <w:r w:rsidRPr="00D178DD">
        <w:rPr>
          <w:rFonts w:ascii="Times New Roman" w:eastAsia="Calibri" w:hAnsi="Times New Roman"/>
          <w:b w:val="0"/>
          <w:sz w:val="20"/>
          <w:szCs w:val="20"/>
          <w:vertAlign w:val="superscript"/>
          <w:lang w:val="es-ES" w:eastAsia="en-US"/>
        </w:rPr>
        <w:footnoteReference w:id="9"/>
      </w:r>
      <w:r w:rsidRPr="00D178DD">
        <w:rPr>
          <w:rFonts w:eastAsia="Calibri" w:cs="Sylfaen"/>
          <w:b w:val="0"/>
          <w:bCs/>
          <w:szCs w:val="22"/>
          <w:lang w:val="hy-AM" w:eastAsia="en-US"/>
        </w:rPr>
        <w:t>՝ նախորդ՝ ընթացիկ տարվա ապրիլ ամսվա 3.4% աճի կանխատեսումների փոխարեն: Կանխատեսումների համաձայն 2023թ. ՀՀ հիմնական գործընկեր երկրներում կշարունակվի աճի տեմպերի դանդաղումը ՝ մնալով նախաճգնաժամային պոտենցիալներից ցածր մակարդակում: Ռուսաստանում և՛ 2022թ., և՛ 2023թ. սպասվում է խորը տնտեսական անկում:</w:t>
      </w:r>
    </w:p>
    <w:p w:rsidR="00D178DD" w:rsidRPr="00D178DD" w:rsidRDefault="00D178DD" w:rsidP="00D178DD">
      <w:pPr>
        <w:numPr>
          <w:ilvl w:val="0"/>
          <w:numId w:val="32"/>
        </w:numPr>
        <w:spacing w:before="0" w:after="120"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2022թ. սպասվում է պղնձի միջազգային գների անկում և  նավթի գների բարձր աճ: Նավթի գնի աճը պայմանավորված է հիմնականում ռուս-ուկրաիանական հակամարտությամբ ՌԴ-ի նկատմամբ կիրառվող պատժամիջոցների հետևանքով ՌԴ-ից մատակարարման շղթաների խափանումներով: Ըստ «Բլումբերգ» միջազգային հեղինակավոր կազմակերպության օգոստոսի դրությամբ ամփոփած  կանխատեսումների 2022թ. նավթի միջազգային գները կաճեն շուրջ 45%-ով: Իսկ պղնձի գները կնվազեն 4.5%-ով, պայմանավորված Չինաստանի կողմից պահանջարկի նվազմամբ: 2023թ. նավթի և պղնձի գները կնվազեն համապատասխանաբար՝ 12% և 9%-ով:</w:t>
      </w:r>
    </w:p>
    <w:p w:rsidR="00D178DD" w:rsidRPr="00D178DD" w:rsidRDefault="00D178DD" w:rsidP="00D178DD">
      <w:pPr>
        <w:numPr>
          <w:ilvl w:val="0"/>
          <w:numId w:val="32"/>
        </w:numPr>
        <w:spacing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Պատժամիջոցների հետևանքով որոշ երկրներից ՌԴ ներմուծման շուկայի սահմանափակումների արդյունքում տեղի է ունենում ՀՀ-ից դեպի Ռուսաստան արտահանման պահանջարկի ավելացում: Ստեղծված պայմաններում 2022թ. սպասվում է, որ դեպի ՌԴ ապրանքների արտահանումը դոլարային արտահայտությամբ կաճի շուրջ 55%, իսկ 2023թ. դրական զարգացումների պահպանման պայմաններում կանխատեսվում է շուրջ 20% աճ:</w:t>
      </w:r>
    </w:p>
    <w:p w:rsidR="00D178DD" w:rsidRPr="00D178DD" w:rsidRDefault="00D178DD" w:rsidP="00D178DD">
      <w:pPr>
        <w:numPr>
          <w:ilvl w:val="0"/>
          <w:numId w:val="32"/>
        </w:numPr>
        <w:spacing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Աշխարհում համավարակի սահմանափակումների թուլացման և աստիճանական վերացման արդյունքում տեղի է ունենում տուրիզմի վերականգնում: Ենթադրվում է, որ ՀՀ ծառայությունների արտահանման վերականգնումը կլինի առաջանցիկ ներմուծման համեմատ՝ պայմանավորված լինելով ՌԴ նկատմամբ կիրառվող պատժամիջոցների հետևանքով ռուս զբոսաշրջիկների մեծ ներհոսքով: 2022թ. համար սպասվում է զբոսաշրջիկների շուրջ 1.8 անգամ ավելացում, պայմանավորված հիմնականում ՌԴ զբոսաշրջիկների 2.1 անգամ ավելացմամբ: Կանխատեսումների համաձայն 2023թ. դեպի ՀՀ զբոսաշրջիկների թիվը կաճի 14.6%-ով:</w:t>
      </w:r>
    </w:p>
    <w:p w:rsidR="00D178DD" w:rsidRPr="00D178DD" w:rsidRDefault="00D178DD" w:rsidP="00D178DD">
      <w:pPr>
        <w:numPr>
          <w:ilvl w:val="0"/>
          <w:numId w:val="32"/>
        </w:numPr>
        <w:spacing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lastRenderedPageBreak/>
        <w:t>2022թ. սպասվում է դրամական փոխանցումների բարձր աճ՝ հիմնականում պայմանավորված ռուս-ուկրաինական հակամարտության արդյունքում ՌԴ-ից դրամական փոխանցումների կտրուկ ավելացմամբ, այլ երկրներից դեպի Հայաստան դրամական փոխանցումները նույնպես կաճեն: Կանխատեսումների համաձայն 2023թ. դրամական փոխանցումները կաճեն շուրջ 4%-ով:</w:t>
      </w:r>
    </w:p>
    <w:p w:rsidR="00D178DD" w:rsidRPr="00D178DD" w:rsidRDefault="00D178DD" w:rsidP="00D178DD">
      <w:pPr>
        <w:numPr>
          <w:ilvl w:val="0"/>
          <w:numId w:val="32"/>
        </w:numPr>
        <w:spacing w:line="276" w:lineRule="auto"/>
        <w:ind w:left="360"/>
        <w:contextualSpacing w:val="0"/>
        <w:rPr>
          <w:rFonts w:eastAsia="Calibri" w:cs="Sylfaen"/>
          <w:b w:val="0"/>
          <w:bCs/>
          <w:szCs w:val="22"/>
          <w:lang w:val="hy-AM" w:eastAsia="en-US"/>
        </w:rPr>
      </w:pPr>
      <w:r w:rsidRPr="00D178DD">
        <w:rPr>
          <w:rFonts w:eastAsia="Calibri" w:cs="Sylfaen"/>
          <w:b w:val="0"/>
          <w:bCs/>
          <w:szCs w:val="22"/>
          <w:lang w:val="hy-AM" w:eastAsia="en-US"/>
        </w:rPr>
        <w:t>ՌԴ դեմ կիրառված պատժամիջոցների արդյունքում ՌԴ-ից դեպի Հայաստան տեղափոխված ՏՏ ոլորտի ընկերությունների և աշխատակիցների որոշ մասը 2023թ. ընթացքում կմնան Հայաստանում:</w:t>
      </w:r>
    </w:p>
    <w:p w:rsidR="00D178DD" w:rsidRPr="00D178DD" w:rsidRDefault="00D178DD" w:rsidP="00D178DD">
      <w:pPr>
        <w:spacing w:line="276" w:lineRule="auto"/>
        <w:ind w:left="360" w:firstLine="0"/>
        <w:contextualSpacing w:val="0"/>
        <w:rPr>
          <w:rFonts w:eastAsia="Calibri" w:cs="Sylfaen"/>
          <w:b w:val="0"/>
          <w:szCs w:val="22"/>
          <w:lang w:val="hy-AM" w:eastAsia="en-US"/>
        </w:rPr>
      </w:pPr>
    </w:p>
    <w:p w:rsidR="00D178DD" w:rsidRPr="00D178DD" w:rsidRDefault="00D178DD" w:rsidP="00D178DD">
      <w:pPr>
        <w:numPr>
          <w:ilvl w:val="0"/>
          <w:numId w:val="34"/>
        </w:numPr>
        <w:spacing w:before="0" w:line="276" w:lineRule="auto"/>
        <w:ind w:left="360"/>
        <w:contextualSpacing w:val="0"/>
        <w:rPr>
          <w:rFonts w:eastAsia="Calibri" w:cs="Sylfaen"/>
          <w:bCs/>
          <w:szCs w:val="22"/>
          <w:lang w:val="hy-AM" w:eastAsia="en-US"/>
        </w:rPr>
      </w:pPr>
      <w:r w:rsidRPr="00D178DD">
        <w:rPr>
          <w:rFonts w:eastAsia="Calibri" w:cs="Sylfaen"/>
          <w:bCs/>
          <w:szCs w:val="22"/>
          <w:lang w:val="hy-AM" w:eastAsia="en-US"/>
        </w:rPr>
        <w:t xml:space="preserve">COVID-19 համավարակային իրավիճակ: </w:t>
      </w:r>
      <w:r w:rsidRPr="00D178DD">
        <w:rPr>
          <w:rFonts w:eastAsia="Calibri" w:cs="Sylfaen"/>
          <w:b w:val="0"/>
          <w:szCs w:val="22"/>
          <w:lang w:val="hy-AM" w:eastAsia="en-US"/>
        </w:rPr>
        <w:t>Ներկայումս</w:t>
      </w:r>
      <w:r w:rsidRPr="00D178DD">
        <w:rPr>
          <w:rFonts w:eastAsia="Calibri" w:cs="Sylfaen"/>
          <w:bCs/>
          <w:szCs w:val="22"/>
          <w:lang w:val="hy-AM" w:eastAsia="en-US"/>
        </w:rPr>
        <w:t xml:space="preserve"> </w:t>
      </w:r>
      <w:r w:rsidRPr="00D178DD">
        <w:rPr>
          <w:rFonts w:eastAsia="Calibri" w:cs="Sylfaen"/>
          <w:b w:val="0"/>
          <w:bCs/>
          <w:szCs w:val="22"/>
          <w:lang w:val="hy-AM" w:eastAsia="en-US"/>
        </w:rPr>
        <w:t xml:space="preserve">համավարակի էական բացասական ազդեցություններ նկատելի չեն, իսկ 2023թ. լրացուցիչ բացասական ազդեցություններ չեն սպասվում: </w:t>
      </w:r>
    </w:p>
    <w:p w:rsidR="00D178DD" w:rsidRPr="00D178DD" w:rsidRDefault="00D178DD" w:rsidP="00D178DD">
      <w:pPr>
        <w:spacing w:before="0" w:line="276" w:lineRule="auto"/>
        <w:ind w:left="360" w:firstLine="0"/>
        <w:rPr>
          <w:rFonts w:eastAsia="Calibri" w:cs="Sylfaen"/>
          <w:bCs/>
          <w:szCs w:val="22"/>
          <w:lang w:val="hy-AM" w:eastAsia="en-US"/>
        </w:rPr>
      </w:pPr>
    </w:p>
    <w:p w:rsidR="00D178DD" w:rsidRPr="00D178DD" w:rsidRDefault="00D178DD" w:rsidP="00D178DD">
      <w:pPr>
        <w:numPr>
          <w:ilvl w:val="0"/>
          <w:numId w:val="34"/>
        </w:numPr>
        <w:spacing w:before="0" w:line="276" w:lineRule="auto"/>
        <w:ind w:left="426"/>
        <w:contextualSpacing w:val="0"/>
        <w:rPr>
          <w:rFonts w:eastAsia="Calibri" w:cs="Sylfaen"/>
          <w:b w:val="0"/>
          <w:bCs/>
          <w:szCs w:val="22"/>
          <w:lang w:val="hy-AM" w:eastAsia="en-US"/>
        </w:rPr>
      </w:pPr>
      <w:r w:rsidRPr="00D178DD">
        <w:rPr>
          <w:rFonts w:eastAsia="Calibri" w:cs="Sylfaen"/>
          <w:bCs/>
          <w:szCs w:val="22"/>
          <w:lang w:val="hy-AM" w:eastAsia="en-US"/>
        </w:rPr>
        <w:t>Կառավարության 2021-2026թթ. ծրագրից բխող թիրախներ և գործողություններ։</w:t>
      </w:r>
      <w:r w:rsidRPr="00D178DD">
        <w:rPr>
          <w:rFonts w:eastAsia="Calibri" w:cs="Sylfaen"/>
          <w:b w:val="0"/>
          <w:bCs/>
          <w:szCs w:val="22"/>
          <w:lang w:val="hy-AM" w:eastAsia="en-US"/>
        </w:rPr>
        <w:t xml:space="preserve"> ՀՀ կառավարության ծրագրում նպատակարդված թիրախներին համահունչ 2023թ</w:t>
      </w:r>
      <w:r w:rsidRPr="00D178DD">
        <w:rPr>
          <w:rFonts w:ascii="Cambria Math" w:eastAsia="Calibri" w:hAnsi="Cambria Math" w:cs="Cambria Math"/>
          <w:b w:val="0"/>
          <w:bCs/>
          <w:szCs w:val="22"/>
          <w:lang w:val="hy-AM" w:eastAsia="en-US"/>
        </w:rPr>
        <w:t>․</w:t>
      </w:r>
      <w:r w:rsidRPr="00D178DD">
        <w:rPr>
          <w:rFonts w:eastAsia="Calibri"/>
          <w:b w:val="0"/>
          <w:bCs/>
          <w:szCs w:val="22"/>
          <w:lang w:val="hy-AM" w:eastAsia="en-US"/>
        </w:rPr>
        <w:t xml:space="preserve"> </w:t>
      </w:r>
      <w:r w:rsidRPr="00D178DD">
        <w:rPr>
          <w:rFonts w:eastAsia="Calibri" w:cs="Sylfaen"/>
          <w:b w:val="0"/>
          <w:bCs/>
          <w:szCs w:val="22"/>
          <w:lang w:val="hy-AM" w:eastAsia="en-US"/>
        </w:rPr>
        <w:t>տնտեսական աճի կանխատեսումների հիմքում դրվել է հետևյալ ենթադրությունները</w:t>
      </w:r>
      <w:r w:rsidRPr="00D178DD">
        <w:rPr>
          <w:rFonts w:ascii="Cambria Math" w:eastAsia="Calibri" w:hAnsi="Cambria Math" w:cs="Cambria Math"/>
          <w:b w:val="0"/>
          <w:bCs/>
          <w:szCs w:val="22"/>
          <w:lang w:val="hy-AM" w:eastAsia="en-US"/>
        </w:rPr>
        <w:t>․</w:t>
      </w:r>
    </w:p>
    <w:p w:rsidR="00D178DD" w:rsidRPr="00D178DD" w:rsidRDefault="00D178DD" w:rsidP="00D178DD">
      <w:pPr>
        <w:numPr>
          <w:ilvl w:val="0"/>
          <w:numId w:val="36"/>
        </w:numPr>
        <w:spacing w:before="0" w:line="276" w:lineRule="auto"/>
        <w:contextualSpacing w:val="0"/>
        <w:rPr>
          <w:rFonts w:eastAsia="Calibri" w:cs="Sylfaen"/>
          <w:b w:val="0"/>
          <w:bCs/>
          <w:szCs w:val="22"/>
          <w:lang w:val="hy-AM" w:eastAsia="en-US"/>
        </w:rPr>
      </w:pPr>
      <w:r w:rsidRPr="00D178DD">
        <w:rPr>
          <w:rFonts w:eastAsia="Calibri" w:cs="Sylfaen"/>
          <w:b w:val="0"/>
          <w:bCs/>
          <w:szCs w:val="22"/>
          <w:lang w:val="hy-AM" w:eastAsia="en-US"/>
        </w:rPr>
        <w:t xml:space="preserve">Գործարար միջավայրի բարելավման արդյունքում մասնավոր ներդրումների, այդ թվում օտարերկրյա ուղղակի ներդրումների մակարդակի բարձրացում, </w:t>
      </w:r>
    </w:p>
    <w:p w:rsidR="00D178DD" w:rsidRPr="00D178DD" w:rsidRDefault="00D178DD" w:rsidP="00D178DD">
      <w:pPr>
        <w:numPr>
          <w:ilvl w:val="0"/>
          <w:numId w:val="36"/>
        </w:numPr>
        <w:spacing w:before="0" w:line="276" w:lineRule="auto"/>
        <w:contextualSpacing w:val="0"/>
        <w:rPr>
          <w:rFonts w:eastAsia="Calibri" w:cs="Sylfaen"/>
          <w:b w:val="0"/>
          <w:bCs/>
          <w:szCs w:val="22"/>
          <w:lang w:val="hy-AM" w:eastAsia="en-US"/>
        </w:rPr>
      </w:pPr>
      <w:r w:rsidRPr="00D178DD">
        <w:rPr>
          <w:rFonts w:eastAsia="Calibri" w:cs="Sylfaen"/>
          <w:b w:val="0"/>
          <w:bCs/>
          <w:szCs w:val="22"/>
          <w:lang w:val="hy-AM" w:eastAsia="en-US"/>
        </w:rPr>
        <w:t>Ենթակառուցվածքներում, տնտեսության արտադրողական ոլորտներում մեծածավալ պետական կապիտալ ներդրումների թիրախավորված իրականացում,</w:t>
      </w:r>
    </w:p>
    <w:p w:rsidR="00D178DD" w:rsidRPr="00D178DD" w:rsidRDefault="00D178DD" w:rsidP="00D178DD">
      <w:pPr>
        <w:numPr>
          <w:ilvl w:val="0"/>
          <w:numId w:val="36"/>
        </w:numPr>
        <w:spacing w:before="0" w:line="276" w:lineRule="auto"/>
        <w:contextualSpacing w:val="0"/>
        <w:rPr>
          <w:rFonts w:eastAsia="Calibri" w:cs="Sylfaen"/>
          <w:b w:val="0"/>
          <w:bCs/>
          <w:szCs w:val="22"/>
          <w:lang w:val="hy-AM" w:eastAsia="en-US"/>
        </w:rPr>
      </w:pPr>
      <w:r w:rsidRPr="00D178DD">
        <w:rPr>
          <w:rFonts w:eastAsia="Calibri" w:cs="Sylfaen"/>
          <w:b w:val="0"/>
          <w:bCs/>
          <w:szCs w:val="22"/>
          <w:lang w:val="hy-AM" w:eastAsia="en-US"/>
        </w:rPr>
        <w:t>Տնտեսության արտահանելի հատվածի և արտահանման խթանմանն ուղղված քաղաքականության արդյունքում արտահանման ծավալների մեծացում,</w:t>
      </w:r>
    </w:p>
    <w:p w:rsidR="00D178DD" w:rsidRPr="00D178DD" w:rsidRDefault="00D178DD" w:rsidP="00D178DD">
      <w:pPr>
        <w:numPr>
          <w:ilvl w:val="0"/>
          <w:numId w:val="36"/>
        </w:numPr>
        <w:spacing w:before="0" w:line="276" w:lineRule="auto"/>
        <w:contextualSpacing w:val="0"/>
        <w:rPr>
          <w:rFonts w:eastAsia="Calibri" w:cs="Sylfaen"/>
          <w:b w:val="0"/>
          <w:bCs/>
          <w:szCs w:val="22"/>
          <w:lang w:val="hy-AM" w:eastAsia="en-US"/>
        </w:rPr>
      </w:pPr>
      <w:r w:rsidRPr="00D178DD">
        <w:rPr>
          <w:rFonts w:eastAsia="Calibri" w:cs="Sylfaen"/>
          <w:b w:val="0"/>
          <w:bCs/>
          <w:szCs w:val="22"/>
          <w:lang w:val="hy-AM" w:eastAsia="en-US"/>
        </w:rPr>
        <w:t>Բարձր տեխնոլոգիական առաջընթացի ապահովմանն ուղղված քաղաքականության իրականացման արդյունքում մրցակցության և արտադրողականության բարձրացում։</w:t>
      </w:r>
    </w:p>
    <w:p w:rsidR="00D178DD" w:rsidRPr="00D178DD" w:rsidRDefault="00D178DD" w:rsidP="00D178DD">
      <w:pPr>
        <w:spacing w:before="0" w:line="276" w:lineRule="auto"/>
        <w:ind w:firstLine="0"/>
        <w:contextualSpacing w:val="0"/>
        <w:rPr>
          <w:rFonts w:eastAsia="Calibri" w:cs="Sylfaen"/>
          <w:b w:val="0"/>
          <w:szCs w:val="22"/>
          <w:lang w:val="hy-AM" w:eastAsia="en-US"/>
        </w:rPr>
      </w:pPr>
    </w:p>
    <w:p w:rsidR="00D178DD" w:rsidRPr="00D178DD" w:rsidRDefault="00D178DD" w:rsidP="00D178DD">
      <w:pPr>
        <w:numPr>
          <w:ilvl w:val="0"/>
          <w:numId w:val="34"/>
        </w:numPr>
        <w:spacing w:before="0" w:line="276" w:lineRule="auto"/>
        <w:ind w:left="360"/>
        <w:contextualSpacing w:val="0"/>
        <w:rPr>
          <w:rFonts w:eastAsia="Calibri" w:cs="Sylfaen"/>
          <w:b w:val="0"/>
          <w:szCs w:val="22"/>
          <w:lang w:val="hy-AM" w:eastAsia="en-US"/>
        </w:rPr>
      </w:pPr>
      <w:r w:rsidRPr="00D178DD">
        <w:rPr>
          <w:rFonts w:eastAsia="Calibri" w:cs="Sylfaen"/>
          <w:bCs/>
          <w:szCs w:val="22"/>
          <w:lang w:val="hy-AM" w:eastAsia="en-US"/>
        </w:rPr>
        <w:t xml:space="preserve">Տնտեսության ներուժ և պարբերաշրջաններ: </w:t>
      </w:r>
      <w:r w:rsidRPr="00D178DD">
        <w:rPr>
          <w:rFonts w:eastAsia="Calibri" w:cs="Sylfaen"/>
          <w:b w:val="0"/>
          <w:szCs w:val="22"/>
          <w:lang w:val="hy-AM" w:eastAsia="en-US"/>
        </w:rPr>
        <w:t xml:space="preserve">2020թ.  համավարակի և </w:t>
      </w:r>
      <w:r w:rsidR="00FB546F" w:rsidRPr="00FB546F">
        <w:rPr>
          <w:rFonts w:eastAsia="Calibri" w:cs="Sylfaen"/>
          <w:b w:val="0"/>
          <w:szCs w:val="22"/>
          <w:lang w:val="hy-AM" w:eastAsia="en-US"/>
        </w:rPr>
        <w:t>Ղարաբաղ</w:t>
      </w:r>
      <w:r w:rsidRPr="00D178DD">
        <w:rPr>
          <w:rFonts w:eastAsia="Calibri" w:cs="Sylfaen"/>
          <w:b w:val="0"/>
          <w:szCs w:val="22"/>
          <w:lang w:val="hy-AM" w:eastAsia="en-US"/>
        </w:rPr>
        <w:t>յան պատերազմի հետևանքով առաջացած տնտեսական անկման պայմաններում ՀՀ տնտեսությունը կրել է ոչ միայն ցիկլային բացասական զարգացումներ, այլ նաև նվազել են տնտեսության ներուժը և ներուժային աճը, պայմանավորված ինչպես արտադրողականության անկմամբ, այնպես էլ արտադրական գործոնների՝ աշխատուժի և կապիտալի ներուժային մակարդակների նվազմամբ: 2021թ.</w:t>
      </w:r>
      <w:r w:rsidRPr="00D178DD">
        <w:rPr>
          <w:rFonts w:ascii="Times New Roman" w:eastAsia="Calibri" w:hAnsi="Times New Roman"/>
          <w:b w:val="0"/>
          <w:szCs w:val="22"/>
          <w:lang w:val="hy-AM" w:eastAsia="en-US"/>
        </w:rPr>
        <w:t xml:space="preserve"> </w:t>
      </w:r>
      <w:r w:rsidRPr="00D178DD">
        <w:rPr>
          <w:rFonts w:eastAsia="Calibri" w:cs="Sylfaen"/>
          <w:b w:val="0"/>
          <w:szCs w:val="22"/>
          <w:lang w:val="hy-AM" w:eastAsia="en-US"/>
        </w:rPr>
        <w:t xml:space="preserve">ՀՀ տնտեսությունը գտնվել է վերականգման փուլում՝ դեռևս մնալով բացասական ցիկլի տիրույթում։ </w:t>
      </w:r>
    </w:p>
    <w:p w:rsidR="00D178DD" w:rsidRPr="00D178DD" w:rsidRDefault="00D178DD" w:rsidP="00D178DD">
      <w:pPr>
        <w:spacing w:before="0" w:line="276" w:lineRule="auto"/>
        <w:ind w:left="360" w:firstLine="0"/>
        <w:contextualSpacing w:val="0"/>
        <w:rPr>
          <w:rFonts w:eastAsia="Calibri" w:cs="Sylfaen"/>
          <w:b w:val="0"/>
          <w:szCs w:val="22"/>
          <w:lang w:val="hy-AM" w:eastAsia="en-US"/>
        </w:rPr>
      </w:pPr>
      <w:r w:rsidRPr="00D178DD">
        <w:rPr>
          <w:rFonts w:eastAsia="Calibri" w:cs="Sylfaen"/>
          <w:b w:val="0"/>
          <w:szCs w:val="22"/>
          <w:lang w:val="hy-AM" w:eastAsia="en-US"/>
        </w:rPr>
        <w:t>2022 թ</w:t>
      </w:r>
      <w:r w:rsidRPr="00D178DD">
        <w:rPr>
          <w:rFonts w:ascii="Cambria Math" w:eastAsia="Calibri" w:hAnsi="Cambria Math" w:cs="Cambria Math"/>
          <w:b w:val="0"/>
          <w:szCs w:val="22"/>
          <w:lang w:val="hy-AM" w:eastAsia="en-US"/>
        </w:rPr>
        <w:t>․</w:t>
      </w:r>
      <w:r w:rsidRPr="00D178DD">
        <w:rPr>
          <w:rFonts w:eastAsia="Calibri" w:cs="Sylfaen"/>
          <w:b w:val="0"/>
          <w:szCs w:val="22"/>
          <w:lang w:val="hy-AM" w:eastAsia="en-US"/>
        </w:rPr>
        <w:t xml:space="preserve"> ընթացիկ դրական զարգացումների պայմաններում  ՀՀ տնտեսությունը կգտնվի ներուժային մակարդակից ավելի բարձր դիրքում՝ մտնելով դրական ճեղքի տիրույթ,  ՀՀ կառավարության թիրախավորած 7% տնտեսական աճի ապահովման պայմաններում 2023թ. ՀՀ տնտեսությունը կշարունակի մնալ դրական ճեղքի տիրույթում։ Միաժամանակ  պետական կապիտալ ծախսերի մակարդակի թիրախային բարձրացման և արտահանման առաջանցիկ աճի պայմաններում, ինչպես նաև ՀՀ տեղափոխված ՏՏ ոլորտի ընկերությունների և աշխատակիցների գործունեության արդյունքում ներուժային աճը կբարձրանա:</w:t>
      </w:r>
    </w:p>
    <w:p w:rsidR="00D178DD" w:rsidRPr="00D178DD" w:rsidRDefault="00D178DD" w:rsidP="00D178DD">
      <w:pPr>
        <w:spacing w:before="0" w:line="276" w:lineRule="auto"/>
        <w:ind w:left="720" w:firstLine="0"/>
        <w:rPr>
          <w:rFonts w:eastAsia="Calibri" w:cs="Sylfaen"/>
          <w:bCs/>
          <w:szCs w:val="22"/>
          <w:lang w:val="hy-AM" w:eastAsia="en-US"/>
        </w:rPr>
      </w:pPr>
    </w:p>
    <w:p w:rsidR="00D178DD" w:rsidRPr="00D178DD" w:rsidRDefault="00D178DD" w:rsidP="00D178DD">
      <w:pPr>
        <w:spacing w:before="0" w:line="276" w:lineRule="auto"/>
        <w:ind w:left="426" w:firstLine="0"/>
        <w:rPr>
          <w:rFonts w:eastAsia="Calibri" w:cs="Sylfaen"/>
          <w:bCs/>
          <w:szCs w:val="22"/>
          <w:lang w:val="hy-AM" w:eastAsia="en-US"/>
        </w:rPr>
      </w:pPr>
    </w:p>
    <w:p w:rsidR="00D178DD" w:rsidRPr="00D178DD" w:rsidRDefault="00D178DD" w:rsidP="00D178DD">
      <w:pPr>
        <w:numPr>
          <w:ilvl w:val="0"/>
          <w:numId w:val="34"/>
        </w:numPr>
        <w:spacing w:before="0" w:line="276" w:lineRule="auto"/>
        <w:ind w:left="0" w:firstLine="360"/>
        <w:contextualSpacing w:val="0"/>
        <w:rPr>
          <w:rFonts w:eastAsia="Calibri" w:cs="Sylfaen"/>
          <w:bCs/>
          <w:szCs w:val="22"/>
          <w:lang w:val="hy-AM" w:eastAsia="en-US"/>
        </w:rPr>
      </w:pPr>
      <w:r w:rsidRPr="00D178DD">
        <w:rPr>
          <w:rFonts w:eastAsia="Calibri" w:cs="Sylfaen"/>
          <w:bCs/>
          <w:szCs w:val="22"/>
          <w:lang w:val="hy-AM" w:eastAsia="en-US"/>
        </w:rPr>
        <w:lastRenderedPageBreak/>
        <w:t>Հարկաբյուջետային քաղաքականություն.</w:t>
      </w:r>
      <w:r w:rsidRPr="00D178DD">
        <w:rPr>
          <w:rFonts w:eastAsia="Calibri" w:cs="Sylfaen"/>
          <w:b w:val="0"/>
          <w:bCs/>
          <w:szCs w:val="22"/>
          <w:lang w:val="hy-AM" w:eastAsia="en-US"/>
        </w:rPr>
        <w:t xml:space="preserve"> 2023թ</w:t>
      </w:r>
      <w:r w:rsidRPr="00D178DD">
        <w:rPr>
          <w:rFonts w:ascii="Cambria Math" w:eastAsia="Calibri" w:hAnsi="Cambria Math" w:cs="Cambria Math"/>
          <w:b w:val="0"/>
          <w:bCs/>
          <w:szCs w:val="22"/>
          <w:lang w:val="hy-AM" w:eastAsia="en-US"/>
        </w:rPr>
        <w:t>․</w:t>
      </w:r>
      <w:r w:rsidRPr="00D178DD">
        <w:rPr>
          <w:rFonts w:eastAsia="Calibri"/>
          <w:b w:val="0"/>
          <w:bCs/>
          <w:szCs w:val="22"/>
          <w:lang w:val="hy-AM" w:eastAsia="en-US"/>
        </w:rPr>
        <w:t xml:space="preserve"> </w:t>
      </w:r>
      <w:r w:rsidRPr="00D178DD">
        <w:rPr>
          <w:rFonts w:eastAsia="Calibri" w:cs="Sylfaen"/>
          <w:b w:val="0"/>
          <w:bCs/>
          <w:szCs w:val="22"/>
          <w:lang w:val="hy-AM" w:eastAsia="en-US"/>
        </w:rPr>
        <w:t>մակրոտնտեսական  կանխատեսումների հիմքում դրվել է հարկաբյուջետային քաղաքականության հետևյալ ենթադրությունները.</w:t>
      </w:r>
    </w:p>
    <w:p w:rsidR="00D178DD" w:rsidRPr="00D178DD" w:rsidRDefault="00D178DD" w:rsidP="00D178DD">
      <w:pPr>
        <w:numPr>
          <w:ilvl w:val="0"/>
          <w:numId w:val="33"/>
        </w:numPr>
        <w:spacing w:before="0" w:after="120" w:line="276" w:lineRule="auto"/>
        <w:ind w:left="709" w:hanging="284"/>
        <w:contextualSpacing w:val="0"/>
        <w:rPr>
          <w:rFonts w:eastAsia="Calibri" w:cs="Sylfaen"/>
          <w:b w:val="0"/>
          <w:szCs w:val="22"/>
          <w:lang w:val="hy-AM" w:eastAsia="en-US"/>
        </w:rPr>
      </w:pPr>
      <w:r w:rsidRPr="00D178DD">
        <w:rPr>
          <w:rFonts w:cs="Arial"/>
          <w:b w:val="0"/>
          <w:szCs w:val="22"/>
          <w:lang w:val="hy-AM" w:eastAsia="en-US"/>
        </w:rPr>
        <w:t>2023 թվականին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(կապիտալ ծախսերի կշիռը ՀՆԱ-ում հասցնելով 5.9%-ի), ընթացիկ ծախսերի կշռի նվազումը և ծախսերի իրականացման արդյունավետության բարձրացումը: Ընդ որում հարկաբյուջետային քաղաքականությունը ամբողջական պահանջարկի վրա 2023թ. կունենա չեզոք ազդեցություն</w:t>
      </w:r>
      <w:r w:rsidRPr="00D178DD">
        <w:rPr>
          <w:rFonts w:eastAsia="Calibri" w:cs="Sylfaen"/>
          <w:b w:val="0"/>
          <w:szCs w:val="22"/>
          <w:lang w:val="hy-AM" w:eastAsia="en-US"/>
        </w:rPr>
        <w:t xml:space="preserve">:  </w:t>
      </w:r>
    </w:p>
    <w:p w:rsidR="00D178DD" w:rsidRPr="00D178DD" w:rsidRDefault="00D178DD" w:rsidP="00D178DD">
      <w:pPr>
        <w:numPr>
          <w:ilvl w:val="0"/>
          <w:numId w:val="33"/>
        </w:numPr>
        <w:spacing w:before="40" w:after="120" w:line="276" w:lineRule="auto"/>
        <w:ind w:left="709" w:hanging="283"/>
        <w:contextualSpacing w:val="0"/>
        <w:rPr>
          <w:rFonts w:eastAsia="Calibri" w:cs="Sylfaen"/>
          <w:b w:val="0"/>
          <w:szCs w:val="22"/>
          <w:lang w:val="hy-AM" w:eastAsia="en-US"/>
        </w:rPr>
      </w:pPr>
      <w:r w:rsidRPr="00D178DD">
        <w:rPr>
          <w:rFonts w:cs="Arial"/>
          <w:b w:val="0"/>
          <w:szCs w:val="22"/>
          <w:lang w:val="hy-AM" w:eastAsia="en-US"/>
        </w:rPr>
        <w:t>2023 թվականին բարձր տնտեսական աճի պայմաններում, կառավարությունը նախատեսում է իրականացնել հարկային վարչարարության բարելավմանն ուղղված միջոցառումներ, ինչպես նաև հարկային օրենսդրության բարեփոխումներ, որոնց արդյունքում ակնկալվում է ապահովել հարկեր/ՀՆԱ հարաբերակցության շուրջ 0.5 տոկոսային կետով բարելավում</w:t>
      </w:r>
      <w:r w:rsidRPr="00D178DD">
        <w:rPr>
          <w:rFonts w:eastAsia="Calibri" w:cs="Sylfaen"/>
          <w:b w:val="0"/>
          <w:szCs w:val="22"/>
          <w:lang w:val="hy-AM" w:eastAsia="en-US"/>
        </w:rPr>
        <w:t>: Հարկային օրենսդրության բարեփոխումները ներառում են ակցիզային հարկի դրույքաչափի բարձրացումը, եկամտային հարկի դրույքաչափի ևս 1 տոկոսային կետով նվազումը, կուտակային կենսաթոշակային համակարգում աշխատողների մասնակցության դրույքաչափի բարձրացումը:</w:t>
      </w:r>
    </w:p>
    <w:p w:rsidR="00D178DD" w:rsidRPr="00D178DD" w:rsidRDefault="00D178DD" w:rsidP="00D178DD">
      <w:pPr>
        <w:numPr>
          <w:ilvl w:val="0"/>
          <w:numId w:val="33"/>
        </w:numPr>
        <w:spacing w:before="40" w:after="120" w:line="276" w:lineRule="auto"/>
        <w:ind w:left="709" w:hanging="283"/>
        <w:contextualSpacing w:val="0"/>
        <w:rPr>
          <w:rFonts w:eastAsia="Calibri" w:cs="Sylfaen"/>
          <w:b w:val="0"/>
          <w:szCs w:val="22"/>
          <w:lang w:val="hy-AM" w:eastAsia="en-US"/>
        </w:rPr>
      </w:pPr>
      <w:r w:rsidRPr="00D178DD">
        <w:rPr>
          <w:rFonts w:eastAsia="Calibri" w:cs="Sylfaen"/>
          <w:b w:val="0"/>
          <w:szCs w:val="22"/>
          <w:lang w:val="hy-AM" w:eastAsia="en-US"/>
        </w:rPr>
        <w:t xml:space="preserve">Տնեսության խթանման և գնաճային ճնշումների պայմաններում սոցիալական իրավիճակի բարելավման նպատակով 2023թ. կառավարությունը նախատեսում է նաև  իրականացնել ծախսային միջոցառումներ: Մասնավորապես, նախատեսվում է տնտեսական արդիականացման ծրագրի շրջանակներում խթանել մասնավոր հատվածի ներդրումները (մասնավորապես՝ մեքենա-սարքավորումների ձեռքբերումը), ավելացնել գյուղատնտեսության ոլորտին տրամադրվող սուբսիդիաների ծավալը, ինչպես նաև բարձրացնել կենսաթոշակները և այլ սոցիալական ծախսերը: </w:t>
      </w:r>
    </w:p>
    <w:p w:rsidR="00D178DD" w:rsidRPr="00D178DD" w:rsidRDefault="00D178DD" w:rsidP="00D178DD">
      <w:pPr>
        <w:spacing w:before="40" w:after="120" w:line="276" w:lineRule="auto"/>
        <w:ind w:left="709" w:firstLine="0"/>
        <w:rPr>
          <w:rFonts w:eastAsia="Calibri" w:cs="Sylfaen"/>
          <w:b w:val="0"/>
          <w:szCs w:val="22"/>
          <w:lang w:val="hy-AM" w:eastAsia="en-US"/>
        </w:rPr>
      </w:pPr>
    </w:p>
    <w:p w:rsidR="00D178DD" w:rsidRPr="00D178DD" w:rsidRDefault="00D178DD" w:rsidP="00D178DD">
      <w:pPr>
        <w:numPr>
          <w:ilvl w:val="0"/>
          <w:numId w:val="34"/>
        </w:numPr>
        <w:spacing w:before="0" w:line="276" w:lineRule="auto"/>
        <w:contextualSpacing w:val="0"/>
        <w:jc w:val="left"/>
        <w:rPr>
          <w:rFonts w:eastAsia="Calibri" w:cs="Sylfaen"/>
          <w:bCs/>
          <w:szCs w:val="22"/>
          <w:lang w:val="hy-AM" w:eastAsia="en-US"/>
        </w:rPr>
      </w:pPr>
      <w:r w:rsidRPr="00D178DD">
        <w:rPr>
          <w:rFonts w:eastAsia="Calibri" w:cs="Sylfaen"/>
          <w:bCs/>
          <w:szCs w:val="22"/>
          <w:lang w:eastAsia="en-US"/>
        </w:rPr>
        <w:t>Գնաճ և դ</w:t>
      </w:r>
      <w:r w:rsidRPr="00D178DD">
        <w:rPr>
          <w:rFonts w:eastAsia="Calibri" w:cs="Sylfaen"/>
          <w:bCs/>
          <w:szCs w:val="22"/>
          <w:lang w:val="hy-AM" w:eastAsia="en-US"/>
        </w:rPr>
        <w:t>րամավարկային քաղաքականություն</w:t>
      </w:r>
      <w:r w:rsidRPr="00D178DD">
        <w:rPr>
          <w:rFonts w:eastAsia="Calibri" w:cs="Sylfaen"/>
          <w:bCs/>
          <w:szCs w:val="22"/>
          <w:lang w:eastAsia="en-US"/>
        </w:rPr>
        <w:t>.</w:t>
      </w:r>
      <w:r w:rsidRPr="00D178DD">
        <w:rPr>
          <w:rFonts w:ascii="Times New Roman" w:hAnsi="Times New Roman"/>
          <w:b w:val="0"/>
          <w:sz w:val="24"/>
          <w:lang w:val="hy-AM" w:eastAsia="en-US"/>
        </w:rPr>
        <w:t xml:space="preserve"> </w:t>
      </w:r>
      <w:r w:rsidRPr="00D178DD">
        <w:rPr>
          <w:rFonts w:eastAsia="Calibri" w:cs="Sylfaen"/>
          <w:bCs/>
          <w:szCs w:val="22"/>
          <w:lang w:val="hy-AM" w:eastAsia="en-US"/>
        </w:rPr>
        <w:tab/>
      </w:r>
    </w:p>
    <w:p w:rsidR="00D178DD" w:rsidRPr="00D178DD" w:rsidRDefault="00D178DD" w:rsidP="00D178DD">
      <w:pPr>
        <w:numPr>
          <w:ilvl w:val="1"/>
          <w:numId w:val="35"/>
        </w:numPr>
        <w:spacing w:before="0" w:line="276" w:lineRule="auto"/>
        <w:ind w:left="709"/>
        <w:contextualSpacing w:val="0"/>
        <w:rPr>
          <w:rFonts w:ascii="Times New Roman" w:hAnsi="Times New Roman"/>
          <w:b w:val="0"/>
          <w:sz w:val="24"/>
          <w:lang w:val="hy-AM" w:eastAsia="en-US"/>
        </w:rPr>
      </w:pPr>
      <w:r w:rsidRPr="00D178DD">
        <w:rPr>
          <w:rFonts w:eastAsia="Calibri" w:cs="Sylfaen"/>
          <w:b w:val="0"/>
          <w:lang w:val="es-ES"/>
        </w:rPr>
        <w:t>202</w:t>
      </w:r>
      <w:r w:rsidRPr="00D178DD">
        <w:rPr>
          <w:rFonts w:eastAsia="Calibri" w:cs="Sylfaen"/>
          <w:b w:val="0"/>
          <w:lang w:val="hy-AM"/>
        </w:rPr>
        <w:t>2</w:t>
      </w:r>
      <w:r w:rsidRPr="00D178DD">
        <w:rPr>
          <w:rFonts w:eastAsia="Calibri" w:cs="Sylfaen"/>
          <w:b w:val="0"/>
          <w:lang w:val="es-ES"/>
        </w:rPr>
        <w:t>թ</w:t>
      </w:r>
      <w:r w:rsidRPr="00D178DD">
        <w:rPr>
          <w:rFonts w:eastAsia="Calibri" w:cs="Sylfaen"/>
          <w:b w:val="0"/>
          <w:lang w:val="hy-AM"/>
        </w:rPr>
        <w:t>.</w:t>
      </w:r>
      <w:r w:rsidRPr="00D178DD">
        <w:rPr>
          <w:rFonts w:eastAsia="Calibri" w:cs="Sylfaen"/>
          <w:b w:val="0"/>
          <w:lang w:val="es-ES"/>
        </w:rPr>
        <w:t xml:space="preserve"> 12-ամսա գնաճը </w:t>
      </w:r>
      <w:r w:rsidRPr="00D178DD">
        <w:rPr>
          <w:rFonts w:eastAsia="Calibri" w:cs="Sylfaen"/>
          <w:b w:val="0"/>
          <w:lang w:val="hy-AM"/>
        </w:rPr>
        <w:t>կգերազանցի թիրախային միջակայքը՝</w:t>
      </w:r>
      <w:r w:rsidRPr="00D178DD">
        <w:rPr>
          <w:rFonts w:eastAsia="Calibri" w:cs="Sylfaen"/>
          <w:b w:val="0"/>
          <w:lang w:val="es-ES"/>
        </w:rPr>
        <w:t xml:space="preserve"> կազմելով </w:t>
      </w:r>
      <w:r w:rsidRPr="00D178DD">
        <w:rPr>
          <w:rFonts w:eastAsia="Calibri" w:cs="Sylfaen"/>
          <w:b w:val="0"/>
          <w:lang w:val="hy-AM"/>
        </w:rPr>
        <w:t>8.</w:t>
      </w:r>
      <w:r w:rsidRPr="00D178DD">
        <w:rPr>
          <w:rFonts w:eastAsia="Calibri" w:cs="Sylfaen"/>
          <w:b w:val="0"/>
          <w:lang w:val="es-ES"/>
        </w:rPr>
        <w:t>5%</w:t>
      </w:r>
      <w:r w:rsidRPr="00D178DD">
        <w:rPr>
          <w:rFonts w:eastAsia="Calibri" w:cs="Sylfaen"/>
          <w:b w:val="0"/>
          <w:lang w:val="hy-AM"/>
        </w:rPr>
        <w:t xml:space="preserve">, իսկ միջին գնաճը կկազմի </w:t>
      </w:r>
      <w:r w:rsidRPr="00D178DD">
        <w:rPr>
          <w:rFonts w:eastAsia="Calibri" w:cs="Sylfaen"/>
          <w:b w:val="0"/>
          <w:lang w:val="es-ES"/>
        </w:rPr>
        <w:t>8.1</w:t>
      </w:r>
      <w:r w:rsidRPr="00D178DD">
        <w:rPr>
          <w:rFonts w:eastAsia="Calibri" w:cs="Sylfaen"/>
          <w:b w:val="0"/>
          <w:lang w:val="hy-AM"/>
        </w:rPr>
        <w:t>%</w:t>
      </w:r>
      <w:r w:rsidRPr="00D178DD">
        <w:rPr>
          <w:rFonts w:eastAsia="Calibri" w:cs="Sylfaen"/>
          <w:b w:val="0"/>
          <w:lang w:val="es-ES"/>
        </w:rPr>
        <w:t>:</w:t>
      </w:r>
      <w:r w:rsidRPr="00D178DD">
        <w:rPr>
          <w:rFonts w:eastAsia="Calibri" w:cs="Sylfaen"/>
          <w:b w:val="0"/>
          <w:lang w:val="hy-AM"/>
        </w:rPr>
        <w:t xml:space="preserve"> Միջնաժամկետ հատվածում, իրականացվող</w:t>
      </w:r>
      <w:r w:rsidRPr="00D178DD">
        <w:rPr>
          <w:rFonts w:eastAsia="Calibri" w:cs="Sylfaen"/>
          <w:b w:val="0"/>
          <w:lang w:val="es-ES"/>
        </w:rPr>
        <w:t xml:space="preserve"> </w:t>
      </w:r>
      <w:r w:rsidRPr="00D178DD">
        <w:rPr>
          <w:rFonts w:eastAsia="Calibri" w:cs="Sylfaen"/>
          <w:b w:val="0"/>
          <w:lang w:val="hy-AM"/>
        </w:rPr>
        <w:t>դրամավարկային քաղաքականության և աստիճանաբար մեղմվող</w:t>
      </w:r>
      <w:r w:rsidRPr="00D178DD">
        <w:rPr>
          <w:rFonts w:eastAsia="Calibri" w:cs="Sylfaen"/>
          <w:b w:val="0"/>
          <w:lang w:val="es-ES"/>
        </w:rPr>
        <w:t xml:space="preserve"> </w:t>
      </w:r>
      <w:r w:rsidRPr="00D178DD">
        <w:rPr>
          <w:rFonts w:eastAsia="Calibri" w:cs="Sylfaen"/>
          <w:b w:val="0"/>
          <w:lang w:val="hy-AM"/>
        </w:rPr>
        <w:t>ամբողջական պահանջարկի պարագայում գնաճը, կարճաժամկետ</w:t>
      </w:r>
      <w:r w:rsidRPr="00D178DD">
        <w:rPr>
          <w:rFonts w:eastAsia="Calibri" w:cs="Sylfaen"/>
          <w:b w:val="0"/>
          <w:lang w:val="es-ES"/>
        </w:rPr>
        <w:t xml:space="preserve"> </w:t>
      </w:r>
      <w:r w:rsidRPr="00D178DD">
        <w:rPr>
          <w:rFonts w:eastAsia="Calibri" w:cs="Sylfaen"/>
          <w:b w:val="0"/>
          <w:lang w:val="hy-AM"/>
        </w:rPr>
        <w:t>հատվածում մնալով թիրախից բարձր մակարդակում, կսկսի աստիճանաբար նվազել՝ 2023 թ. ընթացքում մոտենալով իր նպատակային</w:t>
      </w:r>
      <w:r w:rsidRPr="00D178DD">
        <w:rPr>
          <w:rFonts w:eastAsia="Calibri" w:cs="Sylfaen"/>
          <w:b w:val="0"/>
          <w:lang w:val="es-ES"/>
        </w:rPr>
        <w:t xml:space="preserve"> </w:t>
      </w:r>
      <w:r w:rsidRPr="00D178DD">
        <w:rPr>
          <w:rFonts w:eastAsia="Calibri" w:cs="Sylfaen"/>
          <w:b w:val="0"/>
          <w:lang w:val="hy-AM"/>
        </w:rPr>
        <w:t>ցուցանիշին։</w:t>
      </w:r>
    </w:p>
    <w:p w:rsidR="00D178DD" w:rsidRPr="00D178DD" w:rsidRDefault="00D178DD" w:rsidP="00D178DD">
      <w:pPr>
        <w:numPr>
          <w:ilvl w:val="1"/>
          <w:numId w:val="35"/>
        </w:numPr>
        <w:spacing w:before="0" w:line="276" w:lineRule="auto"/>
        <w:ind w:left="709"/>
        <w:contextualSpacing w:val="0"/>
        <w:rPr>
          <w:rFonts w:ascii="Times New Roman" w:hAnsi="Times New Roman"/>
          <w:b w:val="0"/>
          <w:sz w:val="24"/>
          <w:lang w:val="hy-AM" w:eastAsia="en-US"/>
        </w:rPr>
      </w:pPr>
      <w:r w:rsidRPr="00D178DD">
        <w:rPr>
          <w:rFonts w:eastAsia="Calibri" w:cs="Sylfaen"/>
          <w:b w:val="0"/>
          <w:bCs/>
          <w:szCs w:val="22"/>
          <w:lang w:val="hy-AM" w:eastAsia="en-US"/>
        </w:rPr>
        <w:t>Տնտեսական հեռանկարի հետ կապված անորոշության և գնաճային սպասումների ավելացման ռիսկերի դրսևորման պարագայում ԿԲ-ն պատրաստ է համապատասխանորեն արձագանքել՝ նպատակ ունենալով ապահովել գների կայունացումը թիրախի շուրջ:</w:t>
      </w:r>
    </w:p>
    <w:p w:rsidR="00D178DD" w:rsidRPr="00D178DD" w:rsidRDefault="00D178DD" w:rsidP="00D178DD">
      <w:pPr>
        <w:keepNext/>
        <w:keepLines/>
        <w:spacing w:before="0" w:line="276" w:lineRule="auto"/>
        <w:outlineLvl w:val="2"/>
        <w:rPr>
          <w:rFonts w:eastAsia="GHEA Grapalat" w:cs="GHEA Grapalat"/>
          <w:b w:val="0"/>
          <w:color w:val="000000"/>
          <w:szCs w:val="22"/>
          <w:lang w:val="hy-AM"/>
        </w:rPr>
      </w:pPr>
      <w:r w:rsidRPr="00D178DD">
        <w:rPr>
          <w:rFonts w:eastAsia="Calibri" w:cs="Sylfaen"/>
          <w:b w:val="0"/>
          <w:bCs/>
          <w:color w:val="C00000"/>
          <w:szCs w:val="22"/>
          <w:lang w:val="hy-AM"/>
        </w:rPr>
        <w:br w:type="page"/>
      </w:r>
    </w:p>
    <w:p w:rsidR="00D178DD" w:rsidRPr="00D178DD" w:rsidRDefault="00D178DD" w:rsidP="00D178DD">
      <w:pPr>
        <w:spacing w:before="0" w:line="240" w:lineRule="auto"/>
        <w:ind w:firstLine="0"/>
        <w:contextualSpacing w:val="0"/>
        <w:jc w:val="left"/>
        <w:rPr>
          <w:rFonts w:eastAsia="GHEA Grapalat" w:cs="GHEA Grapalat"/>
          <w:b w:val="0"/>
          <w:color w:val="000000"/>
          <w:szCs w:val="22"/>
          <w:lang w:val="hy-AM"/>
        </w:rPr>
      </w:pPr>
    </w:p>
    <w:p w:rsidR="00D178DD" w:rsidRPr="00D178DD" w:rsidRDefault="00D178DD" w:rsidP="00D178DD">
      <w:pPr>
        <w:keepNext/>
        <w:keepLines/>
        <w:spacing w:before="240" w:after="60" w:line="276" w:lineRule="auto"/>
        <w:ind w:firstLine="0"/>
        <w:outlineLvl w:val="2"/>
        <w:rPr>
          <w:bCs/>
          <w:sz w:val="24"/>
          <w:lang w:val="hy-AM" w:eastAsia="en-US"/>
        </w:rPr>
      </w:pPr>
      <w:bookmarkStart w:id="55" w:name="_Toc46154348"/>
      <w:bookmarkStart w:id="56" w:name="_Toc51360534"/>
      <w:bookmarkStart w:id="57" w:name="_Toc51947417"/>
      <w:bookmarkStart w:id="58" w:name="_Toc52452090"/>
      <w:bookmarkStart w:id="59" w:name="_Toc57559417"/>
      <w:bookmarkStart w:id="60" w:name="_Toc83663898"/>
      <w:bookmarkStart w:id="61" w:name="_Toc83972834"/>
      <w:bookmarkStart w:id="62" w:name="_Toc115686020"/>
      <w:bookmarkStart w:id="63" w:name="_Toc120805194"/>
      <w:bookmarkStart w:id="64" w:name="_Toc165901406"/>
      <w:r w:rsidRPr="00D178DD">
        <w:rPr>
          <w:bCs/>
          <w:sz w:val="24"/>
          <w:lang w:val="hy-AM" w:eastAsia="en-US"/>
        </w:rPr>
        <w:t>1.5. ՄԱԿՐՈՏՆՏԵՍԱԿԱՆ ԿԱՆԽԱՏԵՍՈՒՄՆԵՐԻ ՌԻՍԿԵՐԸ</w:t>
      </w:r>
      <w:bookmarkEnd w:id="55"/>
      <w:bookmarkEnd w:id="56"/>
      <w:bookmarkEnd w:id="57"/>
      <w:bookmarkEnd w:id="58"/>
      <w:bookmarkEnd w:id="59"/>
      <w:bookmarkEnd w:id="60"/>
      <w:bookmarkEnd w:id="61"/>
      <w:bookmarkEnd w:id="62"/>
      <w:bookmarkEnd w:id="63"/>
      <w:bookmarkEnd w:id="64"/>
    </w:p>
    <w:p w:rsidR="00D178DD" w:rsidRPr="00D178DD" w:rsidRDefault="00D178DD" w:rsidP="00D178DD">
      <w:pPr>
        <w:spacing w:before="0" w:after="120" w:line="276" w:lineRule="auto"/>
        <w:ind w:right="111" w:firstLine="360"/>
        <w:contextualSpacing w:val="0"/>
        <w:rPr>
          <w:rFonts w:eastAsia="Calibri"/>
          <w:b w:val="0"/>
          <w:szCs w:val="22"/>
          <w:lang w:val="hy-AM" w:eastAsia="en-US"/>
        </w:rPr>
      </w:pPr>
      <w:r w:rsidRPr="00D178DD">
        <w:rPr>
          <w:rFonts w:eastAsia="Calibri"/>
          <w:b w:val="0"/>
          <w:szCs w:val="22"/>
          <w:lang w:val="es-ES" w:eastAsia="en-U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D178DD">
        <w:rPr>
          <w:rFonts w:eastAsia="Calibri"/>
          <w:b w:val="0"/>
          <w:szCs w:val="22"/>
          <w:lang w:val="hy-AM" w:eastAsia="en-US"/>
        </w:rPr>
        <w:t xml:space="preserve"> </w:t>
      </w:r>
      <w:r w:rsidRPr="00D178DD">
        <w:rPr>
          <w:rFonts w:eastAsia="Calibri"/>
          <w:b w:val="0"/>
          <w:szCs w:val="22"/>
          <w:lang w:val="es-ES" w:eastAsia="en-US"/>
        </w:rPr>
        <w:t>կանխատեսումների համեմատ:</w:t>
      </w:r>
      <w:r w:rsidRPr="00D178DD">
        <w:rPr>
          <w:rFonts w:eastAsia="Calibri"/>
          <w:b w:val="0"/>
          <w:szCs w:val="22"/>
          <w:lang w:val="hy-AM" w:eastAsia="en-US"/>
        </w:rPr>
        <w:t xml:space="preserve"> Ռիսկերի տեղի ունենալու դեպքում շեղումներ կարձանագրվեն սույն փաստաթղթի </w:t>
      </w:r>
      <w:r w:rsidRPr="00D178DD">
        <w:rPr>
          <w:rFonts w:eastAsia="Calibri"/>
          <w:b w:val="0"/>
          <w:szCs w:val="22"/>
          <w:lang w:val="es-ES" w:eastAsia="en-US"/>
        </w:rPr>
        <w:t>1.4</w:t>
      </w:r>
      <w:r w:rsidRPr="00D178DD">
        <w:rPr>
          <w:rFonts w:eastAsia="Calibri"/>
          <w:b w:val="0"/>
          <w:szCs w:val="22"/>
          <w:lang w:val="hy-AM" w:eastAsia="en-US"/>
        </w:rPr>
        <w:t xml:space="preserve">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 այս պետական բյուջեի շրջանակից։</w:t>
      </w:r>
    </w:p>
    <w:p w:rsidR="00D178DD" w:rsidRPr="00D178DD" w:rsidRDefault="00D178DD" w:rsidP="00D178DD">
      <w:pPr>
        <w:spacing w:before="0" w:after="120" w:line="276" w:lineRule="auto"/>
        <w:ind w:right="111" w:firstLine="360"/>
        <w:contextualSpacing w:val="0"/>
        <w:rPr>
          <w:rFonts w:eastAsia="Calibri"/>
          <w:b w:val="0"/>
          <w:szCs w:val="22"/>
          <w:lang w:val="hy-AM" w:eastAsia="en-US"/>
        </w:rPr>
      </w:pPr>
      <w:r w:rsidRPr="00D178DD">
        <w:rPr>
          <w:rFonts w:eastAsia="Calibri"/>
          <w:b w:val="0"/>
          <w:szCs w:val="22"/>
          <w:lang w:val="hy-AM" w:eastAsia="en-US"/>
        </w:rPr>
        <w:t>COVID-19 համավարակի հետևանքները դեռ չհաղթահարած տարածաշրջանը բախվեց ռուս-ուկրաինական հակամարտության առաջացրած աշխարհաքաղաքական և տնտեսական մարտահրավերներին, ինչի բացասական հետևանքներն արդեն տեսանելի են ոչ միայն տարածաշրջանում, այլ նաև ամբողջ աշխարհում, այդ թվում՝ ՀՀ համար Ռուսաստանից հետո երկրորդ ամենամեծ առևտրային գործընկեր՝ Եվրագոտու երկրներում։ Ռուս-ուկրաինական հակամարտությունը և Ռուսաստանի դեմ կիրառված աննախադեպ պատժամիջոցները դեռ համավարակից չսթափված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w:t>
      </w:r>
    </w:p>
    <w:p w:rsidR="00D178DD" w:rsidRPr="00D178DD" w:rsidRDefault="00D178DD" w:rsidP="00D178DD">
      <w:pPr>
        <w:spacing w:before="0" w:after="120" w:line="276" w:lineRule="auto"/>
        <w:ind w:right="111" w:firstLine="360"/>
        <w:contextualSpacing w:val="0"/>
        <w:rPr>
          <w:rFonts w:eastAsia="Calibri"/>
          <w:b w:val="0"/>
          <w:szCs w:val="22"/>
          <w:lang w:val="hy-AM" w:eastAsia="en-US"/>
        </w:rPr>
      </w:pPr>
      <w:r w:rsidRPr="00D178DD">
        <w:rPr>
          <w:rFonts w:eastAsia="Calibri"/>
          <w:b w:val="0"/>
          <w:szCs w:val="22"/>
          <w:lang w:val="hy-AM" w:eastAsia="en-US"/>
        </w:rPr>
        <w:t>Վերոնշյալ իրողությունների պայմաններում 2023թ. համար ՀՀ կառավարության թիրախավորած 7% տնտեսական աճի շուրջ առկա են անորոշություններ։</w:t>
      </w:r>
    </w:p>
    <w:p w:rsidR="00D178DD" w:rsidRPr="00D178DD" w:rsidRDefault="00D178DD" w:rsidP="00D178DD">
      <w:pPr>
        <w:rPr>
          <w:rFonts w:eastAsia="Calibri"/>
          <w:lang w:val="hy-AM" w:eastAsia="en-US"/>
        </w:rPr>
      </w:pPr>
    </w:p>
    <w:p w:rsidR="00D178DD" w:rsidRPr="00D178DD" w:rsidRDefault="00D178DD" w:rsidP="00D178DD">
      <w:pPr>
        <w:keepNext/>
        <w:keepLines/>
        <w:spacing w:before="240" w:after="60" w:line="276" w:lineRule="auto"/>
        <w:ind w:left="709" w:hanging="425"/>
        <w:jc w:val="left"/>
        <w:outlineLvl w:val="2"/>
        <w:rPr>
          <w:color w:val="1F4E79"/>
          <w:sz w:val="24"/>
          <w:szCs w:val="22"/>
          <w:lang w:val="hy-AM" w:eastAsia="en-US"/>
        </w:rPr>
      </w:pPr>
      <w:bookmarkStart w:id="65" w:name="_Toc106795035"/>
      <w:bookmarkStart w:id="66" w:name="_Toc115686021"/>
      <w:bookmarkStart w:id="67" w:name="_Toc120805195"/>
      <w:bookmarkStart w:id="68" w:name="_Toc165901407"/>
      <w:r w:rsidRPr="00D178DD">
        <w:rPr>
          <w:sz w:val="24"/>
          <w:szCs w:val="22"/>
          <w:lang w:val="hy-AM" w:eastAsia="en-US"/>
        </w:rPr>
        <w:t>1.5.1. ՀՀ տնտեսական աճի դեպի ներքև ուղղությամբ ռիսկեր</w:t>
      </w:r>
      <w:bookmarkEnd w:id="65"/>
      <w:bookmarkEnd w:id="66"/>
      <w:bookmarkEnd w:id="67"/>
      <w:bookmarkEnd w:id="68"/>
    </w:p>
    <w:p w:rsidR="00D178DD" w:rsidRPr="00D178DD" w:rsidRDefault="00D178DD" w:rsidP="00D178DD">
      <w:pPr>
        <w:spacing w:before="40" w:after="120" w:line="276" w:lineRule="auto"/>
        <w:ind w:right="540" w:firstLine="0"/>
        <w:rPr>
          <w:rFonts w:eastAsia="Calibri" w:cs="Sylfaen"/>
          <w:bCs/>
          <w:szCs w:val="22"/>
          <w:lang w:val="hy-AM" w:eastAsia="en-US"/>
        </w:rPr>
      </w:pPr>
      <w:r w:rsidRPr="00D178DD">
        <w:rPr>
          <w:rFonts w:eastAsia="Calibri" w:cs="Sylfaen"/>
          <w:bCs/>
          <w:szCs w:val="22"/>
          <w:lang w:val="hy-AM" w:eastAsia="en-US"/>
        </w:rPr>
        <w:t xml:space="preserve">Արտաքին միջավայրից բխող դեպի ներքև ռիսկերը պայմանվորված են՝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Ռուս-ուկրաինական հակամարտության պայմաններում համաշխարհային տնտեսության, մասնավորապես ՀՀ գործընկեր երկրների տնտեսական աճերի սպասվածից ավելի վատ դրսևորումներով,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Համաշխարհային արժեշղթաների խաթարման և պարենային ապրանքների վրա արտահանման սահմանափակումների պայմաններում արտաքին աշխարհից ներթափանցող սպասվածից առավել գնաճային ճնշումներով,</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ՀՀ հիմնական գործընկեր երկրներում գնաճային ճնշումների պայմաններում դրամավարկային պայմանների սպասվածից առավել խստացման արդյունքում տնտեսական աճերի դանդաղմամբ, զարգացած երկրներում տոկոսադրույքների սպասվածից առավել բարձրացման պայմաններում ՀՀ-ից կապիտալի զուտ արտահոսքի և մասնավոր հատվածի և կառավարության արտաքին պարտքով պակասուրդների ֆինանսավորման թանկացմամբ,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ՀՀ ապրանքների արտահանման մատակարարումների լոգիստիկ խնդիրների խորացմամբ,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COVID-19 համավարակի տարածման անորոշություններով,</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lastRenderedPageBreak/>
        <w:t>ՌԴ-ից մարդկանց և կապիտալի սպասվածից ավելի քիչ հոսքերով, ինչպես նաև  ՀՀ տեղափոխված ՏՏ ոլորտի ընկերությունների և աշխատակիցների ՀՀ-ում մնալու անորոշություններով,</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cs="Tahoma"/>
          <w:b w:val="0"/>
          <w:szCs w:val="22"/>
          <w:lang w:val="hy-AM" w:eastAsia="en-US"/>
        </w:rPr>
        <w:t>Աշխարհաքաղաքական</w:t>
      </w:r>
      <w:r w:rsidRPr="00D178DD">
        <w:rPr>
          <w:rFonts w:cs="Tahoma"/>
          <w:b w:val="0"/>
          <w:szCs w:val="22"/>
          <w:lang w:val="it-IT" w:eastAsia="en-US"/>
        </w:rPr>
        <w:t xml:space="preserve"> իրա</w:t>
      </w:r>
      <w:r w:rsidRPr="00D178DD">
        <w:rPr>
          <w:rFonts w:cs="Tahoma"/>
          <w:b w:val="0"/>
          <w:szCs w:val="22"/>
          <w:lang w:val="hy-AM" w:eastAsia="en-US"/>
        </w:rPr>
        <w:t>վիճակով</w:t>
      </w:r>
      <w:r w:rsidRPr="00D178DD">
        <w:rPr>
          <w:rFonts w:cs="Tahoma"/>
          <w:b w:val="0"/>
          <w:szCs w:val="22"/>
          <w:lang w:val="it-IT" w:eastAsia="en-US"/>
        </w:rPr>
        <w:t xml:space="preserve">, </w:t>
      </w:r>
      <w:r w:rsidRPr="00D178DD">
        <w:rPr>
          <w:rFonts w:cs="Tahoma"/>
          <w:b w:val="0"/>
          <w:szCs w:val="22"/>
          <w:lang w:val="hy-AM" w:eastAsia="en-US"/>
        </w:rPr>
        <w:t>այդ</w:t>
      </w:r>
      <w:r w:rsidRPr="00D178DD">
        <w:rPr>
          <w:rFonts w:cs="Tahoma"/>
          <w:b w:val="0"/>
          <w:szCs w:val="22"/>
          <w:lang w:val="it-IT" w:eastAsia="en-US"/>
        </w:rPr>
        <w:t xml:space="preserve"> </w:t>
      </w:r>
      <w:r w:rsidRPr="00D178DD">
        <w:rPr>
          <w:rFonts w:cs="Tahoma"/>
          <w:b w:val="0"/>
          <w:szCs w:val="22"/>
          <w:lang w:val="hy-AM" w:eastAsia="en-US"/>
        </w:rPr>
        <w:t>թվում</w:t>
      </w:r>
      <w:r w:rsidRPr="00D178DD">
        <w:rPr>
          <w:rFonts w:cs="Tahoma"/>
          <w:b w:val="0"/>
          <w:szCs w:val="22"/>
          <w:lang w:val="it-IT" w:eastAsia="en-US"/>
        </w:rPr>
        <w:t xml:space="preserve">` </w:t>
      </w:r>
      <w:r w:rsidRPr="00D178DD">
        <w:rPr>
          <w:rFonts w:cs="Tahoma"/>
          <w:b w:val="0"/>
          <w:szCs w:val="22"/>
          <w:lang w:val="hy-AM" w:eastAsia="en-US"/>
        </w:rPr>
        <w:t>տարածաշրջանային ռազմական հակամարտությունների առկայությամբ:</w:t>
      </w:r>
    </w:p>
    <w:p w:rsidR="00D178DD" w:rsidRPr="00D178DD" w:rsidRDefault="00D178DD" w:rsidP="00D178DD">
      <w:pPr>
        <w:spacing w:before="40" w:after="120" w:line="276" w:lineRule="auto"/>
        <w:ind w:left="1080" w:right="540" w:firstLine="0"/>
        <w:rPr>
          <w:rFonts w:eastAsia="Calibri" w:cs="Sylfaen"/>
          <w:b w:val="0"/>
          <w:bCs/>
          <w:szCs w:val="22"/>
          <w:lang w:val="hy-AM" w:eastAsia="en-US"/>
        </w:rPr>
      </w:pPr>
    </w:p>
    <w:p w:rsidR="00D178DD" w:rsidRPr="00D178DD" w:rsidRDefault="00D178DD" w:rsidP="00D178DD">
      <w:pPr>
        <w:spacing w:before="40" w:after="120" w:line="276" w:lineRule="auto"/>
        <w:ind w:right="540" w:firstLine="0"/>
        <w:rPr>
          <w:rFonts w:eastAsia="Calibri" w:cs="Sylfaen"/>
          <w:bCs/>
          <w:szCs w:val="22"/>
          <w:lang w:val="hy-AM" w:eastAsia="en-US"/>
        </w:rPr>
      </w:pPr>
      <w:r w:rsidRPr="00D178DD">
        <w:rPr>
          <w:rFonts w:eastAsia="Calibri" w:cs="Sylfaen"/>
          <w:bCs/>
          <w:szCs w:val="22"/>
          <w:lang w:val="hy-AM" w:eastAsia="en-US"/>
        </w:rPr>
        <w:t>Ներքին միջավայրից բխող դեպի ներքև ռիսկերը պայմանավորված են՝</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szCs w:val="22"/>
          <w:lang w:val="hy-AM" w:eastAsia="en-US"/>
        </w:rPr>
        <w:t>ՀՀ դրամի փոխարժեքի սպասվածից առավել արժևորման ռիսկերով պայմանավորված արտահանման հնարավոր դանդաղմամբ, դոլարային դրամական փոխանցումների ցածր գնողունակությամբ,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Գնաճային սպասումների հնարավոր ավելացման պայմաններում ԿԲ սպասվածից առավել խիստ դրամավարկային քաղաքականության իրականացմամբ,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Կանխատեսվածից բարձր գնաճային ճնշումների արդյունքում բնակչության իրական եկամուտների նվազմամբ,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Պետական կապիտալ ծախսերի հնարավոր թերակատարմամբ,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ՀՀ կառավարության կառուցվածքային բարեփոխումների, ներդրումների խթանման և տնտեսության արդիականացմանն ուղղված քաղաքականությունների ակնկալվող արդյունքների սպասվածից ավելի ուշ արտահայտմամբ,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cs="Sylfaen"/>
          <w:b w:val="0"/>
          <w:szCs w:val="22"/>
          <w:lang w:val="hy-AM" w:eastAsia="en-US"/>
        </w:rPr>
        <w:t>Բ</w:t>
      </w:r>
      <w:r w:rsidRPr="00D178DD">
        <w:rPr>
          <w:rFonts w:cs="Sylfaen"/>
          <w:b w:val="0"/>
          <w:szCs w:val="22"/>
          <w:lang w:val="it-IT" w:eastAsia="en-US"/>
        </w:rPr>
        <w:t>նա</w:t>
      </w:r>
      <w:r w:rsidRPr="00D178DD">
        <w:rPr>
          <w:rFonts w:cs="Sylfaen"/>
          <w:b w:val="0"/>
          <w:szCs w:val="22"/>
          <w:lang w:val="it-IT" w:eastAsia="en-US"/>
        </w:rPr>
        <w:softHyphen/>
        <w:t>կլիմայական անբարենպաստ պայման</w:t>
      </w:r>
      <w:r w:rsidRPr="00D178DD">
        <w:rPr>
          <w:rFonts w:cs="Sylfaen"/>
          <w:b w:val="0"/>
          <w:szCs w:val="22"/>
          <w:lang w:val="it-IT" w:eastAsia="en-US"/>
        </w:rPr>
        <w:softHyphen/>
        <w:t>ների շարունակական դրսևորման հետևանքով գյուղատնտեսության ճյուղում հնարավոր ավելի ցածր աճի արձանագրմամբ:</w:t>
      </w:r>
    </w:p>
    <w:p w:rsidR="00D178DD" w:rsidRPr="00D178DD" w:rsidRDefault="00D178DD" w:rsidP="00D178DD">
      <w:pPr>
        <w:keepNext/>
        <w:keepLines/>
        <w:spacing w:before="240" w:after="60" w:line="276" w:lineRule="auto"/>
        <w:ind w:left="709" w:hanging="425"/>
        <w:jc w:val="left"/>
        <w:outlineLvl w:val="2"/>
        <w:rPr>
          <w:sz w:val="24"/>
          <w:szCs w:val="22"/>
          <w:lang w:val="hy-AM" w:eastAsia="en-US"/>
        </w:rPr>
      </w:pPr>
      <w:bookmarkStart w:id="69" w:name="_Toc106795036"/>
      <w:bookmarkStart w:id="70" w:name="_Toc115686022"/>
      <w:bookmarkStart w:id="71" w:name="_Toc120805196"/>
      <w:bookmarkStart w:id="72" w:name="_Toc165901408"/>
      <w:r w:rsidRPr="00D178DD">
        <w:rPr>
          <w:sz w:val="24"/>
          <w:szCs w:val="22"/>
          <w:lang w:val="hy-AM" w:eastAsia="en-US"/>
        </w:rPr>
        <w:t>1.5.2. Տնտեսական աճի դեպի վերև ուղղությամբ ռիսկեր</w:t>
      </w:r>
      <w:bookmarkEnd w:id="69"/>
      <w:bookmarkEnd w:id="70"/>
      <w:bookmarkEnd w:id="71"/>
      <w:bookmarkEnd w:id="72"/>
      <w:r w:rsidRPr="00D178DD">
        <w:rPr>
          <w:sz w:val="24"/>
          <w:szCs w:val="22"/>
          <w:lang w:val="hy-AM" w:eastAsia="en-US"/>
        </w:rPr>
        <w:t xml:space="preserve"> </w:t>
      </w:r>
    </w:p>
    <w:p w:rsidR="00D178DD" w:rsidRPr="00D178DD" w:rsidRDefault="00D178DD" w:rsidP="00D178DD">
      <w:pPr>
        <w:spacing w:before="40" w:after="120" w:line="276" w:lineRule="auto"/>
        <w:ind w:right="540" w:firstLine="0"/>
        <w:rPr>
          <w:rFonts w:eastAsia="Calibri" w:cs="Sylfaen"/>
          <w:bCs/>
          <w:szCs w:val="22"/>
          <w:lang w:val="hy-AM" w:eastAsia="en-US"/>
        </w:rPr>
      </w:pPr>
      <w:r w:rsidRPr="00D178DD">
        <w:rPr>
          <w:rFonts w:eastAsia="Calibri" w:cs="Sylfaen"/>
          <w:b w:val="0"/>
          <w:bCs/>
          <w:szCs w:val="22"/>
          <w:lang w:val="hy-AM" w:eastAsia="en-US"/>
        </w:rPr>
        <w:t xml:space="preserve">     </w:t>
      </w:r>
      <w:r w:rsidRPr="00D178DD">
        <w:rPr>
          <w:rFonts w:eastAsia="Calibri" w:cs="Sylfaen"/>
          <w:bCs/>
          <w:szCs w:val="22"/>
          <w:lang w:val="hy-AM" w:eastAsia="en-US"/>
        </w:rPr>
        <w:t xml:space="preserve">Արտաքին գործոններից բխող դեպի վերև ռիսկերը պայմանավորված են՝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Ռուսատանի նկատմամբ արևմուտքի կողմից կիրառվող պատժամիջոցների արդյունքում ՀՀ տնտեսության համար ստեղծված նոր հնարավորությունների մեծացմամբ. մասնավորապես, Ռուսաստանի դեմ կիրառված աննախադեպ տարաբնույթ պատժամիջոցների պայմաններում Հայաստանը՝ որպես առևտրային, լոգիստիկ և ֆինանսական հանգույց ծառայելու առավել մեծ հնարավորությամբ,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ՌԴ տնտեսության ավելի արագ վերականգնմամբ, քան կանխատեսումներում արված ենթադրություններն են,</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 xml:space="preserve">Ռուսաստանից դեպի Հայաստան կապիտալի և ՏՏ ոլորտի ընկերությունների սպասվածից առավել մեծ ներհոսքով,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COVID-19 hամավարակի հաղթահարման պայմաններում համաշխարհային տուրիզմի՝ սպասվածից ավելի շուտ վերականգմամբ,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ՀՀ գործընկեր երկրների խաթարված մատակարարման շղթաների արագ վերականգնմամբ,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lastRenderedPageBreak/>
        <w:t>ՌԴ-ից դեպի Հայաստան դրամական փոխանցումների սպասվածից ավելի բարձր աճով:</w:t>
      </w:r>
    </w:p>
    <w:p w:rsidR="00D178DD" w:rsidRPr="00D178DD" w:rsidRDefault="00D178DD" w:rsidP="00D178DD">
      <w:pPr>
        <w:spacing w:before="40" w:after="120" w:line="276" w:lineRule="auto"/>
        <w:ind w:left="1080" w:right="-31" w:firstLine="0"/>
        <w:rPr>
          <w:rFonts w:eastAsia="Calibri" w:cs="Sylfaen"/>
          <w:b w:val="0"/>
          <w:bCs/>
          <w:szCs w:val="22"/>
          <w:lang w:val="hy-AM" w:eastAsia="en-US"/>
        </w:rPr>
      </w:pPr>
    </w:p>
    <w:p w:rsidR="00D178DD" w:rsidRPr="00D178DD" w:rsidRDefault="00D178DD" w:rsidP="00D178DD">
      <w:pPr>
        <w:spacing w:before="40" w:after="120" w:line="276" w:lineRule="auto"/>
        <w:ind w:right="-31" w:firstLine="0"/>
        <w:rPr>
          <w:rFonts w:eastAsia="Calibri" w:cs="Sylfaen"/>
          <w:bCs/>
          <w:szCs w:val="22"/>
          <w:lang w:val="hy-AM" w:eastAsia="en-US"/>
        </w:rPr>
      </w:pPr>
      <w:r w:rsidRPr="00D178DD">
        <w:rPr>
          <w:rFonts w:eastAsia="Calibri" w:cs="Sylfaen"/>
          <w:bCs/>
          <w:szCs w:val="22"/>
          <w:lang w:val="hy-AM" w:eastAsia="en-US"/>
        </w:rPr>
        <w:t xml:space="preserve">Ներքին միջավայրից բխող դեպի վերև ռիսկերը պայմանավորված են` </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ՀՀ կառավարության Տնտեսական արձագանքման ծրագրով</w:t>
      </w:r>
      <w:r w:rsidRPr="00D178DD">
        <w:rPr>
          <w:rFonts w:eastAsia="Calibri" w:cs="Sylfaen"/>
          <w:b w:val="0"/>
          <w:bCs/>
          <w:szCs w:val="22"/>
          <w:vertAlign w:val="superscript"/>
          <w:lang w:val="hy-AM" w:eastAsia="en-US"/>
        </w:rPr>
        <w:footnoteReference w:id="10"/>
      </w:r>
      <w:r w:rsidRPr="00D178DD">
        <w:rPr>
          <w:rFonts w:eastAsia="Calibri" w:cs="Sylfaen"/>
          <w:b w:val="0"/>
          <w:bCs/>
          <w:szCs w:val="22"/>
          <w:lang w:val="hy-AM" w:eastAsia="en-US"/>
        </w:rPr>
        <w:t xml:space="preserve"> նախատեսված խոշոր մասնավոր ներդրումային ծրագրերի իրականացմամբ,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Մասնավոր ներդրումների խթանմանն ուղղված ծրագրի (ANIF) իրականացման՝ տնտեսական ակտիվության վրա հնարավոր լրացուցիչ դրական ազդեցությամբ,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Թեղուտի և Ամուլսարի հանքավայրերի հնարավոր, ոչ տնտեսական ռիսկերով ապահովագրված, շահագործումից բխող տնտեսական ակտիվության արագացմամբ:</w:t>
      </w:r>
    </w:p>
    <w:p w:rsidR="00D178DD" w:rsidRPr="00D178DD" w:rsidRDefault="00D178DD" w:rsidP="00D178DD">
      <w:pPr>
        <w:numPr>
          <w:ilvl w:val="0"/>
          <w:numId w:val="37"/>
        </w:numPr>
        <w:spacing w:before="40" w:after="120" w:line="276" w:lineRule="auto"/>
        <w:ind w:right="-31"/>
        <w:contextualSpacing w:val="0"/>
        <w:rPr>
          <w:rFonts w:eastAsia="Calibri" w:cs="Sylfaen"/>
          <w:b w:val="0"/>
          <w:bCs/>
          <w:szCs w:val="22"/>
          <w:lang w:val="hy-AM" w:eastAsia="en-US"/>
        </w:rPr>
      </w:pPr>
      <w:r w:rsidRPr="00D178DD">
        <w:rPr>
          <w:rFonts w:eastAsia="Calibri" w:cs="Sylfaen"/>
          <w:b w:val="0"/>
          <w:bCs/>
          <w:szCs w:val="22"/>
          <w:lang w:val="hy-AM" w:eastAsia="en-US"/>
        </w:rPr>
        <w:t>Հիփոթեքային վարկերի տոկոսավճարների եկամտահարկից վերադարձման պետական աջակցության ծրագրի աստիճանական Երևան քաղաքից դուրսբերման արդյունքում բնակարանային շինարարության սպասվածից ավելի բարձ աճերով:</w:t>
      </w:r>
    </w:p>
    <w:p w:rsidR="00D178DD" w:rsidRPr="00D178DD" w:rsidRDefault="00D178DD" w:rsidP="00250E4C">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D178DD">
        <w:rPr>
          <w:rFonts w:eastAsia="Calibri" w:cs="Sylfaen"/>
          <w:bCs/>
          <w:i/>
          <w:iCs/>
          <w:color w:val="000000"/>
          <w:sz w:val="20"/>
          <w:szCs w:val="20"/>
          <w:lang w:val="hy-AM" w:eastAsia="en-US"/>
        </w:rPr>
        <w:t>Գծապատկեր 1.</w:t>
      </w:r>
      <w:r w:rsidR="00250E4C">
        <w:rPr>
          <w:rFonts w:eastAsia="Calibri" w:cs="Sylfaen"/>
          <w:bCs/>
          <w:i/>
          <w:iCs/>
          <w:color w:val="000000"/>
          <w:sz w:val="20"/>
          <w:szCs w:val="20"/>
          <w:lang w:val="hy-AM" w:eastAsia="en-US"/>
        </w:rPr>
        <w:t>29</w:t>
      </w:r>
      <w:r w:rsidRPr="00D178DD">
        <w:rPr>
          <w:rFonts w:eastAsia="Calibri" w:cs="Sylfaen"/>
          <w:bCs/>
          <w:i/>
          <w:iCs/>
          <w:color w:val="000000"/>
          <w:sz w:val="20"/>
          <w:szCs w:val="20"/>
          <w:lang w:val="hy-AM" w:eastAsia="en-US"/>
        </w:rPr>
        <w:t xml:space="preserve">. </w:t>
      </w:r>
      <w:r w:rsidRPr="00D178DD">
        <w:rPr>
          <w:rFonts w:eastAsia="Calibri" w:cs="Sylfaen"/>
          <w:b w:val="0"/>
          <w:bCs/>
          <w:i/>
          <w:iCs/>
          <w:color w:val="000000"/>
          <w:sz w:val="20"/>
          <w:szCs w:val="20"/>
          <w:lang w:val="hy-AM" w:eastAsia="en-US"/>
        </w:rPr>
        <w:t>Իրական ՀՆԱ աճի կանխատեսման հավանականությունների բաշխումը (Fan Chart)</w:t>
      </w:r>
    </w:p>
    <w:p w:rsidR="00D178DD" w:rsidRPr="00D178DD" w:rsidRDefault="00D178DD" w:rsidP="00D178DD">
      <w:pPr>
        <w:keepNext/>
        <w:keepLines/>
        <w:spacing w:before="0" w:line="276" w:lineRule="auto"/>
        <w:ind w:right="111" w:firstLine="0"/>
        <w:contextualSpacing w:val="0"/>
        <w:jc w:val="left"/>
        <w:rPr>
          <w:rFonts w:eastAsia="Calibri" w:cs="Sylfaen"/>
          <w:b w:val="0"/>
          <w:bCs/>
          <w:i/>
          <w:iCs/>
          <w:color w:val="000000"/>
          <w:sz w:val="20"/>
          <w:szCs w:val="20"/>
          <w:lang w:val="hy-AM" w:eastAsia="en-US"/>
        </w:rPr>
      </w:pPr>
    </w:p>
    <w:p w:rsidR="00D178DD" w:rsidRPr="00D178DD" w:rsidRDefault="00D178DD" w:rsidP="00D178DD">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D178DD">
        <w:rPr>
          <w:noProof/>
          <w:lang w:val="en-US" w:eastAsia="en-US"/>
        </w:rPr>
        <w:drawing>
          <wp:inline distT="0" distB="0" distL="0" distR="0" wp14:anchorId="23DB92B0" wp14:editId="3997244F">
            <wp:extent cx="6172200" cy="3819525"/>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178DD" w:rsidRPr="00D178DD" w:rsidRDefault="00D178DD" w:rsidP="00D178DD">
      <w:pPr>
        <w:tabs>
          <w:tab w:val="left" w:pos="0"/>
          <w:tab w:val="num" w:pos="720"/>
        </w:tabs>
        <w:spacing w:before="0" w:line="276" w:lineRule="auto"/>
        <w:ind w:firstLine="0"/>
        <w:rPr>
          <w:rFonts w:eastAsia="Calibri"/>
          <w:b w:val="0"/>
          <w:i/>
          <w:sz w:val="16"/>
          <w:szCs w:val="16"/>
          <w:lang w:val="hy-AM"/>
        </w:rPr>
      </w:pPr>
      <w:r w:rsidRPr="00D178DD">
        <w:rPr>
          <w:rFonts w:eastAsia="Calibri"/>
          <w:b w:val="0"/>
          <w:i/>
          <w:sz w:val="16"/>
          <w:szCs w:val="16"/>
          <w:lang w:val="hy-AM"/>
        </w:rPr>
        <w:t>Աղբյուրը՝ ՀՀ ՖՆ գնահատումներ և կանխատեսումներ</w:t>
      </w:r>
    </w:p>
    <w:p w:rsidR="00D178DD" w:rsidRPr="00D178DD" w:rsidRDefault="00D178DD" w:rsidP="00D178DD">
      <w:pPr>
        <w:spacing w:before="0" w:line="240" w:lineRule="auto"/>
        <w:ind w:right="111" w:firstLine="0"/>
        <w:contextualSpacing w:val="0"/>
        <w:jc w:val="left"/>
        <w:rPr>
          <w:rFonts w:eastAsia="Calibri"/>
          <w:b w:val="0"/>
          <w:sz w:val="18"/>
          <w:szCs w:val="18"/>
          <w:lang w:val="hy-AM" w:eastAsia="en-US"/>
        </w:rPr>
      </w:pPr>
    </w:p>
    <w:p w:rsidR="00D178DD" w:rsidRPr="00D178DD" w:rsidRDefault="00D178DD" w:rsidP="00D178DD">
      <w:pPr>
        <w:ind w:right="111" w:firstLine="0"/>
        <w:rPr>
          <w:rFonts w:eastAsia="Calibri" w:cs="Sylfaen"/>
          <w:bCs/>
          <w:i/>
          <w:iCs/>
          <w:color w:val="000000"/>
          <w:sz w:val="20"/>
          <w:szCs w:val="20"/>
          <w:lang w:val="hy-AM" w:eastAsia="en-US"/>
        </w:rPr>
      </w:pPr>
    </w:p>
    <w:p w:rsidR="00D178DD" w:rsidRPr="00D178DD" w:rsidRDefault="00D178DD" w:rsidP="00D178DD">
      <w:pPr>
        <w:ind w:right="111" w:firstLine="0"/>
        <w:rPr>
          <w:rFonts w:eastAsia="Calibri" w:cs="Sylfaen"/>
          <w:bCs/>
          <w:i/>
          <w:iCs/>
          <w:color w:val="000000"/>
          <w:sz w:val="20"/>
          <w:szCs w:val="20"/>
          <w:lang w:val="hy-AM" w:eastAsia="en-US"/>
        </w:rPr>
      </w:pPr>
    </w:p>
    <w:p w:rsidR="00D178DD" w:rsidRPr="00D178DD" w:rsidRDefault="00D178DD" w:rsidP="00D178DD">
      <w:pPr>
        <w:ind w:right="111" w:firstLine="0"/>
        <w:rPr>
          <w:sz w:val="20"/>
          <w:szCs w:val="20"/>
          <w:lang w:val="hy-AM"/>
        </w:rPr>
      </w:pPr>
      <w:r w:rsidRPr="00D178DD">
        <w:rPr>
          <w:rFonts w:eastAsia="Calibri" w:cs="Sylfaen"/>
          <w:bCs/>
          <w:i/>
          <w:iCs/>
          <w:color w:val="000000"/>
          <w:sz w:val="20"/>
          <w:szCs w:val="20"/>
          <w:lang w:val="hy-AM" w:eastAsia="en-US"/>
        </w:rPr>
        <w:lastRenderedPageBreak/>
        <w:t>Աղյուսակ</w:t>
      </w:r>
      <w:r w:rsidRPr="00D178DD">
        <w:rPr>
          <w:rFonts w:eastAsia="Calibri"/>
          <w:bCs/>
          <w:i/>
          <w:iCs/>
          <w:color w:val="000000"/>
          <w:sz w:val="20"/>
          <w:szCs w:val="20"/>
          <w:lang w:val="hy-AM" w:eastAsia="en-US"/>
        </w:rPr>
        <w:t xml:space="preserve"> 1.4. </w:t>
      </w:r>
      <w:r w:rsidRPr="00D178DD">
        <w:rPr>
          <w:rFonts w:eastAsia="Calibri" w:cs="Sylfaen"/>
          <w:b w:val="0"/>
          <w:bCs/>
          <w:i/>
          <w:iCs/>
          <w:color w:val="000000"/>
          <w:sz w:val="20"/>
          <w:szCs w:val="20"/>
          <w:lang w:val="hy-AM" w:eastAsia="en-US"/>
        </w:rPr>
        <w:t>Իրական</w:t>
      </w:r>
      <w:r w:rsidRPr="00D178DD">
        <w:rPr>
          <w:rFonts w:eastAsia="Calibri"/>
          <w:b w:val="0"/>
          <w:bCs/>
          <w:i/>
          <w:iCs/>
          <w:color w:val="000000"/>
          <w:sz w:val="20"/>
          <w:szCs w:val="20"/>
          <w:lang w:val="hy-AM" w:eastAsia="en-US"/>
        </w:rPr>
        <w:t xml:space="preserve"> </w:t>
      </w:r>
      <w:r w:rsidRPr="00D178DD">
        <w:rPr>
          <w:rFonts w:eastAsia="Calibri" w:cs="Sylfaen"/>
          <w:b w:val="0"/>
          <w:bCs/>
          <w:i/>
          <w:iCs/>
          <w:color w:val="000000"/>
          <w:sz w:val="20"/>
          <w:szCs w:val="20"/>
          <w:lang w:val="hy-AM" w:eastAsia="en-US"/>
        </w:rPr>
        <w:t>ՀՆԱ-ի աճի կանխատեսման</w:t>
      </w:r>
      <w:r w:rsidRPr="00D178DD">
        <w:rPr>
          <w:rFonts w:eastAsia="Calibri"/>
          <w:b w:val="0"/>
          <w:bCs/>
          <w:i/>
          <w:iCs/>
          <w:color w:val="000000"/>
          <w:sz w:val="20"/>
          <w:szCs w:val="20"/>
          <w:lang w:val="hy-AM" w:eastAsia="en-US"/>
        </w:rPr>
        <w:t xml:space="preserve"> </w:t>
      </w:r>
      <w:r w:rsidRPr="00D178DD">
        <w:rPr>
          <w:rFonts w:eastAsia="Calibri" w:cs="Sylfaen"/>
          <w:b w:val="0"/>
          <w:bCs/>
          <w:i/>
          <w:iCs/>
          <w:color w:val="000000"/>
          <w:sz w:val="20"/>
          <w:szCs w:val="20"/>
          <w:lang w:val="hy-AM" w:eastAsia="en-US"/>
        </w:rPr>
        <w:t>հավանականությունների</w:t>
      </w:r>
      <w:r w:rsidRPr="00D178DD">
        <w:rPr>
          <w:rFonts w:eastAsia="Calibri"/>
          <w:b w:val="0"/>
          <w:bCs/>
          <w:i/>
          <w:iCs/>
          <w:color w:val="000000"/>
          <w:sz w:val="20"/>
          <w:szCs w:val="20"/>
          <w:lang w:val="hy-AM" w:eastAsia="en-US"/>
        </w:rPr>
        <w:t xml:space="preserve"> </w:t>
      </w:r>
      <w:r w:rsidRPr="00D178DD">
        <w:rPr>
          <w:rFonts w:eastAsia="Calibri" w:cs="Sylfaen"/>
          <w:b w:val="0"/>
          <w:bCs/>
          <w:i/>
          <w:iCs/>
          <w:color w:val="000000"/>
          <w:sz w:val="20"/>
          <w:szCs w:val="20"/>
          <w:lang w:val="hy-AM" w:eastAsia="en-US"/>
        </w:rPr>
        <w:t>բաշխումը, (կուտակային</w:t>
      </w:r>
      <w:r w:rsidRPr="00D178DD">
        <w:rPr>
          <w:rFonts w:cs="Sylfaen"/>
          <w:b w:val="0"/>
          <w:sz w:val="20"/>
          <w:szCs w:val="20"/>
          <w:u w:val="single"/>
          <w:lang w:val="es-ES" w:eastAsia="en-US"/>
        </w:rPr>
        <w:t>)</w:t>
      </w:r>
      <w:r w:rsidRPr="00D178DD">
        <w:rPr>
          <w:rFonts w:eastAsia="Calibri"/>
          <w:sz w:val="20"/>
          <w:szCs w:val="20"/>
          <w:vertAlign w:val="superscript"/>
          <w:lang w:val="hy-AM"/>
        </w:rPr>
        <w:footnoteReference w:id="11"/>
      </w:r>
    </w:p>
    <w:tbl>
      <w:tblPr>
        <w:tblW w:w="8433" w:type="dxa"/>
        <w:tblInd w:w="67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1474"/>
        <w:gridCol w:w="1440"/>
        <w:gridCol w:w="1530"/>
        <w:gridCol w:w="1710"/>
      </w:tblGrid>
      <w:tr w:rsidR="00D178DD" w:rsidRPr="000C4EB4" w:rsidTr="004B2286">
        <w:trPr>
          <w:trHeight w:val="459"/>
        </w:trPr>
        <w:tc>
          <w:tcPr>
            <w:tcW w:w="2279" w:type="dxa"/>
            <w:vMerge w:val="restart"/>
            <w:shd w:val="clear" w:color="auto" w:fill="auto"/>
            <w:vAlign w:val="center"/>
            <w:hideMark/>
          </w:tcPr>
          <w:p w:rsidR="00D178DD" w:rsidRPr="00D178DD" w:rsidRDefault="00D178DD" w:rsidP="00D178DD">
            <w:pPr>
              <w:tabs>
                <w:tab w:val="center" w:pos="4677"/>
                <w:tab w:val="right" w:pos="9355"/>
              </w:tabs>
              <w:spacing w:before="0" w:line="240" w:lineRule="auto"/>
              <w:ind w:right="111" w:firstLine="152"/>
              <w:jc w:val="center"/>
              <w:rPr>
                <w:rFonts w:eastAsia="Calibri" w:cs="Calibri"/>
                <w:color w:val="000000"/>
                <w:sz w:val="18"/>
                <w:szCs w:val="18"/>
                <w:lang w:val="hy-AM"/>
              </w:rPr>
            </w:pPr>
            <w:r w:rsidRPr="00D178DD">
              <w:rPr>
                <w:rFonts w:eastAsia="Calibri" w:cs="Sylfaen"/>
                <w:color w:val="000000"/>
                <w:sz w:val="18"/>
                <w:szCs w:val="18"/>
              </w:rPr>
              <w:t>Տնտեսական</w:t>
            </w:r>
            <w:r w:rsidRPr="00D178DD">
              <w:rPr>
                <w:rFonts w:eastAsia="Calibri" w:cs="Calibri"/>
                <w:color w:val="000000"/>
                <w:sz w:val="18"/>
                <w:szCs w:val="18"/>
              </w:rPr>
              <w:t xml:space="preserve"> </w:t>
            </w:r>
            <w:r w:rsidRPr="00D178DD">
              <w:rPr>
                <w:rFonts w:eastAsia="Calibri" w:cs="Sylfaen"/>
                <w:color w:val="000000"/>
                <w:sz w:val="18"/>
                <w:szCs w:val="18"/>
              </w:rPr>
              <w:t>աճի</w:t>
            </w:r>
            <w:r w:rsidRPr="00D178DD">
              <w:rPr>
                <w:rFonts w:eastAsia="Calibri" w:cs="Calibri"/>
                <w:color w:val="000000"/>
                <w:sz w:val="18"/>
                <w:szCs w:val="18"/>
              </w:rPr>
              <w:t xml:space="preserve"> </w:t>
            </w:r>
            <w:r w:rsidRPr="00D178DD">
              <w:rPr>
                <w:rFonts w:eastAsia="Calibri" w:cs="Sylfaen"/>
                <w:color w:val="000000"/>
                <w:sz w:val="18"/>
                <w:szCs w:val="18"/>
              </w:rPr>
              <w:t>միջակայքը</w:t>
            </w:r>
            <w:r w:rsidRPr="00D178DD">
              <w:rPr>
                <w:rFonts w:eastAsia="Calibri" w:cs="Calibri"/>
                <w:color w:val="000000"/>
                <w:sz w:val="18"/>
                <w:szCs w:val="18"/>
                <w:lang w:val="hy-AM"/>
              </w:rPr>
              <w:t xml:space="preserve">, </w:t>
            </w:r>
            <w:r w:rsidRPr="00D178DD">
              <w:rPr>
                <w:rFonts w:eastAsia="Calibri" w:cs="Calibri"/>
                <w:color w:val="000000"/>
                <w:sz w:val="18"/>
                <w:szCs w:val="18"/>
              </w:rPr>
              <w:t>%</w:t>
            </w:r>
          </w:p>
        </w:tc>
        <w:tc>
          <w:tcPr>
            <w:tcW w:w="6154" w:type="dxa"/>
            <w:gridSpan w:val="4"/>
            <w:shd w:val="clear" w:color="auto" w:fill="auto"/>
            <w:vAlign w:val="center"/>
            <w:hideMark/>
          </w:tcPr>
          <w:p w:rsidR="00D178DD" w:rsidRPr="00D178DD" w:rsidRDefault="00D178DD" w:rsidP="00D178DD">
            <w:pPr>
              <w:tabs>
                <w:tab w:val="center" w:pos="4677"/>
                <w:tab w:val="right" w:pos="9355"/>
              </w:tabs>
              <w:spacing w:before="0" w:line="240" w:lineRule="auto"/>
              <w:ind w:right="111" w:firstLine="0"/>
              <w:jc w:val="center"/>
              <w:rPr>
                <w:rFonts w:eastAsia="Calibri" w:cs="Calibri"/>
                <w:color w:val="000000"/>
                <w:sz w:val="18"/>
                <w:szCs w:val="18"/>
                <w:lang w:val="hy-AM"/>
              </w:rPr>
            </w:pPr>
            <w:r w:rsidRPr="00D178DD">
              <w:rPr>
                <w:rFonts w:eastAsia="Calibri" w:cs="Sylfaen"/>
                <w:color w:val="000000"/>
                <w:sz w:val="18"/>
                <w:szCs w:val="18"/>
                <w:lang w:val="hy-AM"/>
              </w:rPr>
              <w:t>Տնտեսական</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աճի</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տվյալ</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միջակայքում</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ձևավորվելու</w:t>
            </w:r>
            <w:r w:rsidRPr="00D178DD">
              <w:rPr>
                <w:rFonts w:eastAsia="Calibri" w:cs="Calibri"/>
                <w:color w:val="000000"/>
                <w:sz w:val="18"/>
                <w:szCs w:val="18"/>
                <w:lang w:val="hy-AM"/>
              </w:rPr>
              <w:t xml:space="preserve"> </w:t>
            </w:r>
            <w:r w:rsidRPr="00D178DD">
              <w:rPr>
                <w:rFonts w:eastAsia="Calibri" w:cs="Sylfaen"/>
                <w:color w:val="000000"/>
                <w:sz w:val="18"/>
                <w:szCs w:val="18"/>
                <w:lang w:val="hy-AM"/>
              </w:rPr>
              <w:t>հավանականությունը</w:t>
            </w:r>
            <w:r w:rsidRPr="00D178DD">
              <w:rPr>
                <w:rFonts w:eastAsia="Calibri" w:cs="Calibri"/>
                <w:color w:val="000000"/>
                <w:sz w:val="18"/>
                <w:szCs w:val="18"/>
                <w:lang w:val="hy-AM"/>
              </w:rPr>
              <w:t>, %</w:t>
            </w:r>
          </w:p>
        </w:tc>
      </w:tr>
      <w:tr w:rsidR="00D178DD" w:rsidRPr="00D178DD" w:rsidTr="004B2286">
        <w:trPr>
          <w:trHeight w:val="930"/>
        </w:trPr>
        <w:tc>
          <w:tcPr>
            <w:tcW w:w="2279" w:type="dxa"/>
            <w:vMerge/>
            <w:vAlign w:val="center"/>
            <w:hideMark/>
          </w:tcPr>
          <w:p w:rsidR="00D178DD" w:rsidRPr="00D178DD" w:rsidRDefault="00D178DD" w:rsidP="00D178DD">
            <w:pPr>
              <w:spacing w:before="0" w:line="240" w:lineRule="auto"/>
              <w:ind w:right="111" w:firstLine="0"/>
              <w:jc w:val="left"/>
              <w:rPr>
                <w:rFonts w:eastAsia="Calibri" w:cs="Calibri"/>
                <w:color w:val="000000"/>
                <w:sz w:val="18"/>
                <w:szCs w:val="18"/>
                <w:lang w:val="hy-AM"/>
              </w:rPr>
            </w:pPr>
          </w:p>
        </w:tc>
        <w:tc>
          <w:tcPr>
            <w:tcW w:w="1474" w:type="dxa"/>
            <w:shd w:val="clear" w:color="auto" w:fill="auto"/>
            <w:noWrap/>
            <w:vAlign w:val="center"/>
            <w:hideMark/>
          </w:tcPr>
          <w:p w:rsidR="00D178DD" w:rsidRPr="00D178DD" w:rsidRDefault="00D178DD" w:rsidP="00D178DD">
            <w:pPr>
              <w:ind w:right="111" w:firstLine="106"/>
              <w:jc w:val="center"/>
              <w:rPr>
                <w:rFonts w:eastAsia="Calibri" w:cs="Calibri"/>
                <w:color w:val="000000"/>
                <w:sz w:val="20"/>
                <w:szCs w:val="20"/>
                <w:lang w:val="hy-AM"/>
              </w:rPr>
            </w:pPr>
            <w:r w:rsidRPr="00D178DD">
              <w:rPr>
                <w:color w:val="000000"/>
                <w:sz w:val="20"/>
                <w:szCs w:val="20"/>
              </w:rPr>
              <w:t>202</w:t>
            </w:r>
            <w:r w:rsidRPr="00D178DD">
              <w:rPr>
                <w:color w:val="000000"/>
                <w:sz w:val="20"/>
                <w:szCs w:val="20"/>
                <w:lang w:val="hy-AM"/>
              </w:rPr>
              <w:t>3</w:t>
            </w:r>
            <w:r w:rsidRPr="00D178DD">
              <w:rPr>
                <w:color w:val="000000"/>
                <w:sz w:val="20"/>
                <w:szCs w:val="20"/>
              </w:rPr>
              <w:t xml:space="preserve"> I </w:t>
            </w:r>
            <w:r w:rsidRPr="00D178DD">
              <w:rPr>
                <w:rFonts w:cs="Sylfaen"/>
                <w:color w:val="000000"/>
                <w:sz w:val="20"/>
                <w:szCs w:val="20"/>
              </w:rPr>
              <w:t>եռ</w:t>
            </w:r>
            <w:r w:rsidRPr="00D178DD">
              <w:rPr>
                <w:color w:val="000000"/>
                <w:sz w:val="20"/>
                <w:szCs w:val="20"/>
              </w:rPr>
              <w:t>.</w:t>
            </w:r>
          </w:p>
        </w:tc>
        <w:tc>
          <w:tcPr>
            <w:tcW w:w="1440" w:type="dxa"/>
            <w:shd w:val="clear" w:color="auto" w:fill="auto"/>
            <w:vAlign w:val="center"/>
            <w:hideMark/>
          </w:tcPr>
          <w:p w:rsidR="00D178DD" w:rsidRPr="00D178DD" w:rsidRDefault="00D178DD" w:rsidP="00D178DD">
            <w:pPr>
              <w:ind w:right="111" w:firstLine="106"/>
              <w:jc w:val="center"/>
              <w:rPr>
                <w:rFonts w:eastAsia="Calibri" w:cs="Calibri"/>
                <w:color w:val="000000"/>
                <w:sz w:val="20"/>
                <w:szCs w:val="20"/>
                <w:lang w:val="hy-AM"/>
              </w:rPr>
            </w:pPr>
            <w:r w:rsidRPr="00D178DD">
              <w:rPr>
                <w:color w:val="000000"/>
                <w:sz w:val="20"/>
                <w:szCs w:val="20"/>
              </w:rPr>
              <w:t>202</w:t>
            </w:r>
            <w:r w:rsidRPr="00D178DD">
              <w:rPr>
                <w:color w:val="000000"/>
                <w:sz w:val="20"/>
                <w:szCs w:val="20"/>
                <w:lang w:val="hy-AM"/>
              </w:rPr>
              <w:t>3</w:t>
            </w:r>
            <w:r w:rsidRPr="00D178DD">
              <w:rPr>
                <w:color w:val="000000"/>
                <w:sz w:val="20"/>
                <w:szCs w:val="20"/>
              </w:rPr>
              <w:t xml:space="preserve"> II </w:t>
            </w:r>
            <w:r w:rsidRPr="00D178DD">
              <w:rPr>
                <w:rFonts w:cs="Sylfaen"/>
                <w:color w:val="000000"/>
                <w:sz w:val="20"/>
                <w:szCs w:val="20"/>
              </w:rPr>
              <w:t>եռ</w:t>
            </w:r>
            <w:r w:rsidRPr="00D178DD">
              <w:rPr>
                <w:color w:val="000000"/>
                <w:sz w:val="20"/>
                <w:szCs w:val="20"/>
              </w:rPr>
              <w:t>.</w:t>
            </w:r>
          </w:p>
        </w:tc>
        <w:tc>
          <w:tcPr>
            <w:tcW w:w="1530" w:type="dxa"/>
            <w:shd w:val="clear" w:color="auto" w:fill="auto"/>
            <w:noWrap/>
            <w:vAlign w:val="center"/>
            <w:hideMark/>
          </w:tcPr>
          <w:p w:rsidR="00D178DD" w:rsidRPr="00D178DD" w:rsidRDefault="00D178DD" w:rsidP="00D178DD">
            <w:pPr>
              <w:ind w:right="111" w:firstLine="106"/>
              <w:jc w:val="center"/>
              <w:rPr>
                <w:rFonts w:eastAsia="Calibri" w:cs="Calibri"/>
                <w:color w:val="000000"/>
                <w:sz w:val="20"/>
                <w:szCs w:val="20"/>
                <w:lang w:val="hy-AM"/>
              </w:rPr>
            </w:pPr>
            <w:r w:rsidRPr="00D178DD">
              <w:rPr>
                <w:color w:val="000000"/>
                <w:sz w:val="20"/>
                <w:szCs w:val="20"/>
              </w:rPr>
              <w:t>202</w:t>
            </w:r>
            <w:r w:rsidRPr="00D178DD">
              <w:rPr>
                <w:color w:val="000000"/>
                <w:sz w:val="20"/>
                <w:szCs w:val="20"/>
                <w:lang w:val="hy-AM"/>
              </w:rPr>
              <w:t>3</w:t>
            </w:r>
            <w:r w:rsidRPr="00D178DD">
              <w:rPr>
                <w:color w:val="000000"/>
                <w:sz w:val="20"/>
                <w:szCs w:val="20"/>
              </w:rPr>
              <w:t xml:space="preserve"> III </w:t>
            </w:r>
            <w:r w:rsidRPr="00D178DD">
              <w:rPr>
                <w:rFonts w:cs="Sylfaen"/>
                <w:color w:val="000000"/>
                <w:sz w:val="20"/>
                <w:szCs w:val="20"/>
              </w:rPr>
              <w:t>եռ</w:t>
            </w:r>
            <w:r w:rsidRPr="00D178DD">
              <w:rPr>
                <w:color w:val="000000"/>
                <w:sz w:val="20"/>
                <w:szCs w:val="20"/>
              </w:rPr>
              <w:t>.</w:t>
            </w:r>
          </w:p>
        </w:tc>
        <w:tc>
          <w:tcPr>
            <w:tcW w:w="1710" w:type="dxa"/>
            <w:shd w:val="clear" w:color="auto" w:fill="auto"/>
            <w:vAlign w:val="center"/>
            <w:hideMark/>
          </w:tcPr>
          <w:p w:rsidR="00D178DD" w:rsidRPr="00D178DD" w:rsidRDefault="00D178DD" w:rsidP="00D178DD">
            <w:pPr>
              <w:ind w:right="111" w:firstLine="106"/>
              <w:jc w:val="center"/>
              <w:rPr>
                <w:rFonts w:eastAsia="Calibri" w:cs="Calibri"/>
                <w:color w:val="000000"/>
                <w:sz w:val="20"/>
                <w:szCs w:val="20"/>
                <w:lang w:val="hy-AM"/>
              </w:rPr>
            </w:pPr>
            <w:r w:rsidRPr="00D178DD">
              <w:rPr>
                <w:color w:val="000000"/>
                <w:sz w:val="20"/>
                <w:szCs w:val="20"/>
              </w:rPr>
              <w:t>202</w:t>
            </w:r>
            <w:r w:rsidRPr="00D178DD">
              <w:rPr>
                <w:color w:val="000000"/>
                <w:sz w:val="20"/>
                <w:szCs w:val="20"/>
                <w:lang w:val="hy-AM"/>
              </w:rPr>
              <w:t>4</w:t>
            </w:r>
            <w:r w:rsidRPr="00D178DD">
              <w:rPr>
                <w:color w:val="000000"/>
                <w:sz w:val="20"/>
                <w:szCs w:val="20"/>
              </w:rPr>
              <w:t xml:space="preserve"> IV </w:t>
            </w:r>
            <w:r w:rsidRPr="00D178DD">
              <w:rPr>
                <w:rFonts w:cs="Sylfaen"/>
                <w:color w:val="000000"/>
                <w:sz w:val="20"/>
                <w:szCs w:val="20"/>
              </w:rPr>
              <w:t>եռ</w:t>
            </w:r>
            <w:r w:rsidRPr="00D178DD">
              <w:rPr>
                <w:color w:val="000000"/>
                <w:sz w:val="20"/>
                <w:szCs w:val="20"/>
              </w:rPr>
              <w:t>.</w:t>
            </w:r>
          </w:p>
        </w:tc>
      </w:tr>
      <w:tr w:rsidR="00D178DD" w:rsidRPr="00D178DD" w:rsidTr="004B2286">
        <w:trPr>
          <w:trHeight w:val="257"/>
        </w:trPr>
        <w:tc>
          <w:tcPr>
            <w:tcW w:w="2279" w:type="dxa"/>
            <w:shd w:val="clear" w:color="auto" w:fill="auto"/>
            <w:noWrap/>
            <w:vAlign w:val="bottom"/>
            <w:hideMark/>
          </w:tcPr>
          <w:p w:rsidR="00D178DD" w:rsidRPr="00D178DD" w:rsidRDefault="00D178DD" w:rsidP="00D178DD">
            <w:pPr>
              <w:ind w:right="111" w:hanging="45"/>
              <w:jc w:val="center"/>
              <w:rPr>
                <w:b w:val="0"/>
                <w:bCs/>
                <w:color w:val="000000"/>
                <w:lang w:val="en-US"/>
              </w:rPr>
            </w:pPr>
            <w:r w:rsidRPr="00D178DD">
              <w:rPr>
                <w:b w:val="0"/>
                <w:bCs/>
                <w:color w:val="000000"/>
                <w:lang w:val="en-US"/>
              </w:rPr>
              <w:t>2-4</w:t>
            </w:r>
          </w:p>
        </w:tc>
        <w:tc>
          <w:tcPr>
            <w:tcW w:w="1474" w:type="dxa"/>
            <w:shd w:val="clear" w:color="auto" w:fill="auto"/>
            <w:noWrap/>
            <w:hideMark/>
          </w:tcPr>
          <w:p w:rsidR="00D178DD" w:rsidRPr="00D178DD" w:rsidRDefault="00D178DD" w:rsidP="00D178DD">
            <w:pPr>
              <w:ind w:right="111"/>
              <w:jc w:val="center"/>
              <w:rPr>
                <w:b w:val="0"/>
                <w:color w:val="000000"/>
              </w:rPr>
            </w:pPr>
            <w:r w:rsidRPr="00D178DD">
              <w:rPr>
                <w:b w:val="0"/>
              </w:rPr>
              <w:t>10.9</w:t>
            </w:r>
          </w:p>
        </w:tc>
        <w:tc>
          <w:tcPr>
            <w:tcW w:w="1440" w:type="dxa"/>
            <w:shd w:val="clear" w:color="auto" w:fill="auto"/>
            <w:noWrap/>
            <w:hideMark/>
          </w:tcPr>
          <w:p w:rsidR="00D178DD" w:rsidRPr="00D178DD" w:rsidRDefault="00D178DD" w:rsidP="00D178DD">
            <w:pPr>
              <w:ind w:right="111"/>
              <w:jc w:val="center"/>
              <w:rPr>
                <w:b w:val="0"/>
                <w:bCs/>
                <w:color w:val="000000"/>
              </w:rPr>
            </w:pPr>
            <w:r w:rsidRPr="00D178DD">
              <w:rPr>
                <w:b w:val="0"/>
              </w:rPr>
              <w:t>12.8</w:t>
            </w:r>
          </w:p>
        </w:tc>
        <w:tc>
          <w:tcPr>
            <w:tcW w:w="1530" w:type="dxa"/>
            <w:shd w:val="clear" w:color="auto" w:fill="auto"/>
            <w:noWrap/>
            <w:hideMark/>
          </w:tcPr>
          <w:p w:rsidR="00D178DD" w:rsidRPr="00D178DD" w:rsidRDefault="00D178DD" w:rsidP="00D178DD">
            <w:pPr>
              <w:ind w:right="111"/>
              <w:jc w:val="center"/>
              <w:rPr>
                <w:b w:val="0"/>
                <w:bCs/>
                <w:color w:val="000000"/>
              </w:rPr>
            </w:pPr>
            <w:r w:rsidRPr="00D178DD">
              <w:rPr>
                <w:b w:val="0"/>
              </w:rPr>
              <w:t>13.7</w:t>
            </w:r>
          </w:p>
        </w:tc>
        <w:tc>
          <w:tcPr>
            <w:tcW w:w="1710" w:type="dxa"/>
            <w:shd w:val="clear" w:color="auto" w:fill="auto"/>
            <w:noWrap/>
            <w:hideMark/>
          </w:tcPr>
          <w:p w:rsidR="00D178DD" w:rsidRPr="00D178DD" w:rsidRDefault="00D178DD" w:rsidP="00D178DD">
            <w:pPr>
              <w:ind w:right="111"/>
              <w:jc w:val="center"/>
              <w:rPr>
                <w:b w:val="0"/>
                <w:bCs/>
                <w:color w:val="000000"/>
              </w:rPr>
            </w:pPr>
            <w:r w:rsidRPr="00D178DD">
              <w:rPr>
                <w:b w:val="0"/>
              </w:rPr>
              <w:t>14.4</w:t>
            </w:r>
          </w:p>
        </w:tc>
      </w:tr>
      <w:tr w:rsidR="00D178DD" w:rsidRPr="00D178DD" w:rsidTr="004B2286">
        <w:trPr>
          <w:trHeight w:val="275"/>
        </w:trPr>
        <w:tc>
          <w:tcPr>
            <w:tcW w:w="2279" w:type="dxa"/>
            <w:shd w:val="clear" w:color="auto" w:fill="auto"/>
            <w:noWrap/>
            <w:vAlign w:val="bottom"/>
            <w:hideMark/>
          </w:tcPr>
          <w:p w:rsidR="00D178DD" w:rsidRPr="00D178DD" w:rsidRDefault="00D178DD" w:rsidP="00D178DD">
            <w:pPr>
              <w:ind w:right="111" w:hanging="45"/>
              <w:jc w:val="center"/>
              <w:rPr>
                <w:b w:val="0"/>
                <w:bCs/>
                <w:color w:val="000000"/>
                <w:lang w:val="en-US"/>
              </w:rPr>
            </w:pPr>
            <w:r w:rsidRPr="00D178DD">
              <w:rPr>
                <w:b w:val="0"/>
                <w:bCs/>
                <w:color w:val="000000"/>
                <w:lang w:val="en-US"/>
              </w:rPr>
              <w:t>4-6</w:t>
            </w:r>
          </w:p>
        </w:tc>
        <w:tc>
          <w:tcPr>
            <w:tcW w:w="1474" w:type="dxa"/>
            <w:shd w:val="clear" w:color="auto" w:fill="auto"/>
            <w:noWrap/>
            <w:hideMark/>
          </w:tcPr>
          <w:p w:rsidR="00D178DD" w:rsidRPr="00D178DD" w:rsidRDefault="00D178DD" w:rsidP="00D178DD">
            <w:pPr>
              <w:ind w:right="111"/>
              <w:jc w:val="center"/>
              <w:rPr>
                <w:b w:val="0"/>
                <w:bCs/>
                <w:color w:val="000000"/>
              </w:rPr>
            </w:pPr>
            <w:r w:rsidRPr="00D178DD">
              <w:rPr>
                <w:b w:val="0"/>
              </w:rPr>
              <w:t>22.8</w:t>
            </w:r>
          </w:p>
        </w:tc>
        <w:tc>
          <w:tcPr>
            <w:tcW w:w="1440" w:type="dxa"/>
            <w:shd w:val="clear" w:color="auto" w:fill="auto"/>
            <w:noWrap/>
            <w:hideMark/>
          </w:tcPr>
          <w:p w:rsidR="00D178DD" w:rsidRPr="00D178DD" w:rsidRDefault="00D178DD" w:rsidP="00D178DD">
            <w:pPr>
              <w:ind w:right="111"/>
              <w:jc w:val="center"/>
              <w:rPr>
                <w:b w:val="0"/>
                <w:color w:val="000000"/>
              </w:rPr>
            </w:pPr>
            <w:r w:rsidRPr="00D178DD">
              <w:rPr>
                <w:b w:val="0"/>
              </w:rPr>
              <w:t>23.9</w:t>
            </w:r>
          </w:p>
        </w:tc>
        <w:tc>
          <w:tcPr>
            <w:tcW w:w="1530" w:type="dxa"/>
            <w:shd w:val="clear" w:color="auto" w:fill="auto"/>
            <w:noWrap/>
            <w:hideMark/>
          </w:tcPr>
          <w:p w:rsidR="00D178DD" w:rsidRPr="00D178DD" w:rsidRDefault="00D178DD" w:rsidP="00D178DD">
            <w:pPr>
              <w:ind w:right="111"/>
              <w:jc w:val="center"/>
              <w:rPr>
                <w:b w:val="0"/>
                <w:bCs/>
                <w:color w:val="000000"/>
              </w:rPr>
            </w:pPr>
            <w:r w:rsidRPr="00D178DD">
              <w:rPr>
                <w:b w:val="0"/>
              </w:rPr>
              <w:t>24.4</w:t>
            </w:r>
          </w:p>
        </w:tc>
        <w:tc>
          <w:tcPr>
            <w:tcW w:w="1710" w:type="dxa"/>
            <w:shd w:val="clear" w:color="auto" w:fill="auto"/>
            <w:noWrap/>
            <w:hideMark/>
          </w:tcPr>
          <w:p w:rsidR="00D178DD" w:rsidRPr="00D178DD" w:rsidRDefault="00D178DD" w:rsidP="00D178DD">
            <w:pPr>
              <w:ind w:right="111"/>
              <w:jc w:val="center"/>
              <w:rPr>
                <w:b w:val="0"/>
                <w:bCs/>
                <w:color w:val="000000"/>
              </w:rPr>
            </w:pPr>
            <w:r w:rsidRPr="00D178DD">
              <w:rPr>
                <w:b w:val="0"/>
              </w:rPr>
              <w:t>24.7</w:t>
            </w:r>
          </w:p>
        </w:tc>
      </w:tr>
      <w:tr w:rsidR="00D178DD" w:rsidRPr="00D178DD" w:rsidTr="004B2286">
        <w:trPr>
          <w:trHeight w:val="279"/>
        </w:trPr>
        <w:tc>
          <w:tcPr>
            <w:tcW w:w="2279" w:type="dxa"/>
            <w:shd w:val="clear" w:color="auto" w:fill="auto"/>
            <w:noWrap/>
            <w:vAlign w:val="bottom"/>
            <w:hideMark/>
          </w:tcPr>
          <w:p w:rsidR="00D178DD" w:rsidRPr="00D178DD" w:rsidRDefault="00D178DD" w:rsidP="00D178DD">
            <w:pPr>
              <w:ind w:right="111" w:hanging="45"/>
              <w:jc w:val="center"/>
              <w:rPr>
                <w:b w:val="0"/>
                <w:bCs/>
                <w:color w:val="000000"/>
                <w:lang w:val="en-US"/>
              </w:rPr>
            </w:pPr>
            <w:r w:rsidRPr="00D178DD">
              <w:rPr>
                <w:b w:val="0"/>
                <w:bCs/>
                <w:color w:val="000000"/>
                <w:lang w:val="en-US"/>
              </w:rPr>
              <w:t>6-8</w:t>
            </w:r>
          </w:p>
        </w:tc>
        <w:tc>
          <w:tcPr>
            <w:tcW w:w="1474" w:type="dxa"/>
            <w:shd w:val="clear" w:color="auto" w:fill="auto"/>
            <w:noWrap/>
            <w:hideMark/>
          </w:tcPr>
          <w:p w:rsidR="00D178DD" w:rsidRPr="00D178DD" w:rsidRDefault="00D178DD" w:rsidP="00D178DD">
            <w:pPr>
              <w:ind w:right="111"/>
              <w:jc w:val="center"/>
              <w:rPr>
                <w:bCs/>
                <w:color w:val="000000"/>
              </w:rPr>
            </w:pPr>
            <w:r w:rsidRPr="00D178DD">
              <w:t>31.4</w:t>
            </w:r>
          </w:p>
        </w:tc>
        <w:tc>
          <w:tcPr>
            <w:tcW w:w="1440" w:type="dxa"/>
            <w:shd w:val="clear" w:color="auto" w:fill="auto"/>
            <w:noWrap/>
            <w:hideMark/>
          </w:tcPr>
          <w:p w:rsidR="00D178DD" w:rsidRPr="00D178DD" w:rsidRDefault="00D178DD" w:rsidP="00D178DD">
            <w:pPr>
              <w:ind w:right="111"/>
              <w:jc w:val="center"/>
              <w:rPr>
                <w:bCs/>
                <w:color w:val="000000"/>
              </w:rPr>
            </w:pPr>
            <w:r w:rsidRPr="00D178DD">
              <w:t>30.4</w:t>
            </w:r>
          </w:p>
        </w:tc>
        <w:tc>
          <w:tcPr>
            <w:tcW w:w="1530" w:type="dxa"/>
            <w:shd w:val="clear" w:color="auto" w:fill="auto"/>
            <w:noWrap/>
            <w:hideMark/>
          </w:tcPr>
          <w:p w:rsidR="00D178DD" w:rsidRPr="00D178DD" w:rsidRDefault="00D178DD" w:rsidP="00D178DD">
            <w:pPr>
              <w:ind w:right="111"/>
              <w:jc w:val="center"/>
              <w:rPr>
                <w:color w:val="000000"/>
              </w:rPr>
            </w:pPr>
            <w:r w:rsidRPr="00D178DD">
              <w:t>29.7</w:t>
            </w:r>
          </w:p>
        </w:tc>
        <w:tc>
          <w:tcPr>
            <w:tcW w:w="1710" w:type="dxa"/>
            <w:shd w:val="clear" w:color="auto" w:fill="auto"/>
            <w:noWrap/>
            <w:hideMark/>
          </w:tcPr>
          <w:p w:rsidR="00D178DD" w:rsidRPr="00D178DD" w:rsidRDefault="00D178DD" w:rsidP="00D178DD">
            <w:pPr>
              <w:ind w:right="111"/>
              <w:jc w:val="center"/>
              <w:rPr>
                <w:color w:val="000000"/>
              </w:rPr>
            </w:pPr>
            <w:r w:rsidRPr="00D178DD">
              <w:t>29.2</w:t>
            </w:r>
          </w:p>
        </w:tc>
      </w:tr>
      <w:tr w:rsidR="00D178DD" w:rsidRPr="00D178DD" w:rsidTr="004B2286">
        <w:trPr>
          <w:trHeight w:val="283"/>
        </w:trPr>
        <w:tc>
          <w:tcPr>
            <w:tcW w:w="2279" w:type="dxa"/>
            <w:shd w:val="clear" w:color="auto" w:fill="auto"/>
            <w:noWrap/>
            <w:vAlign w:val="bottom"/>
            <w:hideMark/>
          </w:tcPr>
          <w:p w:rsidR="00D178DD" w:rsidRPr="00D178DD" w:rsidRDefault="00D178DD" w:rsidP="00D178DD">
            <w:pPr>
              <w:ind w:right="111" w:hanging="45"/>
              <w:jc w:val="center"/>
              <w:rPr>
                <w:b w:val="0"/>
                <w:bCs/>
                <w:color w:val="000000"/>
                <w:lang w:val="en-US"/>
              </w:rPr>
            </w:pPr>
            <w:r w:rsidRPr="00D178DD">
              <w:rPr>
                <w:b w:val="0"/>
                <w:bCs/>
                <w:color w:val="000000"/>
                <w:lang w:val="en-US"/>
              </w:rPr>
              <w:t>8-10</w:t>
            </w:r>
          </w:p>
        </w:tc>
        <w:tc>
          <w:tcPr>
            <w:tcW w:w="1474" w:type="dxa"/>
            <w:shd w:val="clear" w:color="auto" w:fill="auto"/>
            <w:noWrap/>
            <w:hideMark/>
          </w:tcPr>
          <w:p w:rsidR="00D178DD" w:rsidRPr="00D178DD" w:rsidRDefault="00D178DD" w:rsidP="00D178DD">
            <w:pPr>
              <w:ind w:right="111"/>
              <w:jc w:val="center"/>
              <w:rPr>
                <w:b w:val="0"/>
                <w:bCs/>
                <w:color w:val="000000"/>
              </w:rPr>
            </w:pPr>
            <w:r w:rsidRPr="00D178DD">
              <w:rPr>
                <w:b w:val="0"/>
              </w:rPr>
              <w:t>23.6</w:t>
            </w:r>
          </w:p>
        </w:tc>
        <w:tc>
          <w:tcPr>
            <w:tcW w:w="1440" w:type="dxa"/>
            <w:shd w:val="clear" w:color="auto" w:fill="auto"/>
            <w:noWrap/>
            <w:hideMark/>
          </w:tcPr>
          <w:p w:rsidR="00D178DD" w:rsidRPr="00D178DD" w:rsidRDefault="00D178DD" w:rsidP="00D178DD">
            <w:pPr>
              <w:ind w:right="111"/>
              <w:jc w:val="center"/>
              <w:rPr>
                <w:b w:val="0"/>
                <w:bCs/>
                <w:color w:val="000000"/>
              </w:rPr>
            </w:pPr>
            <w:r w:rsidRPr="00D178DD">
              <w:rPr>
                <w:b w:val="0"/>
              </w:rPr>
              <w:t>20.8</w:t>
            </w:r>
          </w:p>
        </w:tc>
        <w:tc>
          <w:tcPr>
            <w:tcW w:w="1530" w:type="dxa"/>
            <w:shd w:val="clear" w:color="auto" w:fill="auto"/>
            <w:noWrap/>
            <w:hideMark/>
          </w:tcPr>
          <w:p w:rsidR="00D178DD" w:rsidRPr="00D178DD" w:rsidRDefault="00D178DD" w:rsidP="00D178DD">
            <w:pPr>
              <w:ind w:right="111"/>
              <w:jc w:val="center"/>
              <w:rPr>
                <w:b w:val="0"/>
                <w:bCs/>
                <w:color w:val="000000"/>
              </w:rPr>
            </w:pPr>
            <w:r w:rsidRPr="00D178DD">
              <w:rPr>
                <w:b w:val="0"/>
              </w:rPr>
              <w:t>19.4</w:t>
            </w:r>
          </w:p>
        </w:tc>
        <w:tc>
          <w:tcPr>
            <w:tcW w:w="1710" w:type="dxa"/>
            <w:shd w:val="clear" w:color="auto" w:fill="auto"/>
            <w:noWrap/>
            <w:hideMark/>
          </w:tcPr>
          <w:p w:rsidR="00D178DD" w:rsidRPr="00D178DD" w:rsidRDefault="00D178DD" w:rsidP="00D178DD">
            <w:pPr>
              <w:ind w:right="111"/>
              <w:jc w:val="center"/>
              <w:rPr>
                <w:b w:val="0"/>
                <w:bCs/>
                <w:color w:val="000000"/>
              </w:rPr>
            </w:pPr>
            <w:r w:rsidRPr="00D178DD">
              <w:rPr>
                <w:b w:val="0"/>
              </w:rPr>
              <w:t>18.5</w:t>
            </w:r>
          </w:p>
        </w:tc>
      </w:tr>
    </w:tbl>
    <w:p w:rsidR="00D178DD" w:rsidRPr="00D178DD" w:rsidRDefault="00D178DD" w:rsidP="00D178DD">
      <w:pPr>
        <w:ind w:right="115" w:firstLine="562"/>
        <w:contextualSpacing w:val="0"/>
        <w:rPr>
          <w:rFonts w:eastAsia="Calibri" w:cs="Sylfaen"/>
          <w:b w:val="0"/>
          <w:sz w:val="2"/>
          <w:szCs w:val="2"/>
          <w:lang w:val="hy-AM" w:eastAsia="en-US"/>
        </w:rPr>
      </w:pPr>
    </w:p>
    <w:p w:rsidR="00D178DD" w:rsidRPr="00D178DD" w:rsidRDefault="00D178DD" w:rsidP="00250E4C">
      <w:pPr>
        <w:spacing w:before="0" w:line="276" w:lineRule="auto"/>
        <w:ind w:right="111"/>
        <w:contextualSpacing w:val="0"/>
        <w:rPr>
          <w:rFonts w:eastAsia="Calibri" w:cs="Sylfaen"/>
          <w:b w:val="0"/>
          <w:szCs w:val="22"/>
          <w:lang w:val="hy-AM" w:eastAsia="en-US"/>
        </w:rPr>
      </w:pPr>
      <w:r w:rsidRPr="00D178DD">
        <w:rPr>
          <w:rFonts w:eastAsia="Calibri" w:cs="Sylfaen"/>
          <w:b w:val="0"/>
          <w:szCs w:val="22"/>
          <w:lang w:val="hy-AM" w:eastAsia="en-US"/>
        </w:rPr>
        <w:t>Ինչպես</w:t>
      </w:r>
      <w:r w:rsidRPr="00D178DD">
        <w:rPr>
          <w:rFonts w:eastAsia="Calibri" w:cs="Sylfaen"/>
          <w:b w:val="0"/>
          <w:szCs w:val="22"/>
          <w:lang w:val="it-IT" w:eastAsia="en-US"/>
        </w:rPr>
        <w:t xml:space="preserve"> </w:t>
      </w:r>
      <w:r w:rsidRPr="00D178DD">
        <w:rPr>
          <w:rFonts w:eastAsia="Calibri" w:cs="Sylfaen"/>
          <w:b w:val="0"/>
          <w:szCs w:val="22"/>
          <w:lang w:val="hy-AM" w:eastAsia="en-US"/>
        </w:rPr>
        <w:t>երևում</w:t>
      </w:r>
      <w:r w:rsidRPr="00D178DD">
        <w:rPr>
          <w:rFonts w:eastAsia="Calibri" w:cs="Sylfaen"/>
          <w:b w:val="0"/>
          <w:szCs w:val="22"/>
          <w:lang w:val="it-IT" w:eastAsia="en-US"/>
        </w:rPr>
        <w:t xml:space="preserve"> </w:t>
      </w:r>
      <w:r w:rsidRPr="00D178DD">
        <w:rPr>
          <w:rFonts w:eastAsia="Calibri" w:cs="Sylfaen"/>
          <w:b w:val="0"/>
          <w:szCs w:val="22"/>
          <w:lang w:val="hy-AM" w:eastAsia="en-US"/>
        </w:rPr>
        <w:t>է</w:t>
      </w:r>
      <w:r w:rsidRPr="00D178DD">
        <w:rPr>
          <w:rFonts w:eastAsia="Calibri" w:cs="Sylfaen"/>
          <w:b w:val="0"/>
          <w:szCs w:val="22"/>
          <w:lang w:val="it-IT" w:eastAsia="en-US"/>
        </w:rPr>
        <w:t xml:space="preserve"> </w:t>
      </w:r>
      <w:r w:rsidRPr="00D178DD">
        <w:rPr>
          <w:rFonts w:eastAsia="Calibri" w:cs="Sylfaen"/>
          <w:b w:val="0"/>
          <w:szCs w:val="22"/>
          <w:lang w:val="hy-AM" w:eastAsia="en-US"/>
        </w:rPr>
        <w:t>Գծապատկեր</w:t>
      </w:r>
      <w:r w:rsidRPr="00D178DD">
        <w:rPr>
          <w:rFonts w:eastAsia="Calibri" w:cs="Sylfaen"/>
          <w:b w:val="0"/>
          <w:szCs w:val="22"/>
          <w:lang w:val="it-IT" w:eastAsia="en-US"/>
        </w:rPr>
        <w:t xml:space="preserve"> </w:t>
      </w:r>
      <w:r w:rsidRPr="00D178DD">
        <w:rPr>
          <w:rFonts w:eastAsia="Calibri" w:cs="Sylfaen"/>
          <w:b w:val="0"/>
          <w:szCs w:val="22"/>
          <w:lang w:val="hy-AM" w:eastAsia="en-US"/>
        </w:rPr>
        <w:t>1.</w:t>
      </w:r>
      <w:r w:rsidR="00250E4C">
        <w:rPr>
          <w:rFonts w:eastAsia="Calibri" w:cs="Sylfaen"/>
          <w:b w:val="0"/>
          <w:szCs w:val="22"/>
          <w:lang w:val="hy-AM" w:eastAsia="en-US"/>
        </w:rPr>
        <w:t>29</w:t>
      </w:r>
      <w:r w:rsidRPr="00D178DD">
        <w:rPr>
          <w:rFonts w:eastAsia="Calibri" w:cs="Sylfaen"/>
          <w:b w:val="0"/>
          <w:szCs w:val="22"/>
          <w:lang w:val="hy-AM" w:eastAsia="en-US"/>
        </w:rPr>
        <w:t>-ից, 2023թ.</w:t>
      </w:r>
      <w:r w:rsidRPr="00D178DD" w:rsidDel="00301E27">
        <w:rPr>
          <w:rFonts w:eastAsia="Calibri" w:cs="Sylfaen"/>
          <w:b w:val="0"/>
          <w:szCs w:val="22"/>
          <w:lang w:val="hy-AM" w:eastAsia="en-US"/>
        </w:rPr>
        <w:t xml:space="preserve"> </w:t>
      </w:r>
      <w:r w:rsidRPr="00D178DD">
        <w:rPr>
          <w:rFonts w:eastAsia="Calibri" w:cs="Sylfaen"/>
          <w:b w:val="0"/>
          <w:szCs w:val="22"/>
          <w:lang w:val="hy-AM" w:eastAsia="en-US"/>
        </w:rPr>
        <w:t xml:space="preserve">տնտեսական աճի ձևավորման ամենաբարձր հավանականությունը գտնվում է 6-8% միջակայքում (Աղյուսակ 1.4-ում այն հոծ նշումով է), իսկ իրական ՀՆԱ-ի տարեկան աճի կենտրոնական կանխատեսումներից շեղման ռիսկերը ուղղված են դեպի ներքև: </w:t>
      </w:r>
    </w:p>
    <w:p w:rsidR="00D178DD" w:rsidRPr="00D178DD" w:rsidRDefault="00D178DD" w:rsidP="00D178DD">
      <w:pPr>
        <w:spacing w:before="0" w:after="160" w:line="259" w:lineRule="auto"/>
        <w:ind w:right="111" w:firstLine="0"/>
        <w:contextualSpacing w:val="0"/>
        <w:jc w:val="left"/>
        <w:rPr>
          <w:rFonts w:ascii="Times New Roman" w:hAnsi="Times New Roman"/>
          <w:b w:val="0"/>
          <w:sz w:val="24"/>
          <w:lang w:val="hy-AM" w:eastAsia="en-US"/>
        </w:rPr>
      </w:pPr>
      <w:r w:rsidRPr="00D178DD">
        <w:rPr>
          <w:rFonts w:ascii="Times New Roman" w:hAnsi="Times New Roman"/>
          <w:b w:val="0"/>
          <w:sz w:val="24"/>
          <w:lang w:val="hy-AM" w:eastAsia="en-US"/>
        </w:rPr>
        <w:br w:type="page"/>
      </w:r>
    </w:p>
    <w:p w:rsidR="00D178DD" w:rsidRPr="00D178DD" w:rsidRDefault="00D178DD" w:rsidP="00D178DD">
      <w:pPr>
        <w:spacing w:before="0" w:after="160" w:line="259" w:lineRule="auto"/>
        <w:ind w:right="111" w:firstLine="0"/>
        <w:contextualSpacing w:val="0"/>
        <w:jc w:val="left"/>
        <w:rPr>
          <w:rFonts w:ascii="Times New Roman" w:hAnsi="Times New Roman"/>
          <w:b w:val="0"/>
          <w:sz w:val="24"/>
          <w:lang w:val="hy-AM" w:eastAsia="en-US"/>
        </w:rPr>
      </w:pPr>
    </w:p>
    <w:tbl>
      <w:tblPr>
        <w:tblStyle w:val="TableGrid1213"/>
        <w:tblW w:w="10931"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1"/>
      </w:tblGrid>
      <w:tr w:rsidR="00D178DD" w:rsidRPr="00D178DD" w:rsidTr="004B2286">
        <w:trPr>
          <w:trHeight w:val="9147"/>
        </w:trPr>
        <w:tc>
          <w:tcPr>
            <w:tcW w:w="10931" w:type="dxa"/>
          </w:tcPr>
          <w:p w:rsidR="00D178DD" w:rsidRPr="00D178DD" w:rsidRDefault="00D178DD" w:rsidP="00D178DD">
            <w:pPr>
              <w:keepNext/>
              <w:keepLines/>
              <w:spacing w:before="0" w:line="276" w:lineRule="auto"/>
              <w:outlineLvl w:val="2"/>
              <w:rPr>
                <w:bCs/>
                <w:sz w:val="28"/>
                <w:szCs w:val="28"/>
                <w:lang w:val="hy-AM"/>
              </w:rPr>
            </w:pPr>
            <w:r w:rsidRPr="00D178DD">
              <w:rPr>
                <w:rFonts w:eastAsia="GHEA Grapalat" w:cs="GHEA Grapalat"/>
                <w:lang w:val="hy-AM"/>
              </w:rPr>
              <w:br w:type="page"/>
            </w:r>
            <w:bookmarkStart w:id="73" w:name="_Toc51360535"/>
            <w:bookmarkStart w:id="74" w:name="_Toc51947418"/>
            <w:bookmarkStart w:id="75" w:name="_Toc57559418"/>
            <w:bookmarkStart w:id="76" w:name="_Toc83663899"/>
            <w:bookmarkStart w:id="77" w:name="_Toc83972835"/>
            <w:bookmarkStart w:id="78" w:name="_Toc115686023"/>
            <w:bookmarkStart w:id="79" w:name="_Toc120805197"/>
            <w:bookmarkStart w:id="80" w:name="_Toc165901409"/>
            <w:r w:rsidRPr="00D178DD">
              <w:rPr>
                <w:bCs/>
                <w:sz w:val="24"/>
                <w:lang w:val="hy-AM"/>
              </w:rPr>
              <w:t>1.6. ՀԱՄԵՄԱՏՈՒԹՅՈՒՆ ՆԱԽՈՐԴ ԿԱՆԽԱՏԵՍՈՒՄՆԵՐԻ ՀԵՏ</w:t>
            </w:r>
            <w:bookmarkEnd w:id="73"/>
            <w:bookmarkEnd w:id="74"/>
            <w:bookmarkEnd w:id="75"/>
            <w:bookmarkEnd w:id="76"/>
            <w:bookmarkEnd w:id="77"/>
            <w:bookmarkEnd w:id="78"/>
            <w:bookmarkEnd w:id="79"/>
            <w:bookmarkEnd w:id="80"/>
          </w:p>
          <w:p w:rsidR="00D178DD" w:rsidRPr="00D178DD" w:rsidRDefault="00D178DD" w:rsidP="00D178DD">
            <w:pPr>
              <w:keepNext/>
              <w:keepLines/>
              <w:tabs>
                <w:tab w:val="left" w:pos="10227"/>
              </w:tabs>
              <w:spacing w:line="276" w:lineRule="auto"/>
              <w:ind w:left="541" w:right="111" w:firstLine="26"/>
              <w:rPr>
                <w:rFonts w:eastAsia="Calibri" w:cs="Sylfaen"/>
                <w:bCs/>
                <w:i/>
                <w:iCs/>
                <w:color w:val="000000"/>
                <w:sz w:val="20"/>
                <w:szCs w:val="20"/>
                <w:lang w:val="hy-AM"/>
              </w:rPr>
            </w:pPr>
            <w:r w:rsidRPr="00D178DD">
              <w:rPr>
                <w:rFonts w:eastAsia="Calibri" w:cs="Sylfaen"/>
                <w:bCs/>
                <w:i/>
                <w:iCs/>
                <w:color w:val="000000"/>
                <w:lang w:val="hy-AM"/>
              </w:rPr>
              <w:t xml:space="preserve">Աղյուսակ 1.5. </w:t>
            </w:r>
            <w:r w:rsidRPr="00D178DD">
              <w:rPr>
                <w:rFonts w:eastAsia="Calibri" w:cs="Sylfaen"/>
                <w:bCs/>
                <w:i/>
                <w:iCs/>
                <w:color w:val="000000"/>
                <w:sz w:val="20"/>
                <w:szCs w:val="20"/>
                <w:lang w:val="hy-AM"/>
              </w:rPr>
              <w:t>ՀՆԱ-ի կանխատեսումները</w:t>
            </w:r>
            <w:r w:rsidRPr="00D178DD">
              <w:rPr>
                <w:rFonts w:eastAsia="Calibri"/>
                <w:bCs/>
                <w:i/>
                <w:iCs/>
                <w:color w:val="000000"/>
                <w:sz w:val="20"/>
                <w:szCs w:val="20"/>
                <w:lang w:val="hy-AM"/>
              </w:rPr>
              <w:t xml:space="preserve"> </w:t>
            </w:r>
            <w:r w:rsidRPr="00D178DD">
              <w:rPr>
                <w:rFonts w:eastAsia="Calibri" w:cs="Sylfaen"/>
                <w:bCs/>
                <w:i/>
                <w:iCs/>
                <w:color w:val="000000"/>
                <w:sz w:val="20"/>
                <w:szCs w:val="20"/>
                <w:lang w:val="hy-AM"/>
              </w:rPr>
              <w:t xml:space="preserve">2023-2025 թթ. ՄԺԾԾ-ով  և 2022թ. և 2023թ. </w:t>
            </w:r>
          </w:p>
          <w:p w:rsidR="00D178DD" w:rsidRPr="00D178DD" w:rsidRDefault="00D178DD" w:rsidP="00D178DD">
            <w:pPr>
              <w:keepNext/>
              <w:keepLines/>
              <w:tabs>
                <w:tab w:val="left" w:pos="10227"/>
              </w:tabs>
              <w:spacing w:line="276" w:lineRule="auto"/>
              <w:ind w:left="541" w:right="111" w:firstLine="26"/>
              <w:rPr>
                <w:rFonts w:eastAsia="Calibri" w:cs="Sylfaen"/>
                <w:bCs/>
                <w:i/>
                <w:iCs/>
                <w:color w:val="4F81BD"/>
                <w:lang w:val="hy-AM"/>
              </w:rPr>
            </w:pPr>
            <w:r w:rsidRPr="00D178DD">
              <w:rPr>
                <w:rFonts w:eastAsia="Calibri" w:cs="Sylfaen"/>
                <w:bCs/>
                <w:i/>
                <w:iCs/>
                <w:color w:val="000000"/>
                <w:sz w:val="20"/>
                <w:szCs w:val="20"/>
                <w:lang w:val="hy-AM"/>
              </w:rPr>
              <w:t>պետական բյուջեներով</w:t>
            </w:r>
          </w:p>
          <w:tbl>
            <w:tblPr>
              <w:tblW w:w="9242" w:type="dxa"/>
              <w:tblInd w:w="50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052"/>
              <w:gridCol w:w="2324"/>
              <w:gridCol w:w="1527"/>
              <w:gridCol w:w="1890"/>
              <w:gridCol w:w="1449"/>
            </w:tblGrid>
            <w:tr w:rsidR="00D178DD" w:rsidRPr="00D178DD" w:rsidTr="004B2286">
              <w:trPr>
                <w:trHeight w:val="303"/>
              </w:trPr>
              <w:tc>
                <w:tcPr>
                  <w:tcW w:w="2052" w:type="dxa"/>
                  <w:vMerge w:val="restart"/>
                  <w:shd w:val="clear" w:color="auto" w:fill="9CC2E5"/>
                  <w:noWrap/>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Ցուցանիշներ</w:t>
                  </w:r>
                </w:p>
              </w:tc>
              <w:tc>
                <w:tcPr>
                  <w:tcW w:w="2324" w:type="dxa"/>
                  <w:vMerge w:val="restart"/>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Ծրագիր</w:t>
                  </w:r>
                </w:p>
              </w:tc>
              <w:tc>
                <w:tcPr>
                  <w:tcW w:w="1527" w:type="dxa"/>
                  <w:shd w:val="clear" w:color="auto" w:fill="9CC2E5"/>
                  <w:vAlign w:val="center"/>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2021</w:t>
                  </w:r>
                </w:p>
              </w:tc>
              <w:tc>
                <w:tcPr>
                  <w:tcW w:w="1890" w:type="dxa"/>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2022</w:t>
                  </w:r>
                </w:p>
              </w:tc>
              <w:tc>
                <w:tcPr>
                  <w:tcW w:w="1449" w:type="dxa"/>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2023</w:t>
                  </w:r>
                </w:p>
              </w:tc>
            </w:tr>
            <w:tr w:rsidR="00D178DD" w:rsidRPr="00D178DD" w:rsidTr="004B2286">
              <w:trPr>
                <w:trHeight w:val="303"/>
              </w:trPr>
              <w:tc>
                <w:tcPr>
                  <w:tcW w:w="2052" w:type="dxa"/>
                  <w:vMerge/>
                  <w:vAlign w:val="center"/>
                  <w:hideMark/>
                </w:tcPr>
                <w:p w:rsidR="00D178DD" w:rsidRPr="00D178DD" w:rsidRDefault="00D178DD" w:rsidP="00D178DD">
                  <w:pPr>
                    <w:spacing w:before="0"/>
                    <w:jc w:val="center"/>
                    <w:rPr>
                      <w:rFonts w:cs="Calibri"/>
                      <w:b w:val="0"/>
                      <w:bCs/>
                      <w:color w:val="000000"/>
                      <w:sz w:val="18"/>
                      <w:szCs w:val="18"/>
                      <w:lang w:val="hy-AM"/>
                    </w:rPr>
                  </w:pPr>
                </w:p>
              </w:tc>
              <w:tc>
                <w:tcPr>
                  <w:tcW w:w="2324" w:type="dxa"/>
                  <w:vMerge/>
                  <w:vAlign w:val="center"/>
                  <w:hideMark/>
                </w:tcPr>
                <w:p w:rsidR="00D178DD" w:rsidRPr="00D178DD" w:rsidRDefault="00D178DD" w:rsidP="00D178DD">
                  <w:pPr>
                    <w:spacing w:before="0"/>
                    <w:jc w:val="center"/>
                    <w:rPr>
                      <w:rFonts w:cs="Calibri"/>
                      <w:b w:val="0"/>
                      <w:bCs/>
                      <w:color w:val="000000"/>
                      <w:sz w:val="18"/>
                      <w:szCs w:val="18"/>
                      <w:lang w:val="hy-AM"/>
                    </w:rPr>
                  </w:pPr>
                </w:p>
              </w:tc>
              <w:tc>
                <w:tcPr>
                  <w:tcW w:w="1527" w:type="dxa"/>
                  <w:shd w:val="clear" w:color="auto" w:fill="9CC2E5"/>
                  <w:vAlign w:val="center"/>
                </w:tcPr>
                <w:p w:rsidR="00D178DD" w:rsidRPr="00D178DD" w:rsidRDefault="00D178DD" w:rsidP="00D178DD">
                  <w:pPr>
                    <w:spacing w:before="0"/>
                    <w:ind w:firstLine="0"/>
                    <w:jc w:val="center"/>
                    <w:rPr>
                      <w:rFonts w:cs="Calibri"/>
                      <w:i/>
                      <w:iCs/>
                      <w:color w:val="000000"/>
                      <w:sz w:val="18"/>
                      <w:szCs w:val="18"/>
                      <w:lang w:val="hy-AM"/>
                    </w:rPr>
                  </w:pPr>
                  <w:r w:rsidRPr="00D178DD">
                    <w:rPr>
                      <w:rFonts w:cs="Calibri"/>
                      <w:i/>
                      <w:iCs/>
                      <w:color w:val="000000"/>
                      <w:sz w:val="18"/>
                      <w:szCs w:val="18"/>
                      <w:lang w:val="hy-AM"/>
                    </w:rPr>
                    <w:t>փաստ*/կանխ.</w:t>
                  </w:r>
                </w:p>
              </w:tc>
              <w:tc>
                <w:tcPr>
                  <w:tcW w:w="1890" w:type="dxa"/>
                  <w:shd w:val="clear" w:color="auto" w:fill="9CC2E5"/>
                  <w:vAlign w:val="center"/>
                  <w:hideMark/>
                </w:tcPr>
                <w:p w:rsidR="00D178DD" w:rsidRPr="00D178DD" w:rsidRDefault="00D178DD" w:rsidP="00D178DD">
                  <w:pPr>
                    <w:spacing w:before="0"/>
                    <w:ind w:firstLine="0"/>
                    <w:jc w:val="center"/>
                    <w:rPr>
                      <w:rFonts w:cs="Calibri"/>
                      <w:i/>
                      <w:iCs/>
                      <w:color w:val="000000"/>
                      <w:sz w:val="18"/>
                      <w:szCs w:val="18"/>
                      <w:lang w:val="hy-AM"/>
                    </w:rPr>
                  </w:pPr>
                  <w:r w:rsidRPr="00D178DD">
                    <w:rPr>
                      <w:rFonts w:cs="Calibri"/>
                      <w:i/>
                      <w:iCs/>
                      <w:color w:val="000000"/>
                      <w:sz w:val="18"/>
                      <w:szCs w:val="18"/>
                      <w:lang w:val="hy-AM"/>
                    </w:rPr>
                    <w:t>կանխ.</w:t>
                  </w:r>
                </w:p>
              </w:tc>
              <w:tc>
                <w:tcPr>
                  <w:tcW w:w="1449" w:type="dxa"/>
                  <w:shd w:val="clear" w:color="auto" w:fill="9CC2E5"/>
                  <w:vAlign w:val="center"/>
                  <w:hideMark/>
                </w:tcPr>
                <w:p w:rsidR="00D178DD" w:rsidRPr="00D178DD" w:rsidRDefault="00D178DD" w:rsidP="00D178DD">
                  <w:pPr>
                    <w:spacing w:before="0"/>
                    <w:ind w:firstLine="0"/>
                    <w:jc w:val="center"/>
                    <w:rPr>
                      <w:rFonts w:cs="Calibri"/>
                      <w:i/>
                      <w:iCs/>
                      <w:color w:val="000000"/>
                      <w:sz w:val="18"/>
                      <w:szCs w:val="18"/>
                      <w:lang w:val="hy-AM"/>
                    </w:rPr>
                  </w:pPr>
                  <w:r w:rsidRPr="00D178DD">
                    <w:rPr>
                      <w:rFonts w:cs="Calibri"/>
                      <w:i/>
                      <w:iCs/>
                      <w:color w:val="000000"/>
                      <w:sz w:val="18"/>
                      <w:szCs w:val="18"/>
                      <w:lang w:val="hy-AM"/>
                    </w:rPr>
                    <w:t>կանխ.</w:t>
                  </w:r>
                </w:p>
              </w:tc>
            </w:tr>
            <w:tr w:rsidR="00D178DD" w:rsidRPr="00D178DD" w:rsidTr="004B2286">
              <w:trPr>
                <w:trHeight w:val="303"/>
              </w:trPr>
              <w:tc>
                <w:tcPr>
                  <w:tcW w:w="2052" w:type="dxa"/>
                  <w:vMerge w:val="restart"/>
                  <w:shd w:val="clear" w:color="auto" w:fill="auto"/>
                  <w:vAlign w:val="center"/>
                </w:tcPr>
                <w:p w:rsidR="00D178DD" w:rsidRPr="00D178DD" w:rsidRDefault="00D178DD" w:rsidP="00D178DD">
                  <w:pPr>
                    <w:spacing w:before="0" w:line="276" w:lineRule="auto"/>
                    <w:ind w:firstLine="0"/>
                    <w:jc w:val="left"/>
                    <w:rPr>
                      <w:rFonts w:cs="Calibri"/>
                      <w:bCs/>
                      <w:color w:val="000000"/>
                      <w:sz w:val="18"/>
                      <w:szCs w:val="18"/>
                      <w:lang w:val="hy-AM"/>
                    </w:rPr>
                  </w:pPr>
                  <w:r w:rsidRPr="00D178DD">
                    <w:rPr>
                      <w:rFonts w:cs="Calibri"/>
                      <w:bCs/>
                      <w:color w:val="000000"/>
                      <w:sz w:val="18"/>
                      <w:szCs w:val="18"/>
                      <w:lang w:val="hy-AM"/>
                    </w:rPr>
                    <w:t>Անվանական ՀՆԱ, մլրդ դրամ</w:t>
                  </w:r>
                </w:p>
              </w:tc>
              <w:tc>
                <w:tcPr>
                  <w:tcW w:w="2324" w:type="dxa"/>
                  <w:shd w:val="clear" w:color="auto" w:fill="auto"/>
                  <w:vAlign w:val="center"/>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6,983.0</w:t>
                  </w:r>
                </w:p>
              </w:tc>
              <w:tc>
                <w:tcPr>
                  <w:tcW w:w="1890"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8,293.7</w:t>
                  </w:r>
                </w:p>
              </w:tc>
              <w:tc>
                <w:tcPr>
                  <w:tcW w:w="1449" w:type="dxa"/>
                  <w:shd w:val="clear" w:color="auto" w:fill="auto"/>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9,317.9</w:t>
                  </w:r>
                </w:p>
              </w:tc>
            </w:tr>
            <w:tr w:rsidR="00D178DD" w:rsidRPr="00D178DD" w:rsidTr="004B2286">
              <w:trPr>
                <w:trHeight w:val="303"/>
              </w:trPr>
              <w:tc>
                <w:tcPr>
                  <w:tcW w:w="2052" w:type="dxa"/>
                  <w:vMerge/>
                  <w:shd w:val="clear" w:color="auto" w:fill="auto"/>
                  <w:vAlign w:val="center"/>
                  <w:hideMark/>
                </w:tcPr>
                <w:p w:rsidR="00D178DD" w:rsidRPr="00D178DD" w:rsidRDefault="00D178DD" w:rsidP="00D178DD">
                  <w:pPr>
                    <w:spacing w:before="0" w:line="276" w:lineRule="auto"/>
                    <w:rPr>
                      <w:rFonts w:cs="Calibri"/>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2023-2025 ՄԺԾԾ</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6,983.0</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8,069.5</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9,066.1</w:t>
                  </w:r>
                </w:p>
              </w:tc>
            </w:tr>
            <w:tr w:rsidR="00D178DD" w:rsidRPr="00D178DD" w:rsidTr="004B2286">
              <w:trPr>
                <w:trHeight w:val="303"/>
              </w:trPr>
              <w:tc>
                <w:tcPr>
                  <w:tcW w:w="2052" w:type="dxa"/>
                  <w:vMerge/>
                  <w:vAlign w:val="center"/>
                  <w:hideMark/>
                </w:tcPr>
                <w:p w:rsidR="00D178DD" w:rsidRPr="00D178DD" w:rsidRDefault="00D178DD" w:rsidP="00D178DD">
                  <w:pPr>
                    <w:spacing w:before="0" w:line="276" w:lineRule="auto"/>
                    <w:rPr>
                      <w:rFonts w:cs="Calibri"/>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2022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7,031.2</w:t>
                  </w:r>
                </w:p>
              </w:tc>
              <w:tc>
                <w:tcPr>
                  <w:tcW w:w="1890"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7,869.4</w:t>
                  </w:r>
                </w:p>
              </w:tc>
              <w:tc>
                <w:tcPr>
                  <w:tcW w:w="1449" w:type="dxa"/>
                  <w:shd w:val="clear" w:color="auto" w:fill="auto"/>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r w:rsidR="00D178DD" w:rsidRPr="000C4EB4" w:rsidTr="004B2286">
              <w:trPr>
                <w:trHeight w:val="303"/>
              </w:trPr>
              <w:tc>
                <w:tcPr>
                  <w:tcW w:w="2052" w:type="dxa"/>
                  <w:vMerge w:val="restart"/>
                  <w:shd w:val="clear" w:color="auto" w:fill="auto"/>
                  <w:vAlign w:val="center"/>
                </w:tcPr>
                <w:p w:rsidR="00D178DD" w:rsidRPr="00D178DD" w:rsidRDefault="00D178DD" w:rsidP="00D178DD">
                  <w:pPr>
                    <w:spacing w:before="0" w:line="276" w:lineRule="auto"/>
                    <w:ind w:firstLine="0"/>
                    <w:jc w:val="left"/>
                    <w:rPr>
                      <w:rFonts w:cs="Calibri"/>
                      <w:bCs/>
                      <w:color w:val="000000"/>
                      <w:sz w:val="18"/>
                      <w:szCs w:val="18"/>
                      <w:lang w:val="hy-AM"/>
                    </w:rPr>
                  </w:pPr>
                  <w:r w:rsidRPr="00D178DD">
                    <w:rPr>
                      <w:rFonts w:cs="Calibri"/>
                      <w:bCs/>
                      <w:color w:val="000000"/>
                      <w:sz w:val="18"/>
                      <w:szCs w:val="18"/>
                      <w:lang w:val="hy-AM"/>
                    </w:rPr>
                    <w:t>Տնտեսական</w:t>
                  </w:r>
                  <w:r w:rsidRPr="00D178DD">
                    <w:rPr>
                      <w:rFonts w:cs="Calibri"/>
                      <w:bCs/>
                      <w:color w:val="000000"/>
                      <w:sz w:val="18"/>
                      <w:szCs w:val="18"/>
                    </w:rPr>
                    <w:t xml:space="preserve"> (</w:t>
                  </w:r>
                  <w:r w:rsidRPr="00D178DD">
                    <w:rPr>
                      <w:rFonts w:cs="Calibri"/>
                      <w:bCs/>
                      <w:color w:val="000000"/>
                      <w:sz w:val="18"/>
                      <w:szCs w:val="18"/>
                      <w:lang w:val="hy-AM"/>
                    </w:rPr>
                    <w:t>իրական ՀՆԱ-ի</w:t>
                  </w:r>
                  <w:r w:rsidRPr="00D178DD">
                    <w:rPr>
                      <w:rFonts w:cs="Calibri"/>
                      <w:bCs/>
                      <w:color w:val="000000"/>
                      <w:sz w:val="18"/>
                      <w:szCs w:val="18"/>
                    </w:rPr>
                    <w:t>)</w:t>
                  </w:r>
                  <w:r w:rsidRPr="00D178DD">
                    <w:rPr>
                      <w:rFonts w:cs="Calibri"/>
                      <w:bCs/>
                      <w:color w:val="000000"/>
                      <w:sz w:val="18"/>
                      <w:szCs w:val="18"/>
                      <w:lang w:val="hy-AM"/>
                    </w:rPr>
                    <w:t xml:space="preserve"> աճ, </w:t>
                  </w:r>
                  <w:r w:rsidRPr="00D178DD">
                    <w:rPr>
                      <w:rFonts w:cs="Calibri"/>
                      <w:bCs/>
                      <w:color w:val="000000"/>
                      <w:sz w:val="18"/>
                      <w:szCs w:val="18"/>
                    </w:rPr>
                    <w:t>%</w:t>
                  </w:r>
                </w:p>
              </w:tc>
              <w:tc>
                <w:tcPr>
                  <w:tcW w:w="2324" w:type="dxa"/>
                  <w:shd w:val="clear" w:color="auto" w:fill="auto"/>
                  <w:vAlign w:val="center"/>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 Պետական բյուջե</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5.7</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11.0</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r>
            <w:tr w:rsidR="00D178DD" w:rsidRPr="000C4EB4" w:rsidTr="004B2286">
              <w:trPr>
                <w:trHeight w:val="303"/>
              </w:trPr>
              <w:tc>
                <w:tcPr>
                  <w:tcW w:w="2052" w:type="dxa"/>
                  <w:vMerge/>
                  <w:shd w:val="clear" w:color="auto" w:fill="auto"/>
                  <w:vAlign w:val="center"/>
                  <w:hideMark/>
                </w:tcPr>
                <w:p w:rsidR="00D178DD" w:rsidRPr="00D178DD" w:rsidRDefault="00D178DD" w:rsidP="00D178DD">
                  <w:pPr>
                    <w:spacing w:before="0" w:line="276" w:lineRule="auto"/>
                    <w:rPr>
                      <w:rFonts w:cs="Calibri"/>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2023-2025 ՄԺԾԾ</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5.7</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r>
            <w:tr w:rsidR="00D178DD" w:rsidRPr="000C4EB4" w:rsidTr="004B2286">
              <w:trPr>
                <w:trHeight w:val="303"/>
              </w:trPr>
              <w:tc>
                <w:tcPr>
                  <w:tcW w:w="2052" w:type="dxa"/>
                  <w:vMerge/>
                  <w:vAlign w:val="center"/>
                  <w:hideMark/>
                </w:tcPr>
                <w:p w:rsidR="00D178DD" w:rsidRPr="00D178DD" w:rsidRDefault="00D178DD" w:rsidP="00D178DD">
                  <w:pPr>
                    <w:spacing w:before="0" w:line="276" w:lineRule="auto"/>
                    <w:rPr>
                      <w:rFonts w:cs="Calibri"/>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2022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6.5</w:t>
                  </w:r>
                </w:p>
              </w:tc>
              <w:tc>
                <w:tcPr>
                  <w:tcW w:w="1890"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c>
                <w:tcPr>
                  <w:tcW w:w="1449" w:type="dxa"/>
                  <w:shd w:val="clear" w:color="auto" w:fill="auto"/>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r w:rsidR="00D178DD" w:rsidRPr="000C4EB4" w:rsidTr="004B2286">
              <w:trPr>
                <w:trHeight w:val="303"/>
              </w:trPr>
              <w:tc>
                <w:tcPr>
                  <w:tcW w:w="2052" w:type="dxa"/>
                  <w:vMerge w:val="restart"/>
                  <w:shd w:val="clear" w:color="auto" w:fill="auto"/>
                  <w:vAlign w:val="center"/>
                </w:tcPr>
                <w:p w:rsidR="00D178DD" w:rsidRPr="00D178DD" w:rsidRDefault="00D178DD" w:rsidP="00D178DD">
                  <w:pPr>
                    <w:spacing w:before="0" w:line="276" w:lineRule="auto"/>
                    <w:ind w:firstLine="0"/>
                    <w:jc w:val="left"/>
                    <w:rPr>
                      <w:rFonts w:cs="Calibri"/>
                      <w:bCs/>
                      <w:color w:val="000000"/>
                      <w:sz w:val="18"/>
                      <w:szCs w:val="18"/>
                      <w:lang w:val="hy-AM"/>
                    </w:rPr>
                  </w:pPr>
                  <w:r w:rsidRPr="00D178DD">
                    <w:rPr>
                      <w:rFonts w:cs="Calibri"/>
                      <w:bCs/>
                      <w:color w:val="000000"/>
                      <w:sz w:val="18"/>
                      <w:szCs w:val="18"/>
                      <w:lang w:val="hy-AM"/>
                    </w:rPr>
                    <w:t>ՀՆԱ-ի դեֆլյատորի աճ, %</w:t>
                  </w:r>
                </w:p>
              </w:tc>
              <w:tc>
                <w:tcPr>
                  <w:tcW w:w="2324" w:type="dxa"/>
                  <w:shd w:val="clear" w:color="auto" w:fill="auto"/>
                  <w:vAlign w:val="center"/>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 Պետական բյուջե</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6.9</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7.0</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5.0</w:t>
                  </w:r>
                </w:p>
              </w:tc>
            </w:tr>
            <w:tr w:rsidR="00D178DD" w:rsidRPr="000C4EB4" w:rsidTr="004B2286">
              <w:trPr>
                <w:trHeight w:val="303"/>
              </w:trPr>
              <w:tc>
                <w:tcPr>
                  <w:tcW w:w="2052" w:type="dxa"/>
                  <w:vMerge/>
                  <w:shd w:val="clear" w:color="auto" w:fill="auto"/>
                  <w:vAlign w:val="center"/>
                  <w:hideMark/>
                </w:tcPr>
                <w:p w:rsidR="00D178DD" w:rsidRPr="00D178DD" w:rsidRDefault="00D178DD" w:rsidP="00D178DD">
                  <w:pPr>
                    <w:spacing w:before="0" w:line="276" w:lineRule="auto"/>
                    <w:rPr>
                      <w:rFonts w:cs="Calibri"/>
                      <w:b w:val="0"/>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2023-2025 ՄԺԾԾ</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6.9</w:t>
                  </w:r>
                </w:p>
              </w:tc>
              <w:tc>
                <w:tcPr>
                  <w:tcW w:w="1890"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8.0</w:t>
                  </w:r>
                </w:p>
              </w:tc>
              <w:tc>
                <w:tcPr>
                  <w:tcW w:w="1449"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5.0</w:t>
                  </w:r>
                </w:p>
              </w:tc>
            </w:tr>
            <w:tr w:rsidR="00D178DD" w:rsidRPr="000C4EB4" w:rsidTr="004B2286">
              <w:trPr>
                <w:trHeight w:val="303"/>
              </w:trPr>
              <w:tc>
                <w:tcPr>
                  <w:tcW w:w="2052" w:type="dxa"/>
                  <w:vMerge/>
                  <w:vAlign w:val="center"/>
                  <w:hideMark/>
                </w:tcPr>
                <w:p w:rsidR="00D178DD" w:rsidRPr="00D178DD" w:rsidRDefault="00D178DD" w:rsidP="00D178DD">
                  <w:pPr>
                    <w:spacing w:before="0" w:line="276" w:lineRule="auto"/>
                    <w:rPr>
                      <w:rFonts w:cs="Calibri"/>
                      <w:b w:val="0"/>
                      <w:bCs/>
                      <w:color w:val="000000"/>
                      <w:sz w:val="18"/>
                      <w:szCs w:val="18"/>
                      <w:lang w:val="hy-AM"/>
                    </w:rPr>
                  </w:pPr>
                </w:p>
              </w:tc>
              <w:tc>
                <w:tcPr>
                  <w:tcW w:w="2324" w:type="dxa"/>
                  <w:shd w:val="clear" w:color="auto" w:fill="auto"/>
                  <w:vAlign w:val="center"/>
                  <w:hideMark/>
                </w:tcPr>
                <w:p w:rsidR="00D178DD" w:rsidRPr="00D178DD" w:rsidRDefault="00D178DD" w:rsidP="00D178DD">
                  <w:pPr>
                    <w:spacing w:before="0" w:line="276" w:lineRule="auto"/>
                    <w:ind w:firstLine="0"/>
                    <w:rPr>
                      <w:rFonts w:cs="Calibri"/>
                      <w:b w:val="0"/>
                      <w:i/>
                      <w:iCs/>
                      <w:color w:val="000000"/>
                      <w:sz w:val="18"/>
                      <w:szCs w:val="18"/>
                      <w:lang w:val="hy-AM"/>
                    </w:rPr>
                  </w:pPr>
                  <w:r w:rsidRPr="00D178DD">
                    <w:rPr>
                      <w:rFonts w:cs="Calibri"/>
                      <w:b w:val="0"/>
                      <w:i/>
                      <w:iCs/>
                      <w:color w:val="000000"/>
                      <w:sz w:val="18"/>
                      <w:szCs w:val="18"/>
                      <w:lang w:val="hy-AM"/>
                    </w:rPr>
                    <w:t>2022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6.8</w:t>
                  </w:r>
                </w:p>
              </w:tc>
              <w:tc>
                <w:tcPr>
                  <w:tcW w:w="1890"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4.6</w:t>
                  </w:r>
                </w:p>
              </w:tc>
              <w:tc>
                <w:tcPr>
                  <w:tcW w:w="1449" w:type="dxa"/>
                  <w:shd w:val="clear" w:color="auto" w:fill="auto"/>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bl>
          <w:p w:rsidR="00D178DD" w:rsidRPr="00D178DD" w:rsidRDefault="00D178DD" w:rsidP="00D178DD">
            <w:pPr>
              <w:spacing w:line="276" w:lineRule="auto"/>
              <w:ind w:right="111"/>
              <w:rPr>
                <w:rFonts w:eastAsia="Calibri"/>
                <w:sz w:val="18"/>
                <w:szCs w:val="18"/>
                <w:lang w:val="hy-AM"/>
              </w:rPr>
            </w:pPr>
            <w:r w:rsidRPr="00D178DD">
              <w:rPr>
                <w:rFonts w:eastAsia="Calibri"/>
                <w:sz w:val="18"/>
                <w:szCs w:val="18"/>
                <w:lang w:val="hy-AM"/>
              </w:rPr>
              <w:t xml:space="preserve">* </w:t>
            </w:r>
            <w:r w:rsidRPr="00D178DD">
              <w:rPr>
                <w:rFonts w:cs="Calibri"/>
                <w:i/>
                <w:iCs/>
                <w:color w:val="000000"/>
                <w:sz w:val="18"/>
                <w:szCs w:val="18"/>
                <w:lang w:val="hy-AM"/>
              </w:rPr>
              <w:t xml:space="preserve">2023-2025 ՄԺԾԾ և 2023 պետական բյուջեի համար 2021թ. ցուցանիշները փաստացի են </w:t>
            </w:r>
          </w:p>
          <w:p w:rsidR="00D178DD" w:rsidRPr="00D178DD" w:rsidRDefault="00D178DD" w:rsidP="00D178DD">
            <w:pPr>
              <w:spacing w:line="276" w:lineRule="auto"/>
              <w:ind w:right="111" w:firstLine="0"/>
              <w:rPr>
                <w:rFonts w:eastAsia="Calibri"/>
                <w:i/>
                <w:sz w:val="16"/>
                <w:szCs w:val="16"/>
                <w:lang w:val="hy-AM"/>
              </w:rPr>
            </w:pPr>
            <w:r w:rsidRPr="00D178DD">
              <w:rPr>
                <w:rFonts w:eastAsia="Calibri"/>
                <w:i/>
                <w:sz w:val="16"/>
                <w:szCs w:val="16"/>
                <w:lang w:val="hy-AM"/>
              </w:rPr>
              <w:t xml:space="preserve">           Աղբյուրը ՝ ՀՀ ՖՆ կանխատեսումներ</w:t>
            </w:r>
          </w:p>
          <w:p w:rsidR="00D178DD" w:rsidRPr="00D178DD" w:rsidRDefault="00D178DD" w:rsidP="00D178DD">
            <w:pPr>
              <w:spacing w:before="0"/>
              <w:rPr>
                <w:rFonts w:eastAsia="Calibri"/>
                <w:sz w:val="18"/>
                <w:szCs w:val="18"/>
                <w:lang w:val="hy-AM"/>
              </w:rPr>
            </w:pPr>
          </w:p>
          <w:p w:rsidR="00D178DD" w:rsidRPr="00D178DD" w:rsidRDefault="00D178DD" w:rsidP="00D178DD">
            <w:pPr>
              <w:keepNext/>
              <w:keepLines/>
              <w:spacing w:before="0" w:line="276" w:lineRule="auto"/>
              <w:ind w:left="541" w:firstLine="26"/>
              <w:rPr>
                <w:rFonts w:eastAsia="Calibri" w:cs="Sylfaen"/>
                <w:bCs/>
                <w:i/>
                <w:iCs/>
                <w:color w:val="000000"/>
                <w:sz w:val="20"/>
                <w:szCs w:val="20"/>
                <w:lang w:val="hy-AM"/>
              </w:rPr>
            </w:pPr>
            <w:r w:rsidRPr="00D178DD">
              <w:rPr>
                <w:rFonts w:eastAsia="Calibri" w:cs="Sylfaen"/>
                <w:bCs/>
                <w:i/>
                <w:iCs/>
                <w:color w:val="000000"/>
                <w:lang w:val="hy-AM"/>
              </w:rPr>
              <w:t>Աղյուսակ</w:t>
            </w:r>
            <w:r w:rsidRPr="00D178DD">
              <w:rPr>
                <w:rFonts w:eastAsia="Calibri"/>
                <w:bCs/>
                <w:i/>
                <w:iCs/>
                <w:color w:val="000000"/>
                <w:lang w:val="hy-AM"/>
              </w:rPr>
              <w:t xml:space="preserve"> 1.6.</w:t>
            </w:r>
            <w:r w:rsidRPr="00D178DD">
              <w:rPr>
                <w:rFonts w:eastAsia="Calibri"/>
                <w:bCs/>
                <w:i/>
                <w:iCs/>
                <w:color w:val="000000"/>
                <w:sz w:val="20"/>
                <w:szCs w:val="20"/>
                <w:lang w:val="hy-AM"/>
              </w:rPr>
              <w:t xml:space="preserve"> </w:t>
            </w:r>
            <w:r w:rsidRPr="00D178DD">
              <w:rPr>
                <w:rFonts w:eastAsia="Calibri" w:cs="Sylfaen"/>
                <w:bCs/>
                <w:i/>
                <w:iCs/>
                <w:color w:val="000000"/>
                <w:sz w:val="20"/>
                <w:szCs w:val="20"/>
                <w:lang w:val="hy-AM"/>
              </w:rPr>
              <w:t xml:space="preserve">Ընթացիկ հաշվի կանխատեսումները 2023-2025թթ. ՄԺԾԾ-ով, 2022թ. և 2023թ. </w:t>
            </w:r>
          </w:p>
          <w:p w:rsidR="00D178DD" w:rsidRPr="00D178DD" w:rsidRDefault="00D178DD" w:rsidP="00D178DD">
            <w:pPr>
              <w:keepNext/>
              <w:keepLines/>
              <w:spacing w:before="0" w:line="276" w:lineRule="auto"/>
              <w:ind w:left="541" w:firstLine="26"/>
              <w:rPr>
                <w:rFonts w:eastAsia="Calibri" w:cs="Sylfaen"/>
                <w:bCs/>
                <w:i/>
                <w:iCs/>
                <w:color w:val="000000"/>
                <w:sz w:val="20"/>
                <w:szCs w:val="20"/>
                <w:lang w:val="hy-AM"/>
              </w:rPr>
            </w:pPr>
            <w:r w:rsidRPr="00D178DD">
              <w:rPr>
                <w:rFonts w:eastAsia="Calibri" w:cs="Sylfaen"/>
                <w:bCs/>
                <w:i/>
                <w:iCs/>
                <w:color w:val="000000"/>
                <w:sz w:val="20"/>
                <w:szCs w:val="20"/>
                <w:lang w:val="hy-AM"/>
              </w:rPr>
              <w:t>պետական բյուջեներով</w:t>
            </w:r>
          </w:p>
          <w:tbl>
            <w:tblPr>
              <w:tblW w:w="9360" w:type="dxa"/>
              <w:tblInd w:w="39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2374"/>
              <w:gridCol w:w="1527"/>
              <w:gridCol w:w="1685"/>
              <w:gridCol w:w="1495"/>
            </w:tblGrid>
            <w:tr w:rsidR="00D178DD" w:rsidRPr="00D178DD" w:rsidTr="004B2286">
              <w:trPr>
                <w:trHeight w:val="384"/>
              </w:trPr>
              <w:tc>
                <w:tcPr>
                  <w:tcW w:w="2279" w:type="dxa"/>
                  <w:vMerge w:val="restart"/>
                  <w:shd w:val="clear" w:color="auto" w:fill="9CC2E5"/>
                  <w:noWrap/>
                  <w:vAlign w:val="center"/>
                  <w:hideMark/>
                </w:tcPr>
                <w:p w:rsidR="00D178DD" w:rsidRPr="00D178DD" w:rsidRDefault="00D178DD" w:rsidP="00D178DD">
                  <w:pPr>
                    <w:spacing w:before="0"/>
                    <w:jc w:val="center"/>
                    <w:rPr>
                      <w:rFonts w:cs="Calibri"/>
                      <w:b w:val="0"/>
                      <w:bCs/>
                      <w:color w:val="000000"/>
                      <w:sz w:val="18"/>
                      <w:szCs w:val="18"/>
                      <w:lang w:val="hy-AM"/>
                    </w:rPr>
                  </w:pPr>
                  <w:r w:rsidRPr="00D178DD">
                    <w:rPr>
                      <w:rFonts w:cs="Calibri"/>
                      <w:bCs/>
                      <w:color w:val="000000"/>
                      <w:sz w:val="18"/>
                      <w:szCs w:val="18"/>
                      <w:lang w:val="hy-AM"/>
                    </w:rPr>
                    <w:t>Ցուցանիշներ</w:t>
                  </w:r>
                </w:p>
              </w:tc>
              <w:tc>
                <w:tcPr>
                  <w:tcW w:w="2374" w:type="dxa"/>
                  <w:vMerge w:val="restart"/>
                  <w:shd w:val="clear" w:color="auto" w:fill="9CC2E5"/>
                  <w:vAlign w:val="center"/>
                  <w:hideMark/>
                </w:tcPr>
                <w:p w:rsidR="00D178DD" w:rsidRPr="00D178DD" w:rsidRDefault="00D178DD" w:rsidP="00D178DD">
                  <w:pPr>
                    <w:spacing w:before="0"/>
                    <w:ind w:firstLine="0"/>
                    <w:rPr>
                      <w:rFonts w:cs="Calibri"/>
                      <w:b w:val="0"/>
                      <w:bCs/>
                      <w:color w:val="000000"/>
                      <w:sz w:val="18"/>
                      <w:szCs w:val="18"/>
                      <w:lang w:val="hy-AM"/>
                    </w:rPr>
                  </w:pPr>
                  <w:r w:rsidRPr="00D178DD">
                    <w:rPr>
                      <w:rFonts w:cs="Calibri"/>
                      <w:bCs/>
                      <w:color w:val="000000"/>
                      <w:sz w:val="18"/>
                      <w:szCs w:val="18"/>
                      <w:lang w:val="hy-AM"/>
                    </w:rPr>
                    <w:t>Ծրագիր</w:t>
                  </w:r>
                </w:p>
              </w:tc>
              <w:tc>
                <w:tcPr>
                  <w:tcW w:w="1527" w:type="dxa"/>
                  <w:shd w:val="clear" w:color="auto" w:fill="9CC2E5"/>
                  <w:vAlign w:val="center"/>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2021</w:t>
                  </w:r>
                </w:p>
              </w:tc>
              <w:tc>
                <w:tcPr>
                  <w:tcW w:w="1685" w:type="dxa"/>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2022</w:t>
                  </w:r>
                </w:p>
              </w:tc>
              <w:tc>
                <w:tcPr>
                  <w:tcW w:w="1495" w:type="dxa"/>
                  <w:shd w:val="clear" w:color="auto" w:fill="9CC2E5"/>
                  <w:vAlign w:val="center"/>
                  <w:hideMark/>
                </w:tcPr>
                <w:p w:rsidR="00D178DD" w:rsidRPr="00D178DD" w:rsidRDefault="00D178DD" w:rsidP="00D178DD">
                  <w:pPr>
                    <w:spacing w:before="0"/>
                    <w:ind w:firstLine="0"/>
                    <w:jc w:val="center"/>
                    <w:rPr>
                      <w:rFonts w:cs="Calibri"/>
                      <w:b w:val="0"/>
                      <w:bCs/>
                      <w:color w:val="000000"/>
                      <w:sz w:val="18"/>
                      <w:szCs w:val="18"/>
                      <w:lang w:val="hy-AM"/>
                    </w:rPr>
                  </w:pPr>
                  <w:r w:rsidRPr="00D178DD">
                    <w:rPr>
                      <w:rFonts w:cs="Calibri"/>
                      <w:bCs/>
                      <w:color w:val="000000"/>
                      <w:sz w:val="18"/>
                      <w:szCs w:val="18"/>
                      <w:lang w:val="hy-AM"/>
                    </w:rPr>
                    <w:t>2023</w:t>
                  </w:r>
                </w:p>
              </w:tc>
            </w:tr>
            <w:tr w:rsidR="00D178DD" w:rsidRPr="00D178DD" w:rsidTr="004B2286">
              <w:trPr>
                <w:trHeight w:val="384"/>
              </w:trPr>
              <w:tc>
                <w:tcPr>
                  <w:tcW w:w="2279" w:type="dxa"/>
                  <w:vMerge/>
                  <w:shd w:val="clear" w:color="auto" w:fill="9CC2E5"/>
                  <w:vAlign w:val="center"/>
                  <w:hideMark/>
                </w:tcPr>
                <w:p w:rsidR="00D178DD" w:rsidRPr="00D178DD" w:rsidRDefault="00D178DD" w:rsidP="00D178DD">
                  <w:pPr>
                    <w:spacing w:before="0"/>
                    <w:rPr>
                      <w:rFonts w:cs="Calibri"/>
                      <w:b w:val="0"/>
                      <w:bCs/>
                      <w:color w:val="000000"/>
                      <w:sz w:val="18"/>
                      <w:szCs w:val="18"/>
                      <w:lang w:val="hy-AM"/>
                    </w:rPr>
                  </w:pPr>
                </w:p>
              </w:tc>
              <w:tc>
                <w:tcPr>
                  <w:tcW w:w="2374" w:type="dxa"/>
                  <w:vMerge/>
                  <w:shd w:val="clear" w:color="auto" w:fill="9CC2E5"/>
                  <w:vAlign w:val="center"/>
                  <w:hideMark/>
                </w:tcPr>
                <w:p w:rsidR="00D178DD" w:rsidRPr="00D178DD" w:rsidRDefault="00D178DD" w:rsidP="00D178DD">
                  <w:pPr>
                    <w:spacing w:before="0"/>
                    <w:rPr>
                      <w:rFonts w:cs="Calibri"/>
                      <w:b w:val="0"/>
                      <w:bCs/>
                      <w:color w:val="000000"/>
                      <w:sz w:val="18"/>
                      <w:szCs w:val="18"/>
                      <w:lang w:val="hy-AM"/>
                    </w:rPr>
                  </w:pPr>
                </w:p>
              </w:tc>
              <w:tc>
                <w:tcPr>
                  <w:tcW w:w="1527" w:type="dxa"/>
                  <w:shd w:val="clear" w:color="auto" w:fill="9CC2E5"/>
                  <w:vAlign w:val="center"/>
                </w:tcPr>
                <w:p w:rsidR="00D178DD" w:rsidRPr="00D178DD" w:rsidRDefault="00D178DD" w:rsidP="00D178DD">
                  <w:pPr>
                    <w:spacing w:before="0"/>
                    <w:ind w:firstLine="0"/>
                    <w:rPr>
                      <w:rFonts w:cs="Calibri"/>
                      <w:i/>
                      <w:iCs/>
                      <w:color w:val="000000"/>
                      <w:sz w:val="18"/>
                      <w:szCs w:val="18"/>
                      <w:lang w:val="hy-AM"/>
                    </w:rPr>
                  </w:pPr>
                  <w:r w:rsidRPr="00D178DD">
                    <w:rPr>
                      <w:rFonts w:cs="Calibri"/>
                      <w:i/>
                      <w:iCs/>
                      <w:color w:val="000000"/>
                      <w:sz w:val="18"/>
                      <w:szCs w:val="18"/>
                      <w:lang w:val="hy-AM"/>
                    </w:rPr>
                    <w:t>փաստ*/կանխ.</w:t>
                  </w:r>
                </w:p>
              </w:tc>
              <w:tc>
                <w:tcPr>
                  <w:tcW w:w="1685" w:type="dxa"/>
                  <w:shd w:val="clear" w:color="auto" w:fill="9CC2E5"/>
                  <w:vAlign w:val="center"/>
                  <w:hideMark/>
                </w:tcPr>
                <w:p w:rsidR="00D178DD" w:rsidRPr="00D178DD" w:rsidRDefault="00D178DD" w:rsidP="00D178DD">
                  <w:pPr>
                    <w:spacing w:before="0"/>
                    <w:ind w:firstLine="0"/>
                    <w:rPr>
                      <w:rFonts w:cs="Calibri"/>
                      <w:i/>
                      <w:iCs/>
                      <w:color w:val="000000"/>
                      <w:sz w:val="18"/>
                      <w:szCs w:val="18"/>
                      <w:lang w:val="hy-AM"/>
                    </w:rPr>
                  </w:pPr>
                  <w:r w:rsidRPr="00D178DD">
                    <w:rPr>
                      <w:rFonts w:cs="Calibri"/>
                      <w:i/>
                      <w:iCs/>
                      <w:color w:val="000000"/>
                      <w:sz w:val="18"/>
                      <w:szCs w:val="18"/>
                      <w:lang w:val="hy-AM"/>
                    </w:rPr>
                    <w:t>կանխ.</w:t>
                  </w:r>
                </w:p>
              </w:tc>
              <w:tc>
                <w:tcPr>
                  <w:tcW w:w="1495" w:type="dxa"/>
                  <w:shd w:val="clear" w:color="auto" w:fill="9CC2E5"/>
                  <w:vAlign w:val="center"/>
                  <w:hideMark/>
                </w:tcPr>
                <w:p w:rsidR="00D178DD" w:rsidRPr="00D178DD" w:rsidRDefault="00D178DD" w:rsidP="00D178DD">
                  <w:pPr>
                    <w:spacing w:before="0"/>
                    <w:ind w:firstLine="0"/>
                    <w:rPr>
                      <w:rFonts w:cs="Calibri"/>
                      <w:i/>
                      <w:iCs/>
                      <w:color w:val="000000"/>
                      <w:sz w:val="18"/>
                      <w:szCs w:val="18"/>
                      <w:lang w:val="hy-AM"/>
                    </w:rPr>
                  </w:pPr>
                  <w:r w:rsidRPr="00D178DD">
                    <w:rPr>
                      <w:rFonts w:cs="Calibri"/>
                      <w:i/>
                      <w:iCs/>
                      <w:color w:val="000000"/>
                      <w:sz w:val="18"/>
                      <w:szCs w:val="18"/>
                      <w:lang w:val="hy-AM"/>
                    </w:rPr>
                    <w:t>կանխ.</w:t>
                  </w:r>
                </w:p>
              </w:tc>
            </w:tr>
            <w:tr w:rsidR="00D178DD" w:rsidRPr="00D178DD" w:rsidTr="004B2286">
              <w:trPr>
                <w:trHeight w:val="384"/>
              </w:trPr>
              <w:tc>
                <w:tcPr>
                  <w:tcW w:w="2279" w:type="dxa"/>
                  <w:vMerge w:val="restart"/>
                  <w:shd w:val="clear" w:color="auto" w:fill="auto"/>
                  <w:vAlign w:val="center"/>
                  <w:hideMark/>
                </w:tcPr>
                <w:p w:rsidR="00D178DD" w:rsidRPr="00D178DD" w:rsidRDefault="00D178DD" w:rsidP="00D178DD">
                  <w:pPr>
                    <w:spacing w:before="0"/>
                    <w:ind w:firstLine="0"/>
                    <w:rPr>
                      <w:rFonts w:cs="Calibri"/>
                      <w:b w:val="0"/>
                      <w:bCs/>
                      <w:color w:val="000000"/>
                      <w:sz w:val="18"/>
                      <w:szCs w:val="18"/>
                      <w:lang w:val="hy-AM"/>
                    </w:rPr>
                  </w:pPr>
                  <w:r w:rsidRPr="00D178DD">
                    <w:rPr>
                      <w:rFonts w:cs="Calibri"/>
                      <w:bCs/>
                      <w:color w:val="000000"/>
                      <w:sz w:val="18"/>
                      <w:szCs w:val="18"/>
                      <w:lang w:val="hy-AM"/>
                    </w:rPr>
                    <w:t>Ընթացիկ հաշիվ, մլն ԱՄՆ դոլար</w:t>
                  </w:r>
                </w:p>
              </w:tc>
              <w:tc>
                <w:tcPr>
                  <w:tcW w:w="2374" w:type="dxa"/>
                  <w:shd w:val="clear" w:color="auto" w:fill="auto"/>
                  <w:vAlign w:val="center"/>
                </w:tcPr>
                <w:p w:rsidR="00D178DD" w:rsidRPr="00D178DD" w:rsidRDefault="00D178DD" w:rsidP="00D178DD">
                  <w:pPr>
                    <w:spacing w:before="0"/>
                    <w:ind w:firstLine="0"/>
                    <w:jc w:val="left"/>
                    <w:rPr>
                      <w:rFonts w:cs="Calibri"/>
                      <w:b w:val="0"/>
                      <w:i/>
                      <w:iCs/>
                      <w:color w:val="000000"/>
                      <w:sz w:val="18"/>
                      <w:szCs w:val="18"/>
                    </w:rPr>
                  </w:pPr>
                  <w:r w:rsidRPr="00D178DD">
                    <w:rPr>
                      <w:rFonts w:cs="Calibri"/>
                      <w:b w:val="0"/>
                      <w:i/>
                      <w:iCs/>
                      <w:color w:val="000000"/>
                      <w:sz w:val="18"/>
                      <w:szCs w:val="18"/>
                    </w:rPr>
                    <w:t xml:space="preserve">2023 </w:t>
                  </w:r>
                  <w:r w:rsidRPr="00D178DD">
                    <w:rPr>
                      <w:rFonts w:cs="Calibri"/>
                      <w:b w:val="0"/>
                      <w:i/>
                      <w:iCs/>
                      <w:color w:val="000000"/>
                      <w:sz w:val="18"/>
                      <w:szCs w:val="18"/>
                      <w:lang w:val="hy-AM"/>
                    </w:rPr>
                    <w:t>Պետական բյուջե</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-515.1</w:t>
                  </w:r>
                </w:p>
              </w:tc>
              <w:tc>
                <w:tcPr>
                  <w:tcW w:w="1685"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-768.9</w:t>
                  </w:r>
                </w:p>
              </w:tc>
              <w:tc>
                <w:tcPr>
                  <w:tcW w:w="1495"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-1,213.7</w:t>
                  </w:r>
                </w:p>
              </w:tc>
            </w:tr>
            <w:tr w:rsidR="00D178DD" w:rsidRPr="00D178DD" w:rsidTr="004B2286">
              <w:trPr>
                <w:trHeight w:val="384"/>
              </w:trPr>
              <w:tc>
                <w:tcPr>
                  <w:tcW w:w="2279" w:type="dxa"/>
                  <w:vMerge/>
                  <w:vAlign w:val="center"/>
                  <w:hideMark/>
                </w:tcPr>
                <w:p w:rsidR="00D178DD" w:rsidRPr="00D178DD" w:rsidRDefault="00D178DD" w:rsidP="00D178DD">
                  <w:pPr>
                    <w:spacing w:before="0"/>
                    <w:rPr>
                      <w:rFonts w:cs="Calibri"/>
                      <w:b w:val="0"/>
                      <w:bCs/>
                      <w:color w:val="000000"/>
                      <w:sz w:val="18"/>
                      <w:szCs w:val="18"/>
                    </w:rPr>
                  </w:pPr>
                </w:p>
              </w:tc>
              <w:tc>
                <w:tcPr>
                  <w:tcW w:w="2374" w:type="dxa"/>
                  <w:shd w:val="clear" w:color="auto" w:fill="auto"/>
                  <w:vAlign w:val="center"/>
                  <w:hideMark/>
                </w:tcPr>
                <w:p w:rsidR="00D178DD" w:rsidRPr="00D178DD" w:rsidRDefault="00D178DD" w:rsidP="00D178DD">
                  <w:pPr>
                    <w:spacing w:before="0"/>
                    <w:ind w:firstLine="0"/>
                    <w:jc w:val="left"/>
                    <w:rPr>
                      <w:rFonts w:cs="Calibri"/>
                      <w:b w:val="0"/>
                      <w:i/>
                      <w:iCs/>
                      <w:color w:val="000000"/>
                      <w:sz w:val="18"/>
                      <w:szCs w:val="18"/>
                    </w:rPr>
                  </w:pPr>
                  <w:r w:rsidRPr="00D178DD">
                    <w:rPr>
                      <w:rFonts w:cs="Calibri"/>
                      <w:b w:val="0"/>
                      <w:i/>
                      <w:iCs/>
                      <w:color w:val="000000"/>
                      <w:sz w:val="18"/>
                      <w:szCs w:val="18"/>
                    </w:rPr>
                    <w:t>202</w:t>
                  </w:r>
                  <w:r w:rsidRPr="00D178DD">
                    <w:rPr>
                      <w:rFonts w:cs="Calibri"/>
                      <w:b w:val="0"/>
                      <w:i/>
                      <w:iCs/>
                      <w:color w:val="000000"/>
                      <w:sz w:val="18"/>
                      <w:szCs w:val="18"/>
                      <w:lang w:val="hy-AM"/>
                    </w:rPr>
                    <w:t>3</w:t>
                  </w:r>
                  <w:r w:rsidRPr="00D178DD">
                    <w:rPr>
                      <w:rFonts w:cs="Calibri"/>
                      <w:b w:val="0"/>
                      <w:i/>
                      <w:iCs/>
                      <w:color w:val="000000"/>
                      <w:sz w:val="18"/>
                      <w:szCs w:val="18"/>
                    </w:rPr>
                    <w:t>-202</w:t>
                  </w:r>
                  <w:r w:rsidRPr="00D178DD">
                    <w:rPr>
                      <w:rFonts w:cs="Calibri"/>
                      <w:b w:val="0"/>
                      <w:i/>
                      <w:iCs/>
                      <w:color w:val="000000"/>
                      <w:sz w:val="18"/>
                      <w:szCs w:val="18"/>
                      <w:lang w:val="hy-AM"/>
                    </w:rPr>
                    <w:t>5</w:t>
                  </w:r>
                  <w:r w:rsidRPr="00D178DD">
                    <w:rPr>
                      <w:rFonts w:cs="Calibri"/>
                      <w:b w:val="0"/>
                      <w:i/>
                      <w:iCs/>
                      <w:color w:val="000000"/>
                      <w:sz w:val="18"/>
                      <w:szCs w:val="18"/>
                    </w:rPr>
                    <w:t xml:space="preserve"> ՄԺԾԾ</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-511.3</w:t>
                  </w:r>
                </w:p>
              </w:tc>
              <w:tc>
                <w:tcPr>
                  <w:tcW w:w="1685" w:type="dxa"/>
                  <w:shd w:val="clear" w:color="auto" w:fill="auto"/>
                  <w:noWrap/>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-741.5</w:t>
                  </w:r>
                </w:p>
              </w:tc>
              <w:tc>
                <w:tcPr>
                  <w:tcW w:w="1495" w:type="dxa"/>
                  <w:shd w:val="clear" w:color="auto" w:fill="auto"/>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-1,159.5</w:t>
                  </w:r>
                </w:p>
              </w:tc>
            </w:tr>
            <w:tr w:rsidR="00D178DD" w:rsidRPr="00D178DD" w:rsidTr="004B2286">
              <w:trPr>
                <w:trHeight w:val="384"/>
              </w:trPr>
              <w:tc>
                <w:tcPr>
                  <w:tcW w:w="2279" w:type="dxa"/>
                  <w:vMerge/>
                  <w:vAlign w:val="center"/>
                  <w:hideMark/>
                </w:tcPr>
                <w:p w:rsidR="00D178DD" w:rsidRPr="00D178DD" w:rsidRDefault="00D178DD" w:rsidP="00D178DD">
                  <w:pPr>
                    <w:spacing w:before="0"/>
                    <w:rPr>
                      <w:rFonts w:cs="Calibri"/>
                      <w:b w:val="0"/>
                      <w:bCs/>
                      <w:color w:val="000000"/>
                      <w:sz w:val="18"/>
                      <w:szCs w:val="18"/>
                    </w:rPr>
                  </w:pPr>
                </w:p>
              </w:tc>
              <w:tc>
                <w:tcPr>
                  <w:tcW w:w="2374" w:type="dxa"/>
                  <w:shd w:val="clear" w:color="auto" w:fill="auto"/>
                  <w:vAlign w:val="center"/>
                </w:tcPr>
                <w:p w:rsidR="00D178DD" w:rsidRPr="00D178DD" w:rsidRDefault="00D178DD" w:rsidP="00D178DD">
                  <w:pPr>
                    <w:spacing w:before="0"/>
                    <w:ind w:firstLine="0"/>
                    <w:jc w:val="left"/>
                    <w:rPr>
                      <w:rFonts w:cs="Calibri"/>
                      <w:b w:val="0"/>
                      <w:i/>
                      <w:iCs/>
                      <w:color w:val="000000"/>
                      <w:sz w:val="18"/>
                      <w:szCs w:val="18"/>
                    </w:rPr>
                  </w:pPr>
                  <w:r w:rsidRPr="00D178DD">
                    <w:rPr>
                      <w:rFonts w:cs="Calibri"/>
                      <w:b w:val="0"/>
                      <w:i/>
                      <w:iCs/>
                      <w:color w:val="000000"/>
                      <w:sz w:val="18"/>
                      <w:szCs w:val="18"/>
                    </w:rPr>
                    <w:t>202</w:t>
                  </w:r>
                  <w:r w:rsidRPr="00D178DD">
                    <w:rPr>
                      <w:rFonts w:cs="Calibri"/>
                      <w:b w:val="0"/>
                      <w:i/>
                      <w:iCs/>
                      <w:color w:val="000000"/>
                      <w:sz w:val="18"/>
                      <w:szCs w:val="18"/>
                      <w:lang w:val="hy-AM"/>
                    </w:rPr>
                    <w:t>2</w:t>
                  </w:r>
                  <w:r w:rsidRPr="00D178DD">
                    <w:rPr>
                      <w:rFonts w:cs="Calibri"/>
                      <w:b w:val="0"/>
                      <w:i/>
                      <w:iCs/>
                      <w:color w:val="000000"/>
                      <w:sz w:val="18"/>
                      <w:szCs w:val="18"/>
                    </w:rPr>
                    <w:t xml:space="preserve">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-241.8</w:t>
                  </w:r>
                </w:p>
              </w:tc>
              <w:tc>
                <w:tcPr>
                  <w:tcW w:w="1685"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-455.6</w:t>
                  </w:r>
                </w:p>
              </w:tc>
              <w:tc>
                <w:tcPr>
                  <w:tcW w:w="1495" w:type="dxa"/>
                  <w:shd w:val="clear" w:color="auto" w:fill="auto"/>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r w:rsidR="00D178DD" w:rsidRPr="00D178DD" w:rsidTr="004B2286">
              <w:trPr>
                <w:trHeight w:val="384"/>
              </w:trPr>
              <w:tc>
                <w:tcPr>
                  <w:tcW w:w="2279" w:type="dxa"/>
                  <w:vMerge w:val="restart"/>
                  <w:shd w:val="clear" w:color="auto" w:fill="auto"/>
                  <w:vAlign w:val="center"/>
                  <w:hideMark/>
                </w:tcPr>
                <w:p w:rsidR="00D178DD" w:rsidRPr="00D178DD" w:rsidRDefault="00D178DD" w:rsidP="00D178DD">
                  <w:pPr>
                    <w:spacing w:before="0"/>
                    <w:ind w:firstLine="0"/>
                    <w:rPr>
                      <w:rFonts w:cs="Calibri"/>
                      <w:b w:val="0"/>
                      <w:bCs/>
                      <w:color w:val="000000"/>
                      <w:sz w:val="18"/>
                      <w:szCs w:val="18"/>
                    </w:rPr>
                  </w:pPr>
                  <w:r w:rsidRPr="00D178DD">
                    <w:rPr>
                      <w:rFonts w:cs="Calibri"/>
                      <w:bCs/>
                      <w:color w:val="000000"/>
                      <w:sz w:val="18"/>
                      <w:szCs w:val="18"/>
                    </w:rPr>
                    <w:t>Ընթացիկ հաշիվ, %-ով՝ ՀՆԱ-ի նկատմամբ</w:t>
                  </w:r>
                </w:p>
              </w:tc>
              <w:tc>
                <w:tcPr>
                  <w:tcW w:w="2374" w:type="dxa"/>
                  <w:shd w:val="clear" w:color="auto" w:fill="auto"/>
                  <w:vAlign w:val="center"/>
                </w:tcPr>
                <w:p w:rsidR="00D178DD" w:rsidRPr="00D178DD" w:rsidRDefault="00D178DD" w:rsidP="00D178DD">
                  <w:pPr>
                    <w:spacing w:before="0"/>
                    <w:ind w:firstLine="0"/>
                    <w:jc w:val="left"/>
                    <w:rPr>
                      <w:rFonts w:cs="Calibri"/>
                      <w:b w:val="0"/>
                      <w:i/>
                      <w:iCs/>
                      <w:color w:val="000000"/>
                      <w:sz w:val="18"/>
                      <w:szCs w:val="18"/>
                    </w:rPr>
                  </w:pPr>
                  <w:r w:rsidRPr="00D178DD">
                    <w:rPr>
                      <w:rFonts w:cs="Calibri"/>
                      <w:b w:val="0"/>
                      <w:i/>
                      <w:iCs/>
                      <w:color w:val="000000"/>
                      <w:sz w:val="18"/>
                      <w:szCs w:val="18"/>
                      <w:lang w:val="hy-AM"/>
                    </w:rPr>
                    <w:t>2023 պետկան բյուջե</w:t>
                  </w:r>
                </w:p>
              </w:tc>
              <w:tc>
                <w:tcPr>
                  <w:tcW w:w="1527" w:type="dxa"/>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-3.7</w:t>
                  </w:r>
                </w:p>
              </w:tc>
              <w:tc>
                <w:tcPr>
                  <w:tcW w:w="1685" w:type="dxa"/>
                  <w:shd w:val="clear" w:color="auto" w:fill="auto"/>
                  <w:noWrap/>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-4.2</w:t>
                  </w:r>
                </w:p>
              </w:tc>
              <w:tc>
                <w:tcPr>
                  <w:tcW w:w="1495" w:type="dxa"/>
                  <w:shd w:val="clear" w:color="auto" w:fill="auto"/>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-5.7</w:t>
                  </w:r>
                </w:p>
              </w:tc>
            </w:tr>
            <w:tr w:rsidR="00D178DD" w:rsidRPr="00D178DD" w:rsidTr="004B2286">
              <w:trPr>
                <w:trHeight w:val="384"/>
              </w:trPr>
              <w:tc>
                <w:tcPr>
                  <w:tcW w:w="2279" w:type="dxa"/>
                  <w:vMerge/>
                  <w:vAlign w:val="center"/>
                  <w:hideMark/>
                </w:tcPr>
                <w:p w:rsidR="00D178DD" w:rsidRPr="00D178DD" w:rsidRDefault="00D178DD" w:rsidP="00D178DD">
                  <w:pPr>
                    <w:spacing w:before="0"/>
                    <w:rPr>
                      <w:rFonts w:cs="Calibri"/>
                      <w:b w:val="0"/>
                      <w:bCs/>
                      <w:color w:val="000000"/>
                      <w:sz w:val="18"/>
                      <w:szCs w:val="18"/>
                      <w:lang w:val="hy-AM"/>
                    </w:rPr>
                  </w:pPr>
                </w:p>
              </w:tc>
              <w:tc>
                <w:tcPr>
                  <w:tcW w:w="2374" w:type="dxa"/>
                  <w:shd w:val="clear" w:color="auto" w:fill="auto"/>
                  <w:vAlign w:val="center"/>
                  <w:hideMark/>
                </w:tcPr>
                <w:p w:rsidR="00D178DD" w:rsidRPr="00D178DD" w:rsidRDefault="00D178DD" w:rsidP="00D178DD">
                  <w:pPr>
                    <w:spacing w:before="0"/>
                    <w:ind w:firstLine="0"/>
                    <w:jc w:val="left"/>
                    <w:rPr>
                      <w:rFonts w:cs="Calibri"/>
                      <w:b w:val="0"/>
                      <w:i/>
                      <w:iCs/>
                      <w:color w:val="000000"/>
                      <w:sz w:val="18"/>
                      <w:szCs w:val="18"/>
                      <w:lang w:val="hy-AM"/>
                    </w:rPr>
                  </w:pPr>
                  <w:r w:rsidRPr="00D178DD">
                    <w:rPr>
                      <w:rFonts w:cs="Calibri"/>
                      <w:b w:val="0"/>
                      <w:i/>
                      <w:iCs/>
                      <w:color w:val="000000"/>
                      <w:sz w:val="18"/>
                      <w:szCs w:val="18"/>
                      <w:lang w:val="hy-AM"/>
                    </w:rPr>
                    <w:t>2023-2025 ՄԺԾԾ</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-3.8</w:t>
                  </w:r>
                </w:p>
              </w:tc>
              <w:tc>
                <w:tcPr>
                  <w:tcW w:w="1685" w:type="dxa"/>
                  <w:shd w:val="clear" w:color="auto" w:fill="auto"/>
                  <w:noWrap/>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-4.5</w:t>
                  </w:r>
                </w:p>
              </w:tc>
              <w:tc>
                <w:tcPr>
                  <w:tcW w:w="1495" w:type="dxa"/>
                  <w:shd w:val="clear" w:color="auto" w:fill="auto"/>
                  <w:vAlign w:val="center"/>
                  <w:hideMark/>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-6.4</w:t>
                  </w:r>
                </w:p>
              </w:tc>
            </w:tr>
            <w:tr w:rsidR="00D178DD" w:rsidRPr="00D178DD" w:rsidTr="004B2286">
              <w:trPr>
                <w:trHeight w:val="384"/>
              </w:trPr>
              <w:tc>
                <w:tcPr>
                  <w:tcW w:w="2279" w:type="dxa"/>
                  <w:vMerge/>
                  <w:vAlign w:val="center"/>
                  <w:hideMark/>
                </w:tcPr>
                <w:p w:rsidR="00D178DD" w:rsidRPr="00D178DD" w:rsidRDefault="00D178DD" w:rsidP="00D178DD">
                  <w:pPr>
                    <w:spacing w:before="0"/>
                    <w:rPr>
                      <w:rFonts w:cs="Calibri"/>
                      <w:b w:val="0"/>
                      <w:bCs/>
                      <w:color w:val="000000"/>
                      <w:sz w:val="18"/>
                      <w:szCs w:val="18"/>
                      <w:lang w:val="hy-AM"/>
                    </w:rPr>
                  </w:pPr>
                </w:p>
              </w:tc>
              <w:tc>
                <w:tcPr>
                  <w:tcW w:w="2374" w:type="dxa"/>
                  <w:shd w:val="clear" w:color="auto" w:fill="auto"/>
                  <w:vAlign w:val="center"/>
                </w:tcPr>
                <w:p w:rsidR="00D178DD" w:rsidRPr="00D178DD" w:rsidRDefault="00D178DD" w:rsidP="00D178DD">
                  <w:pPr>
                    <w:spacing w:before="0"/>
                    <w:ind w:firstLine="0"/>
                    <w:jc w:val="left"/>
                    <w:rPr>
                      <w:rFonts w:cs="Calibri"/>
                      <w:b w:val="0"/>
                      <w:i/>
                      <w:iCs/>
                      <w:color w:val="000000"/>
                      <w:sz w:val="18"/>
                      <w:szCs w:val="18"/>
                      <w:lang w:val="hy-AM"/>
                    </w:rPr>
                  </w:pPr>
                  <w:r w:rsidRPr="00D178DD">
                    <w:rPr>
                      <w:rFonts w:cs="Calibri"/>
                      <w:b w:val="0"/>
                      <w:i/>
                      <w:iCs/>
                      <w:color w:val="000000"/>
                      <w:sz w:val="18"/>
                      <w:szCs w:val="18"/>
                      <w:lang w:val="hy-AM"/>
                    </w:rPr>
                    <w:t>2022 Պետական բյուջե</w:t>
                  </w:r>
                </w:p>
              </w:tc>
              <w:tc>
                <w:tcPr>
                  <w:tcW w:w="1527" w:type="dxa"/>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-1.7</w:t>
                  </w:r>
                </w:p>
              </w:tc>
              <w:tc>
                <w:tcPr>
                  <w:tcW w:w="1685" w:type="dxa"/>
                  <w:shd w:val="clear" w:color="auto" w:fill="auto"/>
                  <w:noWrap/>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-3.0</w:t>
                  </w:r>
                </w:p>
              </w:tc>
              <w:tc>
                <w:tcPr>
                  <w:tcW w:w="1495" w:type="dxa"/>
                  <w:shd w:val="clear" w:color="auto" w:fill="auto"/>
                  <w:vAlign w:val="center"/>
                </w:tcPr>
                <w:p w:rsidR="00D178DD" w:rsidRPr="00D178DD" w:rsidRDefault="00D178DD" w:rsidP="00D178DD">
                  <w:pPr>
                    <w:spacing w:before="0" w:line="276" w:lineRule="auto"/>
                    <w:ind w:firstLine="0"/>
                    <w:jc w:val="center"/>
                    <w:rPr>
                      <w:rFonts w:cs="Calibri"/>
                      <w:b w:val="0"/>
                      <w:color w:val="000000"/>
                      <w:sz w:val="18"/>
                      <w:szCs w:val="18"/>
                      <w:lang w:val="hy-AM"/>
                    </w:rPr>
                  </w:pPr>
                  <w:r w:rsidRPr="00D178DD">
                    <w:rPr>
                      <w:rFonts w:cs="Calibri"/>
                      <w:b w:val="0"/>
                      <w:color w:val="000000"/>
                      <w:sz w:val="18"/>
                      <w:szCs w:val="18"/>
                      <w:lang w:val="hy-AM"/>
                    </w:rPr>
                    <w:t>-</w:t>
                  </w:r>
                </w:p>
              </w:tc>
            </w:tr>
          </w:tbl>
          <w:p w:rsidR="00D178DD" w:rsidRPr="00D178DD" w:rsidRDefault="00D178DD" w:rsidP="00D178DD">
            <w:pPr>
              <w:spacing w:before="0" w:line="276" w:lineRule="auto"/>
              <w:rPr>
                <w:rFonts w:eastAsia="Calibri"/>
                <w:sz w:val="18"/>
                <w:szCs w:val="18"/>
                <w:lang w:val="hy-AM"/>
              </w:rPr>
            </w:pPr>
            <w:r w:rsidRPr="00D178DD">
              <w:rPr>
                <w:rFonts w:eastAsia="Calibri"/>
                <w:sz w:val="18"/>
                <w:szCs w:val="18"/>
                <w:lang w:val="hy-AM"/>
              </w:rPr>
              <w:t xml:space="preserve">* </w:t>
            </w:r>
            <w:r w:rsidRPr="00D178DD">
              <w:rPr>
                <w:rFonts w:cs="Calibri"/>
                <w:i/>
                <w:iCs/>
                <w:color w:val="000000"/>
                <w:sz w:val="18"/>
                <w:szCs w:val="18"/>
                <w:lang w:val="hy-AM"/>
              </w:rPr>
              <w:t xml:space="preserve">2023-2025 ՄԺԾԾ և 2023 պետական բյուջեի համար 2021թ. ցուցանիշները փաստացի են </w:t>
            </w:r>
            <w:r w:rsidRPr="00D178DD">
              <w:rPr>
                <w:rFonts w:eastAsia="Calibri"/>
                <w:lang w:val="hy-AM"/>
              </w:rPr>
              <w:t xml:space="preserve">  </w:t>
            </w:r>
          </w:p>
          <w:p w:rsidR="00D178DD" w:rsidRPr="00D178DD" w:rsidRDefault="00D178DD" w:rsidP="00D178DD">
            <w:pPr>
              <w:tabs>
                <w:tab w:val="left" w:pos="0"/>
                <w:tab w:val="num" w:pos="720"/>
              </w:tabs>
              <w:spacing w:before="0" w:line="276" w:lineRule="auto"/>
              <w:ind w:firstLine="399"/>
              <w:rPr>
                <w:rFonts w:eastAsia="Calibri"/>
                <w:i/>
                <w:sz w:val="16"/>
                <w:szCs w:val="16"/>
                <w:lang w:val="hy-AM"/>
              </w:rPr>
            </w:pPr>
            <w:r w:rsidRPr="00D178DD">
              <w:rPr>
                <w:rFonts w:eastAsia="Calibri"/>
                <w:i/>
                <w:sz w:val="16"/>
                <w:szCs w:val="16"/>
                <w:lang w:val="hy-AM"/>
              </w:rPr>
              <w:t>Աղբյուրը ՝ ՀՀ ՖՆ կանխատեսումներ</w:t>
            </w:r>
          </w:p>
          <w:p w:rsidR="00D178DD" w:rsidRPr="00D178DD" w:rsidRDefault="00D178DD" w:rsidP="00D178DD">
            <w:pPr>
              <w:spacing w:before="0" w:line="276" w:lineRule="auto"/>
              <w:rPr>
                <w:rFonts w:eastAsia="Calibri"/>
                <w:sz w:val="18"/>
                <w:szCs w:val="18"/>
                <w:lang w:val="hy-AM"/>
              </w:rPr>
            </w:pPr>
          </w:p>
          <w:p w:rsidR="00D178DD" w:rsidRPr="00D178DD" w:rsidRDefault="00D178DD" w:rsidP="00D178DD">
            <w:pPr>
              <w:spacing w:before="0" w:line="276" w:lineRule="auto"/>
              <w:ind w:hanging="824"/>
              <w:rPr>
                <w:rFonts w:eastAsia="GHEA Grapalat" w:cs="GHEA Grapalat"/>
                <w:lang w:val="hy-AM"/>
              </w:rPr>
            </w:pPr>
          </w:p>
        </w:tc>
      </w:tr>
    </w:tbl>
    <w:p w:rsidR="00D178DD" w:rsidRPr="00D178DD" w:rsidRDefault="00D178DD" w:rsidP="00D178DD">
      <w:pPr>
        <w:spacing w:before="0"/>
        <w:rPr>
          <w:lang w:val="hy-AM"/>
        </w:rPr>
      </w:pPr>
    </w:p>
    <w:p w:rsidR="00D178DD" w:rsidRPr="00D178DD" w:rsidRDefault="00D178DD" w:rsidP="00D178DD">
      <w:pPr>
        <w:spacing w:before="0" w:line="259" w:lineRule="auto"/>
        <w:rPr>
          <w:b w:val="0"/>
          <w:bCs/>
          <w:color w:val="1F497D"/>
          <w:sz w:val="28"/>
          <w:szCs w:val="28"/>
        </w:rPr>
      </w:pPr>
    </w:p>
    <w:p w:rsidR="00D178DD" w:rsidRPr="00D178DD" w:rsidRDefault="00D178DD" w:rsidP="00D178DD">
      <w:pPr>
        <w:spacing w:before="0" w:line="259" w:lineRule="auto"/>
        <w:rPr>
          <w:b w:val="0"/>
          <w:bCs/>
          <w:color w:val="1F497D"/>
          <w:sz w:val="28"/>
          <w:szCs w:val="28"/>
        </w:rPr>
      </w:pPr>
    </w:p>
    <w:p w:rsidR="00D178DD" w:rsidRPr="00D178DD" w:rsidRDefault="00D178DD" w:rsidP="00D178DD">
      <w:pPr>
        <w:spacing w:before="0" w:line="259" w:lineRule="auto"/>
        <w:rPr>
          <w:b w:val="0"/>
          <w:bCs/>
          <w:color w:val="1F497D"/>
          <w:sz w:val="28"/>
          <w:szCs w:val="28"/>
        </w:rPr>
      </w:pPr>
    </w:p>
    <w:p w:rsidR="00D178DD" w:rsidRPr="00D178DD" w:rsidRDefault="00D178DD" w:rsidP="00D178DD">
      <w:pPr>
        <w:spacing w:before="0" w:line="259" w:lineRule="auto"/>
        <w:rPr>
          <w:b w:val="0"/>
          <w:bCs/>
          <w:color w:val="1F497D"/>
          <w:sz w:val="28"/>
          <w:szCs w:val="28"/>
        </w:rPr>
      </w:pPr>
    </w:p>
    <w:p w:rsidR="00D178DD" w:rsidRPr="00D178DD" w:rsidRDefault="00D178DD" w:rsidP="00D178DD">
      <w:pPr>
        <w:keepNext/>
        <w:tabs>
          <w:tab w:val="left" w:pos="567"/>
        </w:tabs>
        <w:spacing w:before="0" w:line="276" w:lineRule="auto"/>
        <w:ind w:firstLine="426"/>
        <w:jc w:val="center"/>
        <w:outlineLvl w:val="0"/>
        <w:rPr>
          <w:sz w:val="28"/>
          <w:szCs w:val="20"/>
          <w:lang w:val="hy-AM"/>
        </w:rPr>
      </w:pPr>
      <w:r w:rsidRPr="00D178DD">
        <w:rPr>
          <w:lang w:val="hy-AM"/>
        </w:rPr>
        <w:br w:type="page"/>
      </w:r>
      <w:bookmarkStart w:id="81" w:name="_Toc57655452"/>
      <w:bookmarkStart w:id="82" w:name="_Toc83199220"/>
      <w:bookmarkStart w:id="83" w:name="_Toc83972836"/>
      <w:bookmarkStart w:id="84" w:name="_Toc115686024"/>
      <w:bookmarkStart w:id="85" w:name="_Toc120805198"/>
      <w:bookmarkStart w:id="86" w:name="_Toc46154350"/>
      <w:bookmarkStart w:id="87" w:name="_Toc165901410"/>
      <w:r w:rsidRPr="00D178DD">
        <w:rPr>
          <w:sz w:val="28"/>
          <w:szCs w:val="20"/>
          <w:lang w:val="hy-AM"/>
        </w:rPr>
        <w:lastRenderedPageBreak/>
        <w:t>ՀԱՐԿԱԲՅՈՒՋԵՏԱՅԻՆ ՔԱՂԱՔԱԿԱՆՈՒԹՅԱՆ ՀԻՄՆԱԿԱՆ ՈՒՂՂՈՒԹՅՈՒՆՆԵՐԸ ԵՎ ԿԱՆԽԱՏԵՍՈՒՄՆԵՐԸ</w:t>
      </w:r>
      <w:bookmarkEnd w:id="81"/>
      <w:bookmarkEnd w:id="82"/>
      <w:bookmarkEnd w:id="83"/>
      <w:bookmarkEnd w:id="84"/>
      <w:bookmarkEnd w:id="85"/>
      <w:bookmarkEnd w:id="86"/>
      <w:bookmarkEnd w:id="87"/>
    </w:p>
    <w:p w:rsidR="00D178DD" w:rsidRPr="00D178DD" w:rsidRDefault="00D178DD" w:rsidP="00D178DD">
      <w:pPr>
        <w:keepNext/>
        <w:tabs>
          <w:tab w:val="left" w:pos="567"/>
        </w:tabs>
        <w:spacing w:before="0" w:line="276" w:lineRule="auto"/>
        <w:ind w:firstLine="425"/>
        <w:rPr>
          <w:sz w:val="28"/>
          <w:szCs w:val="20"/>
          <w:lang w:val="hy-AM"/>
        </w:rPr>
      </w:pPr>
    </w:p>
    <w:p w:rsidR="00D178DD" w:rsidRPr="00D178DD" w:rsidRDefault="00D178DD" w:rsidP="00D178DD">
      <w:pPr>
        <w:keepNext/>
        <w:keepLines/>
        <w:spacing w:before="0" w:line="312" w:lineRule="auto"/>
        <w:ind w:firstLine="0"/>
        <w:outlineLvl w:val="2"/>
        <w:rPr>
          <w:sz w:val="24"/>
          <w:lang w:val="hy-AM" w:eastAsia="en-US"/>
        </w:rPr>
      </w:pPr>
      <w:bookmarkStart w:id="88" w:name="_Toc46154351"/>
      <w:bookmarkStart w:id="89" w:name="_Toc57655453"/>
      <w:bookmarkStart w:id="90" w:name="_Toc83199221"/>
      <w:bookmarkStart w:id="91" w:name="_Toc83972837"/>
      <w:bookmarkStart w:id="92" w:name="_Toc115686025"/>
      <w:bookmarkStart w:id="93" w:name="_Toc120805199"/>
      <w:bookmarkStart w:id="94" w:name="_Toc165901411"/>
      <w:r w:rsidRPr="00D178DD">
        <w:rPr>
          <w:sz w:val="24"/>
          <w:lang w:val="hy-AM" w:eastAsia="en-US"/>
        </w:rPr>
        <w:t xml:space="preserve">2.1. </w:t>
      </w:r>
      <w:bookmarkStart w:id="95" w:name="_Toc45838522"/>
      <w:r w:rsidRPr="00D178DD">
        <w:rPr>
          <w:sz w:val="24"/>
          <w:lang w:val="hy-AM" w:eastAsia="en-US"/>
        </w:rPr>
        <w:t>ՀԱՐԿԱԲՅՈՒՋԵՏԱՅԻՆ ԸՆԴՀԱՆՈՒՐ ԱԿՆԱՐԿ ԵՎ ՀԱՐԿԱԲՅՈՒՋԵՏԱՅԻՆ ՇՐՋԱՆԱԿ</w:t>
      </w:r>
      <w:bookmarkEnd w:id="88"/>
      <w:bookmarkEnd w:id="89"/>
      <w:bookmarkEnd w:id="90"/>
      <w:bookmarkEnd w:id="91"/>
      <w:bookmarkEnd w:id="92"/>
      <w:bookmarkEnd w:id="93"/>
      <w:bookmarkEnd w:id="95"/>
      <w:bookmarkEnd w:id="94"/>
    </w:p>
    <w:p w:rsidR="00D178DD" w:rsidRPr="00D178DD" w:rsidRDefault="00D178DD" w:rsidP="00D178DD">
      <w:pPr>
        <w:numPr>
          <w:ilvl w:val="0"/>
          <w:numId w:val="26"/>
        </w:numPr>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 xml:space="preserve">2021 թվականին տնտեսության վերականգնման պայմաններում հարկաբյուջետային քաղաքականության նպատակն է եղել ապահովել հարկաբյուջետային կայունությունը՝ միաժամանակ աջակցելով տնտեսական վերականգնմանը և պայմաններ ստեղծել ՀՀ կառավարության պարտքի նվազման համար։ Այդ նպատակով, ՀՀ </w:t>
      </w:r>
      <w:r w:rsidRPr="00D178DD">
        <w:rPr>
          <w:b w:val="0"/>
          <w:lang w:val="hy-AM"/>
        </w:rPr>
        <w:t>կառավարությունը, կիրառելով հարկաբյուջետային կանոններով սահմանված «բացառիկ դեպքերի» կարգավորումները, իրականացրել է հակապարբերաշրջանային հարկաբյուջետային քաղաքականություն, ինչի արդյունքում 2021 թվականին բյուջեի պակասուրդը նվազել է՝ մնալով պատմականից բարձր մակարդակում, իսկ ՀՀ կառավարության պարտք/ՀՆԱ ցուցանիշը կազմել է 60.3%՝ նախորդ տարվա նկատմամբ նվազելով 3.2 տոկոսային կետով</w:t>
      </w:r>
      <w:r w:rsidRPr="00D178DD">
        <w:rPr>
          <w:rFonts w:cs="Arial"/>
          <w:b w:val="0"/>
          <w:szCs w:val="22"/>
          <w:lang w:val="hy-AM" w:eastAsia="en-US"/>
        </w:rPr>
        <w:t>:</w:t>
      </w:r>
    </w:p>
    <w:p w:rsidR="00D178DD" w:rsidRPr="00D178DD" w:rsidRDefault="00D178DD" w:rsidP="00D178DD">
      <w:pPr>
        <w:numPr>
          <w:ilvl w:val="0"/>
          <w:numId w:val="26"/>
        </w:numPr>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2022 թվականի առաջին կիսամյակում բարձր տնտեսական աճի պայմաններում հարկաբյուջետային քաղաքականությունն ամբողջական պահանջարկի վրա ունեցել է էական զսպող ազդեցութուն: Սպասվում է, որ բարձր տնտեսական աճի տեմպը կպահպանվի մինչև տարեվերջ, իսկ հարկաբյուջետային քաղաքականության  զսպող ազդեցությունը կպահպանվի:</w:t>
      </w:r>
    </w:p>
    <w:p w:rsidR="00D178DD" w:rsidRPr="00D178DD" w:rsidRDefault="00D178DD" w:rsidP="00D178DD">
      <w:pPr>
        <w:numPr>
          <w:ilvl w:val="0"/>
          <w:numId w:val="26"/>
        </w:numPr>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2022 թվականի առաջին ութ ամիսներին հարկման բազաների բարձր աճի և 2021 թվականի հարկային օրենսդրության փոփոխությունների պայմաններում ՀՀ պետական բյուջեի հարկային եկամուտներն աճել են բարձր տեմպերով՝ շուրջ 25.2%-ով: Այդ պայմաններում, 2022թ. հարկային եկամուտների սպասվող ցուցաիշը ճշգրտվել է դեպի վեր՝ հասնելով 1,920 մլրդ դրամի, որի պայմաններում հարկեր/ՀՆԱ հարաբերակցությունը նախորդ տարվա համեմատ կբարելավվի 0.</w:t>
      </w:r>
      <w:r w:rsidR="00657E59">
        <w:rPr>
          <w:rFonts w:cs="Arial"/>
          <w:b w:val="0"/>
          <w:szCs w:val="22"/>
          <w:lang w:val="hy-AM" w:eastAsia="en-US"/>
        </w:rPr>
        <w:t>5</w:t>
      </w:r>
      <w:r w:rsidRPr="00D178DD">
        <w:rPr>
          <w:rFonts w:cs="Arial"/>
          <w:b w:val="0"/>
          <w:szCs w:val="22"/>
          <w:lang w:val="hy-AM" w:eastAsia="en-US"/>
        </w:rPr>
        <w:t xml:space="preserve"> տոկոսային կետով՝ հասնելով 23.2%-ի: </w:t>
      </w:r>
    </w:p>
    <w:p w:rsidR="00D178DD" w:rsidRPr="00D178DD" w:rsidRDefault="00D178DD" w:rsidP="00D178DD">
      <w:pPr>
        <w:numPr>
          <w:ilvl w:val="0"/>
          <w:numId w:val="26"/>
        </w:numPr>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2023 թվականին բարձր տնտեսական աճի պայմաններում, կառավարությունը նախատեսում է իրականացնել հարկային վարչարարության բարելավմանն ուղղված միջոցառումներ, ինչպես նաև հարկային օրենսդրության բարեփոխումներ: Վերջիններիս արդյունքում ակնկալվում է ապահովել հարկեր/ՀՆԱ հարաբերակցության շուրջ 0.5 տոկոսային կետով բարելավում:</w:t>
      </w:r>
    </w:p>
    <w:p w:rsidR="00D178DD" w:rsidRPr="00D178DD" w:rsidRDefault="00D178DD" w:rsidP="00D178DD">
      <w:pPr>
        <w:numPr>
          <w:ilvl w:val="0"/>
          <w:numId w:val="26"/>
        </w:numPr>
        <w:autoSpaceDE w:val="0"/>
        <w:autoSpaceDN w:val="0"/>
        <w:adjustRightInd w:val="0"/>
        <w:spacing w:before="0" w:after="120" w:line="276" w:lineRule="auto"/>
        <w:ind w:left="540" w:hanging="270"/>
        <w:contextualSpacing w:val="0"/>
        <w:rPr>
          <w:rFonts w:cs="Arial"/>
          <w:b w:val="0"/>
          <w:szCs w:val="22"/>
          <w:lang w:val="hy-AM" w:eastAsia="en-US"/>
        </w:rPr>
      </w:pPr>
      <w:r w:rsidRPr="00D178DD">
        <w:rPr>
          <w:rFonts w:cs="Arial"/>
          <w:b w:val="0"/>
          <w:szCs w:val="22"/>
          <w:lang w:val="hy-AM" w:eastAsia="en-US"/>
        </w:rPr>
        <w:t>2023 թվականին հարկաբյուջետային քաղաքականությունը ՀՀ կառավարության 2021-2026թթ. ծրագրին համահունչ ուղղված կլինի թիրախավորված 7% տնտեսական աճի ապահովմանը՝ շեշտադրելով պետական ներդրումների մասնաբաժնի էական մեծացումը (կապիտալ ծախսերի կշիռը ՀՆԱ-ում հասցնելով 5.9%-ի) և ծախսերի իրականացման արդյունավետության բարձրացումը, ինչպես նաև՝ պարտքի կայունության պահպանմանը: Ընդ որում հարկաբյուջետային քաղաքականությունը ամբողջական պահանջարկի վրա 2023թ. կունենա չեզոք ազդեցություն և միաժամանակ կխթանի ներուժային տնտեսական աճը:</w:t>
      </w:r>
    </w:p>
    <w:p w:rsidR="00D178DD" w:rsidRPr="00D178DD" w:rsidRDefault="00D178DD" w:rsidP="00D178DD">
      <w:pPr>
        <w:numPr>
          <w:ilvl w:val="0"/>
          <w:numId w:val="26"/>
        </w:numPr>
        <w:spacing w:before="0" w:after="240" w:line="276" w:lineRule="auto"/>
        <w:ind w:left="540" w:hanging="270"/>
        <w:contextualSpacing w:val="0"/>
        <w:rPr>
          <w:rFonts w:cs="Arial"/>
          <w:b w:val="0"/>
          <w:szCs w:val="22"/>
          <w:lang w:val="hy-AM" w:eastAsia="en-US"/>
        </w:rPr>
      </w:pPr>
      <w:r w:rsidRPr="00D178DD">
        <w:rPr>
          <w:rFonts w:cs="Arial"/>
          <w:b w:val="0"/>
          <w:szCs w:val="22"/>
          <w:lang w:val="hy-AM" w:eastAsia="en-US"/>
        </w:rPr>
        <w:lastRenderedPageBreak/>
        <w:t>Տնտեսական աճի բարձր տեմպի ապահովման ռիսկերի առարկայացման, ինչպես նաև մակրոտնտեսական մյուս ցուցանիշների կանխատեսումների շեղումների պարագայում կարող են առաջանալ պետական բյուջեի հարկային եկամուտների՝ կանխատեսված մակարդակից դեպի ներքև շեղման, ինչպես նաև ծախսերի՝ դեպի վերև շեղման ռիսկեր, ինչի պայմաններում կառաջանա լրացուցիչ ֆինանսավորման կարիք, որը կարող է բավարարվել պահուստային ֆոնդի հաշվին: Բացի այդ, առկա են անորոշություններ նաև ՀՀ կառավարության պարտքի բեռի շուրջ, որոնց առարկայացումը պարտքի կայունության էական ռիսկեր չի ստեղծի: :</w:t>
      </w:r>
    </w:p>
    <w:p w:rsidR="00D178DD" w:rsidRPr="00D178DD" w:rsidRDefault="00D178DD" w:rsidP="00D178DD">
      <w:pPr>
        <w:spacing w:before="0" w:line="276" w:lineRule="auto"/>
        <w:ind w:firstLine="0"/>
        <w:contextualSpacing w:val="0"/>
        <w:rPr>
          <w:rFonts w:eastAsia="Calibri" w:cs="Arial"/>
          <w:b w:val="0"/>
          <w:bCs/>
          <w:i/>
          <w:iCs/>
          <w:sz w:val="20"/>
          <w:szCs w:val="20"/>
          <w:lang w:val="hy-AM" w:eastAsia="en-US"/>
        </w:rPr>
      </w:pPr>
      <w:r w:rsidRPr="00D178DD">
        <w:rPr>
          <w:rFonts w:eastAsia="Calibri" w:cs="Arial"/>
          <w:i/>
          <w:iCs/>
          <w:sz w:val="20"/>
          <w:szCs w:val="20"/>
          <w:lang w:val="hy-AM" w:eastAsia="en-US"/>
        </w:rPr>
        <w:t xml:space="preserve">Աղյուսակ 2.1. </w:t>
      </w:r>
      <w:r w:rsidRPr="00D178DD">
        <w:rPr>
          <w:rFonts w:eastAsia="Calibri" w:cs="Arial"/>
          <w:b w:val="0"/>
          <w:bCs/>
          <w:i/>
          <w:iCs/>
          <w:sz w:val="20"/>
          <w:szCs w:val="20"/>
          <w:lang w:val="hy-AM" w:eastAsia="en-US"/>
        </w:rPr>
        <w:t>2023թ. պետական բյուջեի հարկաբյուջետային շրջանակ</w:t>
      </w:r>
    </w:p>
    <w:tbl>
      <w:tblPr>
        <w:tblW w:w="10100" w:type="dxa"/>
        <w:tblLook w:val="04A0" w:firstRow="1" w:lastRow="0" w:firstColumn="1" w:lastColumn="0" w:noHBand="0" w:noVBand="1"/>
      </w:tblPr>
      <w:tblGrid>
        <w:gridCol w:w="4000"/>
        <w:gridCol w:w="1340"/>
        <w:gridCol w:w="1280"/>
        <w:gridCol w:w="1240"/>
        <w:gridCol w:w="1180"/>
        <w:gridCol w:w="1060"/>
      </w:tblGrid>
      <w:tr w:rsidR="00D178DD" w:rsidRPr="00D178DD" w:rsidTr="004B2286">
        <w:trPr>
          <w:trHeight w:val="360"/>
        </w:trPr>
        <w:tc>
          <w:tcPr>
            <w:tcW w:w="4000" w:type="dxa"/>
            <w:tcBorders>
              <w:top w:val="single" w:sz="12" w:space="0" w:color="5B9BD5"/>
              <w:left w:val="single" w:sz="12" w:space="0" w:color="5B9BD5"/>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rPr>
                <w:rFonts w:ascii="Calibri" w:hAnsi="Calibri" w:cs="Calibri"/>
                <w:b w:val="0"/>
                <w:color w:val="FFFFFF"/>
                <w:szCs w:val="22"/>
                <w:lang w:val="hy-AM" w:eastAsia="en-US"/>
              </w:rPr>
            </w:pPr>
            <w:r w:rsidRPr="00D178DD">
              <w:rPr>
                <w:rFonts w:ascii="Calibri" w:hAnsi="Calibri" w:cs="Calibri"/>
                <w:b w:val="0"/>
                <w:color w:val="FFFFFF"/>
                <w:szCs w:val="22"/>
                <w:lang w:val="hy-AM" w:eastAsia="en-US"/>
              </w:rPr>
              <w:t> </w:t>
            </w:r>
          </w:p>
        </w:tc>
        <w:tc>
          <w:tcPr>
            <w:tcW w:w="134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2019</w:t>
            </w:r>
          </w:p>
        </w:tc>
        <w:tc>
          <w:tcPr>
            <w:tcW w:w="128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2020</w:t>
            </w:r>
          </w:p>
        </w:tc>
        <w:tc>
          <w:tcPr>
            <w:tcW w:w="124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18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060" w:type="dxa"/>
            <w:tcBorders>
              <w:top w:val="single" w:sz="12" w:space="0" w:color="5B9BD5"/>
              <w:left w:val="nil"/>
              <w:bottom w:val="single" w:sz="8" w:space="0" w:color="FFFFFF"/>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i/>
                <w:iCs/>
                <w:color w:val="FFFFFF"/>
                <w:szCs w:val="22"/>
                <w:lang w:val="en-US" w:eastAsia="en-US"/>
              </w:rPr>
            </w:pPr>
            <w:r w:rsidRPr="00D178DD">
              <w:rPr>
                <w:rFonts w:cs="Calibri"/>
                <w:b w:val="0"/>
                <w:i/>
                <w:iCs/>
                <w:color w:val="FFFFFF"/>
                <w:szCs w:val="22"/>
                <w:lang w:val="en-US" w:eastAsia="en-US"/>
              </w:rPr>
              <w:t>մլրդ դրամ</w:t>
            </w:r>
          </w:p>
        </w:tc>
        <w:tc>
          <w:tcPr>
            <w:tcW w:w="3860" w:type="dxa"/>
            <w:gridSpan w:val="3"/>
            <w:tcBorders>
              <w:top w:val="single" w:sz="8" w:space="0" w:color="FFFFFF"/>
              <w:left w:val="nil"/>
              <w:bottom w:val="single" w:sz="8" w:space="0" w:color="5B9BD5"/>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Փաստացի</w:t>
            </w:r>
          </w:p>
        </w:tc>
        <w:tc>
          <w:tcPr>
            <w:tcW w:w="1180" w:type="dxa"/>
            <w:tcBorders>
              <w:top w:val="nil"/>
              <w:left w:val="nil"/>
              <w:bottom w:val="single" w:sz="8" w:space="0" w:color="5B9BD5"/>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Սպասում</w:t>
            </w:r>
          </w:p>
        </w:tc>
        <w:tc>
          <w:tcPr>
            <w:tcW w:w="1060" w:type="dxa"/>
            <w:tcBorders>
              <w:top w:val="nil"/>
              <w:left w:val="nil"/>
              <w:bottom w:val="single" w:sz="8" w:space="0" w:color="5B9BD5"/>
              <w:right w:val="single" w:sz="8" w:space="0" w:color="FFFFFF"/>
            </w:tcBorders>
            <w:shd w:val="clear" w:color="000000" w:fill="5B9BD5"/>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Բյուջե</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1</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2</w:t>
            </w:r>
          </w:p>
        </w:tc>
        <w:tc>
          <w:tcPr>
            <w:tcW w:w="1280" w:type="dxa"/>
            <w:tcBorders>
              <w:top w:val="nil"/>
              <w:left w:val="nil"/>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3</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4</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5</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center"/>
              <w:rPr>
                <w:rFonts w:cs="Calibri"/>
                <w:bCs/>
                <w:color w:val="000000"/>
                <w:szCs w:val="22"/>
                <w:lang w:val="en-US" w:eastAsia="en-US"/>
              </w:rPr>
            </w:pPr>
            <w:r w:rsidRPr="00D178DD">
              <w:rPr>
                <w:rFonts w:cs="Calibri"/>
                <w:bCs/>
                <w:color w:val="000000"/>
                <w:szCs w:val="22"/>
                <w:lang w:val="en-US" w:eastAsia="en-US"/>
              </w:rPr>
              <w:t>6</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 xml:space="preserve">Պետական բյուջեի եկամուտներ </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1,565.5</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1,560.7</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1,683.8</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2,042.5</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822D2B">
            <w:pPr>
              <w:spacing w:before="0" w:line="240" w:lineRule="auto"/>
              <w:ind w:firstLine="0"/>
              <w:contextualSpacing w:val="0"/>
              <w:jc w:val="right"/>
              <w:rPr>
                <w:rFonts w:cs="Calibri"/>
                <w:bCs/>
                <w:color w:val="000000"/>
                <w:sz w:val="20"/>
                <w:szCs w:val="20"/>
                <w:lang w:val="hy-AM" w:eastAsia="en-US"/>
              </w:rPr>
            </w:pPr>
            <w:r w:rsidRPr="00D178DD">
              <w:rPr>
                <w:rFonts w:cs="Calibri"/>
                <w:bCs/>
                <w:color w:val="000000"/>
                <w:sz w:val="20"/>
                <w:szCs w:val="20"/>
                <w:lang w:val="en-US" w:eastAsia="en-US"/>
              </w:rPr>
              <w:t>2,30</w:t>
            </w:r>
            <w:r w:rsidRPr="00D178DD">
              <w:rPr>
                <w:rFonts w:cs="Calibri"/>
                <w:bCs/>
                <w:color w:val="000000"/>
                <w:sz w:val="20"/>
                <w:szCs w:val="20"/>
                <w:lang w:val="hy-AM" w:eastAsia="en-US"/>
              </w:rPr>
              <w:t>2</w:t>
            </w:r>
            <w:r w:rsidRPr="00D178DD">
              <w:rPr>
                <w:rFonts w:cs="Calibri"/>
                <w:bCs/>
                <w:color w:val="000000"/>
                <w:sz w:val="20"/>
                <w:szCs w:val="20"/>
                <w:lang w:val="en-US" w:eastAsia="en-US"/>
              </w:rPr>
              <w:t>.</w:t>
            </w:r>
            <w:r w:rsidRPr="00D178DD">
              <w:rPr>
                <w:rFonts w:cs="Calibri"/>
                <w:bCs/>
                <w:color w:val="000000"/>
                <w:sz w:val="20"/>
                <w:szCs w:val="20"/>
                <w:lang w:val="hy-AM" w:eastAsia="en-US"/>
              </w:rPr>
              <w:t>0</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val="en-US" w:eastAsia="en-US"/>
              </w:rPr>
            </w:pPr>
            <w:r w:rsidRPr="00D178DD">
              <w:rPr>
                <w:rFonts w:cs="Calibri"/>
                <w:b w:val="0"/>
                <w:color w:val="000000"/>
                <w:szCs w:val="22"/>
                <w:lang w:val="en-US" w:eastAsia="en-US"/>
              </w:rPr>
              <w:t>Հարկային եկամուտներ և տուրքեր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1,464.3</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1,385.2</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1,586.9</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1,920.0</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2,203.7</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1,629.4</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1,894.6</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2,004.3</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2,246.7</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F874E0">
            <w:pPr>
              <w:spacing w:before="0" w:line="240" w:lineRule="auto"/>
              <w:ind w:firstLine="0"/>
              <w:contextualSpacing w:val="0"/>
              <w:jc w:val="right"/>
              <w:rPr>
                <w:rFonts w:cs="Calibri"/>
                <w:bCs/>
                <w:color w:val="000000"/>
                <w:sz w:val="20"/>
                <w:szCs w:val="20"/>
                <w:lang w:val="hy-AM" w:eastAsia="en-US"/>
              </w:rPr>
            </w:pPr>
            <w:r w:rsidRPr="00D178DD">
              <w:rPr>
                <w:rFonts w:cs="Calibri"/>
                <w:bCs/>
                <w:color w:val="000000"/>
                <w:sz w:val="20"/>
                <w:szCs w:val="20"/>
                <w:lang w:val="en-US" w:eastAsia="en-US"/>
              </w:rPr>
              <w:t>2,59</w:t>
            </w:r>
            <w:r w:rsidRPr="00D178DD">
              <w:rPr>
                <w:rFonts w:cs="Calibri"/>
                <w:bCs/>
                <w:color w:val="000000"/>
                <w:sz w:val="20"/>
                <w:szCs w:val="20"/>
                <w:lang w:val="hy-AM" w:eastAsia="en-US"/>
              </w:rPr>
              <w:t>1</w:t>
            </w:r>
            <w:r w:rsidRPr="00D178DD">
              <w:rPr>
                <w:rFonts w:cs="Calibri"/>
                <w:bCs/>
                <w:color w:val="000000"/>
                <w:sz w:val="20"/>
                <w:szCs w:val="20"/>
                <w:lang w:val="en-US" w:eastAsia="en-US"/>
              </w:rPr>
              <w:t>.</w:t>
            </w:r>
            <w:r w:rsidRPr="00D178DD">
              <w:rPr>
                <w:rFonts w:cs="Calibri"/>
                <w:bCs/>
                <w:color w:val="000000"/>
                <w:sz w:val="20"/>
                <w:szCs w:val="20"/>
                <w:lang w:val="hy-AM" w:eastAsia="en-US"/>
              </w:rPr>
              <w:t>0</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val="en-US" w:eastAsia="en-US"/>
              </w:rPr>
            </w:pPr>
            <w:r w:rsidRPr="00D178DD">
              <w:rPr>
                <w:rFonts w:cs="Calibri"/>
                <w:b w:val="0"/>
                <w:color w:val="000000"/>
                <w:szCs w:val="22"/>
                <w:lang w:val="en-US" w:eastAsia="en-US"/>
              </w:rPr>
              <w:t>Ընթացիկ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1,437.1</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1,668.5</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1,788.0</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1,857.0</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F874E0">
            <w:pPr>
              <w:spacing w:before="0" w:line="240" w:lineRule="auto"/>
              <w:ind w:firstLine="0"/>
              <w:contextualSpacing w:val="0"/>
              <w:jc w:val="right"/>
              <w:rPr>
                <w:rFonts w:cs="Calibri"/>
                <w:b w:val="0"/>
                <w:color w:val="000000"/>
                <w:sz w:val="20"/>
                <w:szCs w:val="20"/>
                <w:lang w:val="hy-AM" w:eastAsia="en-US"/>
              </w:rPr>
            </w:pPr>
            <w:r w:rsidRPr="00D178DD">
              <w:rPr>
                <w:rFonts w:cs="Calibri"/>
                <w:b w:val="0"/>
                <w:color w:val="000000"/>
                <w:sz w:val="20"/>
                <w:szCs w:val="20"/>
                <w:lang w:val="en-US" w:eastAsia="en-US"/>
              </w:rPr>
              <w:t>2,04</w:t>
            </w:r>
            <w:r w:rsidRPr="00D178DD">
              <w:rPr>
                <w:rFonts w:cs="Calibri"/>
                <w:b w:val="0"/>
                <w:color w:val="000000"/>
                <w:sz w:val="20"/>
                <w:szCs w:val="20"/>
                <w:lang w:val="hy-AM" w:eastAsia="en-US"/>
              </w:rPr>
              <w:t>3</w:t>
            </w:r>
            <w:r w:rsidRPr="00D178DD">
              <w:rPr>
                <w:rFonts w:cs="Calibri"/>
                <w:b w:val="0"/>
                <w:color w:val="000000"/>
                <w:sz w:val="20"/>
                <w:szCs w:val="20"/>
                <w:lang w:val="en-US" w:eastAsia="en-US"/>
              </w:rPr>
              <w:t>.</w:t>
            </w:r>
            <w:r w:rsidRPr="00D178DD">
              <w:rPr>
                <w:rFonts w:cs="Calibri"/>
                <w:b w:val="0"/>
                <w:color w:val="000000"/>
                <w:sz w:val="20"/>
                <w:szCs w:val="20"/>
                <w:lang w:val="hy-AM" w:eastAsia="en-US"/>
              </w:rPr>
              <w:t>3</w:t>
            </w:r>
          </w:p>
        </w:tc>
      </w:tr>
      <w:tr w:rsidR="00D178DD" w:rsidRPr="00D178DD" w:rsidTr="004B2286">
        <w:trPr>
          <w:trHeight w:val="675"/>
        </w:trPr>
        <w:tc>
          <w:tcPr>
            <w:tcW w:w="4000" w:type="dxa"/>
            <w:tcBorders>
              <w:top w:val="nil"/>
              <w:left w:val="single" w:sz="12" w:space="0" w:color="5B9BD5"/>
              <w:bottom w:val="nil"/>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eastAsia="en-US"/>
              </w:rPr>
            </w:pPr>
            <w:r w:rsidRPr="00D178DD">
              <w:rPr>
                <w:rFonts w:cs="Calibri"/>
                <w:b w:val="0"/>
                <w:color w:val="000000"/>
                <w:szCs w:val="22"/>
                <w:lang w:val="en-US" w:eastAsia="en-US"/>
              </w:rPr>
              <w:t>Ոչ</w:t>
            </w:r>
            <w:r w:rsidRPr="00D178DD">
              <w:rPr>
                <w:rFonts w:cs="Calibri"/>
                <w:b w:val="0"/>
                <w:color w:val="000000"/>
                <w:szCs w:val="22"/>
                <w:lang w:eastAsia="en-US"/>
              </w:rPr>
              <w:t xml:space="preserve"> </w:t>
            </w:r>
            <w:r w:rsidRPr="00D178DD">
              <w:rPr>
                <w:rFonts w:cs="Calibri"/>
                <w:b w:val="0"/>
                <w:color w:val="000000"/>
                <w:szCs w:val="22"/>
                <w:lang w:val="en-US" w:eastAsia="en-US"/>
              </w:rPr>
              <w:t>ֆինանսական</w:t>
            </w:r>
            <w:r w:rsidRPr="00D178DD">
              <w:rPr>
                <w:rFonts w:cs="Calibri"/>
                <w:b w:val="0"/>
                <w:color w:val="000000"/>
                <w:szCs w:val="22"/>
                <w:lang w:eastAsia="en-US"/>
              </w:rPr>
              <w:t xml:space="preserve"> </w:t>
            </w:r>
            <w:r w:rsidRPr="00D178DD">
              <w:rPr>
                <w:rFonts w:cs="Calibri"/>
                <w:b w:val="0"/>
                <w:color w:val="000000"/>
                <w:szCs w:val="22"/>
                <w:lang w:val="en-US" w:eastAsia="en-US"/>
              </w:rPr>
              <w:t>ակտիվների</w:t>
            </w:r>
            <w:r w:rsidRPr="00D178DD">
              <w:rPr>
                <w:rFonts w:cs="Calibri"/>
                <w:b w:val="0"/>
                <w:color w:val="000000"/>
                <w:szCs w:val="22"/>
                <w:lang w:eastAsia="en-US"/>
              </w:rPr>
              <w:t xml:space="preserve"> </w:t>
            </w:r>
            <w:r w:rsidRPr="00D178DD">
              <w:rPr>
                <w:rFonts w:cs="Calibri"/>
                <w:b w:val="0"/>
                <w:color w:val="000000"/>
                <w:szCs w:val="22"/>
                <w:lang w:val="en-US" w:eastAsia="en-US"/>
              </w:rPr>
              <w:t>հետ</w:t>
            </w:r>
            <w:r w:rsidRPr="00D178DD">
              <w:rPr>
                <w:rFonts w:cs="Calibri"/>
                <w:b w:val="0"/>
                <w:color w:val="000000"/>
                <w:szCs w:val="22"/>
                <w:lang w:eastAsia="en-US"/>
              </w:rPr>
              <w:t xml:space="preserve"> </w:t>
            </w:r>
            <w:r w:rsidRPr="00D178DD">
              <w:rPr>
                <w:rFonts w:cs="Calibri"/>
                <w:b w:val="0"/>
                <w:color w:val="000000"/>
                <w:szCs w:val="22"/>
                <w:lang w:val="en-US" w:eastAsia="en-US"/>
              </w:rPr>
              <w:t>գործառնություններ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192.3</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226.2</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216.3</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389.7</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547.7</w:t>
            </w:r>
          </w:p>
        </w:tc>
      </w:tr>
      <w:tr w:rsidR="00D178DD" w:rsidRPr="00D178DD" w:rsidTr="004B2286">
        <w:trPr>
          <w:trHeight w:val="675"/>
        </w:trPr>
        <w:tc>
          <w:tcPr>
            <w:tcW w:w="4000" w:type="dxa"/>
            <w:tcBorders>
              <w:top w:val="single" w:sz="8" w:space="0" w:color="5B9BD5"/>
              <w:left w:val="single" w:sz="12" w:space="0" w:color="5B9BD5"/>
              <w:bottom w:val="nil"/>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պակասուրդ(-) / պրոֆիցիտ (+)</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-64.0</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-334.0</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-320.5</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-204.2</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-288.9</w:t>
            </w:r>
          </w:p>
        </w:tc>
      </w:tr>
      <w:tr w:rsidR="00D178DD" w:rsidRPr="00D178DD" w:rsidTr="004B2286">
        <w:trPr>
          <w:trHeight w:val="345"/>
        </w:trPr>
        <w:tc>
          <w:tcPr>
            <w:tcW w:w="4000" w:type="dxa"/>
            <w:tcBorders>
              <w:top w:val="single" w:sz="8" w:space="0" w:color="5B9BD5"/>
              <w:left w:val="single" w:sz="12" w:space="0" w:color="5B9BD5"/>
              <w:bottom w:val="nil"/>
              <w:right w:val="nil"/>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Կառավարության պարտք</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3,277.3</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3,923.9</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4,209.8</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4,232.0</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4,625.0</w:t>
            </w:r>
          </w:p>
        </w:tc>
      </w:tr>
      <w:tr w:rsidR="00D178DD" w:rsidRPr="00D178DD" w:rsidTr="004B2286">
        <w:trPr>
          <w:trHeight w:val="315"/>
        </w:trPr>
        <w:tc>
          <w:tcPr>
            <w:tcW w:w="7860" w:type="dxa"/>
            <w:gridSpan w:val="4"/>
            <w:tcBorders>
              <w:top w:val="single" w:sz="8" w:space="0" w:color="5B9BD5"/>
              <w:left w:val="single" w:sz="12" w:space="0" w:color="5B9BD5"/>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center"/>
              <w:rPr>
                <w:rFonts w:cs="Calibri"/>
                <w:b w:val="0"/>
                <w:i/>
                <w:iCs/>
                <w:color w:val="000000"/>
                <w:sz w:val="20"/>
                <w:szCs w:val="20"/>
                <w:lang w:val="en-US" w:eastAsia="en-US"/>
              </w:rPr>
            </w:pPr>
            <w:r w:rsidRPr="00D178DD">
              <w:rPr>
                <w:rFonts w:cs="Calibri"/>
                <w:b w:val="0"/>
                <w:i/>
                <w:iCs/>
                <w:color w:val="000000"/>
                <w:sz w:val="20"/>
                <w:szCs w:val="20"/>
                <w:lang w:val="en-US" w:eastAsia="en-US"/>
              </w:rPr>
              <w:t>կշիռը ՀՆԱ-ում, %</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 w:val="20"/>
                <w:szCs w:val="20"/>
                <w:lang w:val="en-US" w:eastAsia="en-US"/>
              </w:rPr>
            </w:pPr>
            <w:r w:rsidRPr="00D178DD">
              <w:rPr>
                <w:rFonts w:ascii="Calibri" w:hAnsi="Calibri" w:cs="Calibri"/>
                <w:b w:val="0"/>
                <w:color w:val="000000"/>
                <w:sz w:val="20"/>
                <w:szCs w:val="20"/>
                <w:lang w:val="en-US" w:eastAsia="en-US"/>
              </w:rPr>
              <w:t> </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 w:val="20"/>
                <w:szCs w:val="20"/>
                <w:lang w:val="en-US" w:eastAsia="en-US"/>
              </w:rPr>
            </w:pPr>
            <w:r w:rsidRPr="00D178DD">
              <w:rPr>
                <w:rFonts w:ascii="Calibri" w:hAnsi="Calibri" w:cs="Calibri"/>
                <w:b w:val="0"/>
                <w:color w:val="000000"/>
                <w:sz w:val="20"/>
                <w:szCs w:val="20"/>
                <w:lang w:val="en-US" w:eastAsia="en-US"/>
              </w:rPr>
              <w:t> </w:t>
            </w:r>
          </w:p>
        </w:tc>
      </w:tr>
      <w:tr w:rsidR="00D178DD" w:rsidRPr="00D178DD" w:rsidTr="004B2286">
        <w:trPr>
          <w:trHeight w:val="345"/>
        </w:trPr>
        <w:tc>
          <w:tcPr>
            <w:tcW w:w="4000" w:type="dxa"/>
            <w:tcBorders>
              <w:top w:val="nil"/>
              <w:left w:val="single" w:sz="12" w:space="0" w:color="5B9BD5"/>
              <w:bottom w:val="single" w:sz="12" w:space="0" w:color="8EA9DB"/>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եկամուտներ</w:t>
            </w:r>
          </w:p>
        </w:tc>
        <w:tc>
          <w:tcPr>
            <w:tcW w:w="134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23.9</w:t>
            </w:r>
          </w:p>
        </w:tc>
        <w:tc>
          <w:tcPr>
            <w:tcW w:w="128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25.2</w:t>
            </w:r>
          </w:p>
        </w:tc>
        <w:tc>
          <w:tcPr>
            <w:tcW w:w="124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24.1</w:t>
            </w:r>
          </w:p>
        </w:tc>
        <w:tc>
          <w:tcPr>
            <w:tcW w:w="1180" w:type="dxa"/>
            <w:tcBorders>
              <w:top w:val="nil"/>
              <w:left w:val="nil"/>
              <w:bottom w:val="single" w:sz="12" w:space="0" w:color="8EA9DB"/>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24.6</w:t>
            </w:r>
          </w:p>
        </w:tc>
        <w:tc>
          <w:tcPr>
            <w:tcW w:w="1060" w:type="dxa"/>
            <w:tcBorders>
              <w:top w:val="nil"/>
              <w:left w:val="nil"/>
              <w:bottom w:val="single" w:sz="12" w:space="0" w:color="8EA9DB"/>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24.7</w:t>
            </w:r>
          </w:p>
        </w:tc>
      </w:tr>
      <w:tr w:rsidR="00D178DD" w:rsidRPr="00D178DD" w:rsidTr="004B2286">
        <w:trPr>
          <w:trHeight w:val="360"/>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val="en-US" w:eastAsia="en-US"/>
              </w:rPr>
            </w:pPr>
            <w:r w:rsidRPr="00D178DD">
              <w:rPr>
                <w:rFonts w:cs="Calibri"/>
                <w:b w:val="0"/>
                <w:color w:val="000000"/>
                <w:szCs w:val="22"/>
                <w:lang w:val="en-US" w:eastAsia="en-US"/>
              </w:rPr>
              <w:t>Հարկային եկամուտներ և տուրքեր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22.3</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22.4</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22.7</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23.2</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23.7</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24.9</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30.6</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28.7</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27.1</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27.8</w:t>
            </w:r>
          </w:p>
        </w:tc>
      </w:tr>
      <w:tr w:rsidR="00D178DD" w:rsidRPr="00D178DD" w:rsidTr="004B2286">
        <w:trPr>
          <w:trHeight w:val="345"/>
        </w:trPr>
        <w:tc>
          <w:tcPr>
            <w:tcW w:w="4000" w:type="dxa"/>
            <w:tcBorders>
              <w:top w:val="nil"/>
              <w:left w:val="single" w:sz="12" w:space="0" w:color="5B9BD5"/>
              <w:bottom w:val="single" w:sz="8"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val="en-US" w:eastAsia="en-US"/>
              </w:rPr>
            </w:pPr>
            <w:r w:rsidRPr="00D178DD">
              <w:rPr>
                <w:rFonts w:cs="Calibri"/>
                <w:b w:val="0"/>
                <w:color w:val="000000"/>
                <w:szCs w:val="22"/>
                <w:lang w:val="en-US" w:eastAsia="en-US"/>
              </w:rPr>
              <w:t>Ընթացիկ ծախսեր</w:t>
            </w:r>
          </w:p>
        </w:tc>
        <w:tc>
          <w:tcPr>
            <w:tcW w:w="13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22.0</w:t>
            </w:r>
          </w:p>
        </w:tc>
        <w:tc>
          <w:tcPr>
            <w:tcW w:w="128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27.0</w:t>
            </w:r>
          </w:p>
        </w:tc>
        <w:tc>
          <w:tcPr>
            <w:tcW w:w="1240" w:type="dxa"/>
            <w:tcBorders>
              <w:top w:val="nil"/>
              <w:left w:val="nil"/>
              <w:bottom w:val="single" w:sz="8"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25.6</w:t>
            </w:r>
          </w:p>
        </w:tc>
        <w:tc>
          <w:tcPr>
            <w:tcW w:w="118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22.4</w:t>
            </w:r>
          </w:p>
        </w:tc>
        <w:tc>
          <w:tcPr>
            <w:tcW w:w="1060" w:type="dxa"/>
            <w:tcBorders>
              <w:top w:val="nil"/>
              <w:left w:val="nil"/>
              <w:bottom w:val="single" w:sz="8"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21.9</w:t>
            </w:r>
          </w:p>
        </w:tc>
      </w:tr>
      <w:tr w:rsidR="00D178DD" w:rsidRPr="00D178DD" w:rsidTr="004B2286">
        <w:trPr>
          <w:trHeight w:val="675"/>
        </w:trPr>
        <w:tc>
          <w:tcPr>
            <w:tcW w:w="4000" w:type="dxa"/>
            <w:tcBorders>
              <w:top w:val="nil"/>
              <w:left w:val="single" w:sz="12" w:space="0" w:color="5B9BD5"/>
              <w:bottom w:val="single" w:sz="12" w:space="0" w:color="8EA9DB"/>
              <w:right w:val="single" w:sz="8" w:space="0" w:color="5B9BD5"/>
            </w:tcBorders>
            <w:shd w:val="clear" w:color="auto" w:fill="auto"/>
            <w:vAlign w:val="center"/>
            <w:hideMark/>
          </w:tcPr>
          <w:p w:rsidR="00D178DD" w:rsidRPr="00D178DD" w:rsidRDefault="00D178DD" w:rsidP="00D178DD">
            <w:pPr>
              <w:spacing w:before="0" w:line="240" w:lineRule="auto"/>
              <w:ind w:firstLineChars="100" w:firstLine="220"/>
              <w:contextualSpacing w:val="0"/>
              <w:jc w:val="left"/>
              <w:rPr>
                <w:rFonts w:cs="Calibri"/>
                <w:b w:val="0"/>
                <w:color w:val="000000"/>
                <w:szCs w:val="22"/>
                <w:lang w:eastAsia="en-US"/>
              </w:rPr>
            </w:pPr>
            <w:r w:rsidRPr="00D178DD">
              <w:rPr>
                <w:rFonts w:cs="Calibri"/>
                <w:b w:val="0"/>
                <w:color w:val="000000"/>
                <w:szCs w:val="22"/>
                <w:lang w:val="en-US" w:eastAsia="en-US"/>
              </w:rPr>
              <w:t>Ոչ</w:t>
            </w:r>
            <w:r w:rsidRPr="00D178DD">
              <w:rPr>
                <w:rFonts w:cs="Calibri"/>
                <w:b w:val="0"/>
                <w:color w:val="000000"/>
                <w:szCs w:val="22"/>
                <w:lang w:eastAsia="en-US"/>
              </w:rPr>
              <w:t xml:space="preserve"> </w:t>
            </w:r>
            <w:r w:rsidRPr="00D178DD">
              <w:rPr>
                <w:rFonts w:cs="Calibri"/>
                <w:b w:val="0"/>
                <w:color w:val="000000"/>
                <w:szCs w:val="22"/>
                <w:lang w:val="en-US" w:eastAsia="en-US"/>
              </w:rPr>
              <w:t>ֆինանսական</w:t>
            </w:r>
            <w:r w:rsidRPr="00D178DD">
              <w:rPr>
                <w:rFonts w:cs="Calibri"/>
                <w:b w:val="0"/>
                <w:color w:val="000000"/>
                <w:szCs w:val="22"/>
                <w:lang w:eastAsia="en-US"/>
              </w:rPr>
              <w:t xml:space="preserve"> </w:t>
            </w:r>
            <w:r w:rsidRPr="00D178DD">
              <w:rPr>
                <w:rFonts w:cs="Calibri"/>
                <w:b w:val="0"/>
                <w:color w:val="000000"/>
                <w:szCs w:val="22"/>
                <w:lang w:val="en-US" w:eastAsia="en-US"/>
              </w:rPr>
              <w:t>ակտիվների</w:t>
            </w:r>
            <w:r w:rsidRPr="00D178DD">
              <w:rPr>
                <w:rFonts w:cs="Calibri"/>
                <w:b w:val="0"/>
                <w:color w:val="000000"/>
                <w:szCs w:val="22"/>
                <w:lang w:eastAsia="en-US"/>
              </w:rPr>
              <w:t xml:space="preserve"> </w:t>
            </w:r>
            <w:r w:rsidRPr="00D178DD">
              <w:rPr>
                <w:rFonts w:cs="Calibri"/>
                <w:b w:val="0"/>
                <w:color w:val="000000"/>
                <w:szCs w:val="22"/>
                <w:lang w:val="en-US" w:eastAsia="en-US"/>
              </w:rPr>
              <w:t>հետ</w:t>
            </w:r>
            <w:r w:rsidRPr="00D178DD">
              <w:rPr>
                <w:rFonts w:cs="Calibri"/>
                <w:b w:val="0"/>
                <w:color w:val="000000"/>
                <w:szCs w:val="22"/>
                <w:lang w:eastAsia="en-US"/>
              </w:rPr>
              <w:t xml:space="preserve"> </w:t>
            </w:r>
            <w:r w:rsidRPr="00D178DD">
              <w:rPr>
                <w:rFonts w:cs="Calibri"/>
                <w:b w:val="0"/>
                <w:color w:val="000000"/>
                <w:szCs w:val="22"/>
                <w:lang w:val="en-US" w:eastAsia="en-US"/>
              </w:rPr>
              <w:t>գործառնություններ</w:t>
            </w:r>
          </w:p>
        </w:tc>
        <w:tc>
          <w:tcPr>
            <w:tcW w:w="134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2.9</w:t>
            </w:r>
          </w:p>
        </w:tc>
        <w:tc>
          <w:tcPr>
            <w:tcW w:w="128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3.7</w:t>
            </w:r>
          </w:p>
        </w:tc>
        <w:tc>
          <w:tcPr>
            <w:tcW w:w="1240" w:type="dxa"/>
            <w:tcBorders>
              <w:top w:val="nil"/>
              <w:left w:val="nil"/>
              <w:bottom w:val="single" w:sz="12" w:space="0" w:color="8EA9DB"/>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3.1</w:t>
            </w:r>
          </w:p>
        </w:tc>
        <w:tc>
          <w:tcPr>
            <w:tcW w:w="1180" w:type="dxa"/>
            <w:tcBorders>
              <w:top w:val="nil"/>
              <w:left w:val="nil"/>
              <w:bottom w:val="single" w:sz="12" w:space="0" w:color="8EA9DB"/>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4.7</w:t>
            </w:r>
          </w:p>
        </w:tc>
        <w:tc>
          <w:tcPr>
            <w:tcW w:w="1060" w:type="dxa"/>
            <w:tcBorders>
              <w:top w:val="nil"/>
              <w:left w:val="nil"/>
              <w:bottom w:val="single" w:sz="12" w:space="0" w:color="8EA9DB"/>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 w:val="0"/>
                <w:color w:val="000000"/>
                <w:sz w:val="20"/>
                <w:szCs w:val="20"/>
                <w:lang w:val="en-US" w:eastAsia="en-US"/>
              </w:rPr>
            </w:pPr>
            <w:r w:rsidRPr="00D178DD">
              <w:rPr>
                <w:rFonts w:cs="Calibri"/>
                <w:b w:val="0"/>
                <w:color w:val="000000"/>
                <w:sz w:val="20"/>
                <w:szCs w:val="20"/>
                <w:lang w:val="en-US" w:eastAsia="en-US"/>
              </w:rPr>
              <w:t>5.9</w:t>
            </w:r>
          </w:p>
        </w:tc>
      </w:tr>
      <w:tr w:rsidR="00D178DD" w:rsidRPr="00D178DD" w:rsidTr="004B2286">
        <w:trPr>
          <w:trHeight w:val="690"/>
        </w:trPr>
        <w:tc>
          <w:tcPr>
            <w:tcW w:w="4000" w:type="dxa"/>
            <w:tcBorders>
              <w:top w:val="nil"/>
              <w:left w:val="single" w:sz="12" w:space="0" w:color="5B9BD5"/>
              <w:bottom w:val="single" w:sz="12"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Պետական բյուջեի պակասուրդ(-) / պրոֆիցիտ (+)</w:t>
            </w:r>
          </w:p>
        </w:tc>
        <w:tc>
          <w:tcPr>
            <w:tcW w:w="134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-1.0</w:t>
            </w:r>
          </w:p>
        </w:tc>
        <w:tc>
          <w:tcPr>
            <w:tcW w:w="128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-5.4</w:t>
            </w:r>
          </w:p>
        </w:tc>
        <w:tc>
          <w:tcPr>
            <w:tcW w:w="124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-4.6</w:t>
            </w:r>
          </w:p>
        </w:tc>
        <w:tc>
          <w:tcPr>
            <w:tcW w:w="1180" w:type="dxa"/>
            <w:tcBorders>
              <w:top w:val="nil"/>
              <w:left w:val="nil"/>
              <w:bottom w:val="single" w:sz="12"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-2.5</w:t>
            </w:r>
          </w:p>
        </w:tc>
        <w:tc>
          <w:tcPr>
            <w:tcW w:w="1060" w:type="dxa"/>
            <w:tcBorders>
              <w:top w:val="nil"/>
              <w:left w:val="nil"/>
              <w:bottom w:val="single" w:sz="12" w:space="0" w:color="5B9BD5"/>
              <w:right w:val="single" w:sz="8" w:space="0" w:color="5B9BD5"/>
            </w:tcBorders>
            <w:shd w:val="clear" w:color="000000" w:fill="DEEAF6"/>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-3.1</w:t>
            </w:r>
          </w:p>
        </w:tc>
      </w:tr>
      <w:tr w:rsidR="00D178DD" w:rsidRPr="00D178DD" w:rsidTr="004B2286">
        <w:trPr>
          <w:trHeight w:val="360"/>
        </w:trPr>
        <w:tc>
          <w:tcPr>
            <w:tcW w:w="4000" w:type="dxa"/>
            <w:tcBorders>
              <w:top w:val="nil"/>
              <w:left w:val="single" w:sz="12" w:space="0" w:color="5B9BD5"/>
              <w:bottom w:val="single" w:sz="12" w:space="0" w:color="5B9BD5"/>
              <w:right w:val="single" w:sz="8" w:space="0" w:color="5B9BD5"/>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Cs/>
                <w:color w:val="000000"/>
                <w:szCs w:val="22"/>
                <w:lang w:val="en-US" w:eastAsia="en-US"/>
              </w:rPr>
            </w:pPr>
            <w:r w:rsidRPr="00D178DD">
              <w:rPr>
                <w:rFonts w:cs="Calibri"/>
                <w:bCs/>
                <w:color w:val="000000"/>
                <w:szCs w:val="22"/>
                <w:lang w:val="en-US" w:eastAsia="en-US"/>
              </w:rPr>
              <w:t>Կառավարության պարտք</w:t>
            </w:r>
          </w:p>
        </w:tc>
        <w:tc>
          <w:tcPr>
            <w:tcW w:w="134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50.1</w:t>
            </w:r>
          </w:p>
        </w:tc>
        <w:tc>
          <w:tcPr>
            <w:tcW w:w="128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63.5</w:t>
            </w:r>
          </w:p>
        </w:tc>
        <w:tc>
          <w:tcPr>
            <w:tcW w:w="1240" w:type="dxa"/>
            <w:tcBorders>
              <w:top w:val="nil"/>
              <w:left w:val="nil"/>
              <w:bottom w:val="single" w:sz="12" w:space="0" w:color="5B9BD5"/>
              <w:right w:val="single" w:sz="8" w:space="0" w:color="5B9BD5"/>
            </w:tcBorders>
            <w:shd w:val="clear" w:color="auto" w:fill="auto"/>
            <w:noWrap/>
            <w:vAlign w:val="center"/>
            <w:hideMark/>
          </w:tcPr>
          <w:p w:rsidR="00D178DD" w:rsidRPr="00D178DD" w:rsidRDefault="00D178DD" w:rsidP="00D178DD">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60.3</w:t>
            </w:r>
          </w:p>
        </w:tc>
        <w:tc>
          <w:tcPr>
            <w:tcW w:w="1180" w:type="dxa"/>
            <w:tcBorders>
              <w:top w:val="nil"/>
              <w:left w:val="nil"/>
              <w:bottom w:val="single" w:sz="12" w:space="0" w:color="5B9BD5"/>
              <w:right w:val="single" w:sz="8" w:space="0" w:color="5B9BD5"/>
            </w:tcBorders>
            <w:shd w:val="clear" w:color="000000" w:fill="DEEAF6"/>
            <w:noWrap/>
            <w:vAlign w:val="center"/>
            <w:hideMark/>
          </w:tcPr>
          <w:p w:rsidR="00D178DD" w:rsidRPr="00D178DD" w:rsidRDefault="00D178DD" w:rsidP="00C43BF7">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5</w:t>
            </w:r>
            <w:r w:rsidR="00C43BF7">
              <w:rPr>
                <w:rFonts w:cs="Calibri"/>
                <w:bCs/>
                <w:color w:val="000000"/>
                <w:sz w:val="20"/>
                <w:szCs w:val="20"/>
                <w:lang w:val="en-US" w:eastAsia="en-US"/>
              </w:rPr>
              <w:t>0</w:t>
            </w:r>
            <w:r w:rsidRPr="00D178DD">
              <w:rPr>
                <w:rFonts w:cs="Calibri"/>
                <w:bCs/>
                <w:color w:val="000000"/>
                <w:sz w:val="20"/>
                <w:szCs w:val="20"/>
                <w:lang w:val="en-US" w:eastAsia="en-US"/>
              </w:rPr>
              <w:t>.</w:t>
            </w:r>
            <w:r w:rsidR="00C43BF7">
              <w:rPr>
                <w:rFonts w:cs="Calibri"/>
                <w:bCs/>
                <w:color w:val="000000"/>
                <w:sz w:val="20"/>
                <w:szCs w:val="20"/>
                <w:lang w:val="en-US" w:eastAsia="en-US"/>
              </w:rPr>
              <w:t>1</w:t>
            </w:r>
          </w:p>
        </w:tc>
        <w:tc>
          <w:tcPr>
            <w:tcW w:w="1060" w:type="dxa"/>
            <w:tcBorders>
              <w:top w:val="nil"/>
              <w:left w:val="nil"/>
              <w:bottom w:val="single" w:sz="12" w:space="0" w:color="5B9BD5"/>
              <w:right w:val="single" w:sz="8" w:space="0" w:color="5B9BD5"/>
            </w:tcBorders>
            <w:shd w:val="clear" w:color="000000" w:fill="DEEAF6"/>
            <w:noWrap/>
            <w:vAlign w:val="center"/>
            <w:hideMark/>
          </w:tcPr>
          <w:p w:rsidR="00D178DD" w:rsidRPr="00D178DD" w:rsidRDefault="00D178DD" w:rsidP="00C43BF7">
            <w:pPr>
              <w:spacing w:before="0" w:line="240" w:lineRule="auto"/>
              <w:ind w:firstLine="0"/>
              <w:contextualSpacing w:val="0"/>
              <w:jc w:val="right"/>
              <w:rPr>
                <w:rFonts w:cs="Calibri"/>
                <w:bCs/>
                <w:color w:val="000000"/>
                <w:sz w:val="20"/>
                <w:szCs w:val="20"/>
                <w:lang w:val="en-US" w:eastAsia="en-US"/>
              </w:rPr>
            </w:pPr>
            <w:r w:rsidRPr="00D178DD">
              <w:rPr>
                <w:rFonts w:cs="Calibri"/>
                <w:bCs/>
                <w:color w:val="000000"/>
                <w:sz w:val="20"/>
                <w:szCs w:val="20"/>
                <w:lang w:val="en-US" w:eastAsia="en-US"/>
              </w:rPr>
              <w:t>49.</w:t>
            </w:r>
            <w:r w:rsidR="00C43BF7">
              <w:rPr>
                <w:rFonts w:cs="Calibri"/>
                <w:bCs/>
                <w:color w:val="000000"/>
                <w:sz w:val="20"/>
                <w:szCs w:val="20"/>
                <w:lang w:val="en-US" w:eastAsia="en-US"/>
              </w:rPr>
              <w:t>8</w:t>
            </w:r>
          </w:p>
        </w:tc>
      </w:tr>
    </w:tbl>
    <w:p w:rsidR="00D178DD" w:rsidRPr="00D178DD" w:rsidRDefault="00D178DD" w:rsidP="00D178DD">
      <w:pPr>
        <w:spacing w:before="0" w:line="276" w:lineRule="auto"/>
        <w:ind w:left="567" w:hanging="567"/>
        <w:contextualSpacing w:val="0"/>
        <w:rPr>
          <w:rFonts w:cs="Calibri"/>
          <w:b w:val="0"/>
          <w:i/>
          <w:iCs/>
          <w:color w:val="000000"/>
          <w:sz w:val="18"/>
          <w:szCs w:val="18"/>
          <w:lang w:val="hy-AM"/>
        </w:rPr>
      </w:pPr>
      <w:r w:rsidRPr="00D178DD">
        <w:rPr>
          <w:rFonts w:cs="Calibri"/>
          <w:b w:val="0"/>
          <w:i/>
          <w:iCs/>
          <w:color w:val="000000"/>
          <w:sz w:val="18"/>
          <w:szCs w:val="18"/>
          <w:lang w:val="hy-AM"/>
        </w:rPr>
        <w:t>Աղբյուրը՝ ՀՀ ՖՆ կանխատեսումներ</w:t>
      </w:r>
      <w:bookmarkStart w:id="96" w:name="_Toc45838524"/>
      <w:bookmarkStart w:id="97" w:name="_Toc46154353"/>
    </w:p>
    <w:p w:rsidR="00D178DD" w:rsidRPr="00D178DD" w:rsidRDefault="00D178DD" w:rsidP="00D178DD">
      <w:pPr>
        <w:spacing w:before="0" w:line="276" w:lineRule="auto"/>
        <w:ind w:firstLine="0"/>
        <w:contextualSpacing w:val="0"/>
        <w:rPr>
          <w:rFonts w:eastAsia="Calibri" w:cs="Arial"/>
          <w:b w:val="0"/>
          <w:bCs/>
          <w:sz w:val="20"/>
          <w:szCs w:val="20"/>
          <w:lang w:val="hy-AM" w:eastAsia="en-US"/>
        </w:rPr>
      </w:pPr>
    </w:p>
    <w:p w:rsidR="00D178DD" w:rsidRPr="00D178DD" w:rsidRDefault="00D178DD" w:rsidP="00D178DD">
      <w:pPr>
        <w:spacing w:before="0" w:line="240" w:lineRule="auto"/>
        <w:ind w:firstLine="0"/>
        <w:contextualSpacing w:val="0"/>
        <w:jc w:val="left"/>
        <w:rPr>
          <w:rFonts w:eastAsia="Calibri" w:cs="Arial"/>
          <w:b w:val="0"/>
          <w:bCs/>
          <w:sz w:val="20"/>
          <w:szCs w:val="20"/>
          <w:lang w:val="hy-AM" w:eastAsia="en-US"/>
        </w:rPr>
      </w:pPr>
      <w:r w:rsidRPr="00D178DD">
        <w:rPr>
          <w:rFonts w:eastAsia="Calibri" w:cs="Arial"/>
          <w:b w:val="0"/>
          <w:bCs/>
          <w:sz w:val="20"/>
          <w:szCs w:val="20"/>
          <w:lang w:val="hy-AM" w:eastAsia="en-US"/>
        </w:rPr>
        <w:br w:type="page"/>
      </w:r>
    </w:p>
    <w:p w:rsidR="00D178DD" w:rsidRPr="00D178DD" w:rsidRDefault="00D178DD" w:rsidP="00D178DD">
      <w:pPr>
        <w:keepNext/>
        <w:keepLines/>
        <w:spacing w:before="0" w:line="312" w:lineRule="auto"/>
        <w:ind w:firstLine="0"/>
        <w:outlineLvl w:val="2"/>
        <w:rPr>
          <w:sz w:val="24"/>
          <w:lang w:val="hy-AM" w:eastAsia="en-US"/>
        </w:rPr>
      </w:pPr>
      <w:bookmarkStart w:id="98" w:name="_Toc57655454"/>
      <w:bookmarkStart w:id="99" w:name="_Toc83199222"/>
      <w:bookmarkStart w:id="100" w:name="_Toc83972838"/>
      <w:bookmarkStart w:id="101" w:name="_Toc115686026"/>
      <w:bookmarkStart w:id="102" w:name="_Toc120805200"/>
      <w:bookmarkStart w:id="103" w:name="_Toc165901412"/>
      <w:r w:rsidRPr="00D178DD">
        <w:rPr>
          <w:sz w:val="24"/>
          <w:lang w:val="hy-AM" w:eastAsia="en-US"/>
        </w:rPr>
        <w:lastRenderedPageBreak/>
        <w:t>2</w:t>
      </w:r>
      <w:r w:rsidRPr="00D178DD">
        <w:rPr>
          <w:rFonts w:cs="Cambria Math"/>
          <w:sz w:val="24"/>
          <w:lang w:val="hy-AM" w:eastAsia="en-US"/>
        </w:rPr>
        <w:t>.</w:t>
      </w:r>
      <w:r w:rsidRPr="00D178DD">
        <w:rPr>
          <w:sz w:val="24"/>
          <w:lang w:val="hy-AM" w:eastAsia="en-US"/>
        </w:rPr>
        <w:t>2</w:t>
      </w:r>
      <w:r w:rsidRPr="00D178DD">
        <w:rPr>
          <w:rFonts w:cs="Cambria Math"/>
          <w:sz w:val="24"/>
          <w:lang w:val="hy-AM" w:eastAsia="en-US"/>
        </w:rPr>
        <w:t>.</w:t>
      </w:r>
      <w:r w:rsidRPr="00D178DD">
        <w:rPr>
          <w:sz w:val="24"/>
          <w:lang w:val="hy-AM" w:eastAsia="en-US"/>
        </w:rPr>
        <w:t xml:space="preserve"> ՀԱՐԿԱԲՅՈՒՋԵՏԱՅԻՆ ՔԱՂԱՔԱԿԱՆՈՒԹՅԱՆ ՄԻՏՈՒՄՆԵՐԸ ԵՎ ԿԱՆԽԱՏԵՍՈՒՄՆԵՐԸ</w:t>
      </w:r>
      <w:bookmarkEnd w:id="96"/>
      <w:bookmarkEnd w:id="97"/>
      <w:bookmarkEnd w:id="98"/>
      <w:bookmarkEnd w:id="99"/>
      <w:bookmarkEnd w:id="100"/>
      <w:bookmarkEnd w:id="101"/>
      <w:bookmarkEnd w:id="102"/>
      <w:bookmarkEnd w:id="103"/>
    </w:p>
    <w:p w:rsidR="00D178DD" w:rsidRPr="00D178DD" w:rsidRDefault="00D178DD" w:rsidP="00D178DD">
      <w:pPr>
        <w:spacing w:before="0" w:after="120" w:line="276" w:lineRule="auto"/>
        <w:ind w:firstLine="0"/>
        <w:contextualSpacing w:val="0"/>
        <w:rPr>
          <w:rFonts w:eastAsia="Calibri" w:cs="Arial"/>
          <w:bCs/>
          <w:szCs w:val="22"/>
          <w:u w:val="single"/>
          <w:lang w:val="hy-AM" w:eastAsia="en-US"/>
        </w:rPr>
      </w:pPr>
      <w:r w:rsidRPr="00D178DD">
        <w:rPr>
          <w:rFonts w:eastAsia="Calibri" w:cs="Arial"/>
          <w:bCs/>
          <w:szCs w:val="22"/>
          <w:u w:val="single"/>
          <w:lang w:val="hy-AM" w:eastAsia="en-US"/>
        </w:rPr>
        <w:t>2021 թվականի զարգացումները</w:t>
      </w:r>
    </w:p>
    <w:p w:rsidR="00D178DD" w:rsidRPr="00D178DD" w:rsidRDefault="00D178DD" w:rsidP="00D178DD">
      <w:pPr>
        <w:spacing w:line="276" w:lineRule="auto"/>
        <w:rPr>
          <w:rFonts w:eastAsia="GHEA Grapalat" w:cs="GHEA Grapalat"/>
          <w:szCs w:val="22"/>
          <w:lang w:val="hy-AM"/>
        </w:rPr>
      </w:pPr>
      <w:r w:rsidRPr="00D178DD">
        <w:rPr>
          <w:rFonts w:eastAsia="GHEA Grapalat" w:cs="GHEA Grapalat"/>
          <w:szCs w:val="22"/>
          <w:lang w:val="hy-AM"/>
        </w:rPr>
        <w:t xml:space="preserve">2021 թվականին հարկաբյուջետային քաղաքականության նպատակներն են եղել հարկաբյուջետային կայունության ապահովումը, նպաստումը տնտեսական վերականգնմանը և CՕVID-19 համավարակի ու </w:t>
      </w:r>
      <w:r w:rsidR="00FB546F" w:rsidRPr="00FB546F">
        <w:rPr>
          <w:rFonts w:eastAsia="GHEA Grapalat" w:cs="GHEA Grapalat"/>
          <w:szCs w:val="22"/>
          <w:lang w:val="hy-AM"/>
        </w:rPr>
        <w:t>Ղարաբաղ</w:t>
      </w:r>
      <w:r w:rsidRPr="00D178DD">
        <w:rPr>
          <w:rFonts w:eastAsia="GHEA Grapalat" w:cs="GHEA Grapalat"/>
          <w:szCs w:val="22"/>
          <w:lang w:val="hy-AM"/>
        </w:rPr>
        <w:t>յան պատերազմի հետևանքների էական մեղմումը։ Մասնավորապես, հարկաբյուջետային դիրքը եղել է խթանող, սակայն այն 2020 թվականի համեմատությամբ նվազել է, ինչի արդյունքում, պլանավորված ուղղությանը համահունչ, հարկաբյուջետային քաղաքականության ազդեցությունը ամբողջական պահանջարկի վրա (դիրքի փոփոխություն կամ ազդակ) եղել է զսպող:</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i/>
          <w:szCs w:val="22"/>
          <w:lang w:val="hy-AM"/>
        </w:rPr>
        <w:t>Պետական բյուջեի եկամուտները</w:t>
      </w:r>
      <w:r w:rsidRPr="00D178DD">
        <w:rPr>
          <w:rFonts w:eastAsia="GHEA Grapalat" w:cs="GHEA Grapalat"/>
          <w:b w:val="0"/>
          <w:i/>
          <w:szCs w:val="22"/>
          <w:lang w:val="hy-AM"/>
        </w:rPr>
        <w:t>:</w:t>
      </w:r>
      <w:r w:rsidRPr="00D178DD">
        <w:rPr>
          <w:rFonts w:eastAsia="GHEA Grapalat" w:cs="GHEA Grapalat"/>
          <w:b w:val="0"/>
          <w:szCs w:val="22"/>
          <w:lang w:val="hy-AM"/>
        </w:rPr>
        <w:t xml:space="preserve"> 2021 թվականին ՀՀ պետական բյուջեի եկամուտներն աճել են՝ պայմանավորված տնտեսության վերականգնման և հարկային օրենսդրության փոփոխությունների արդյունքում հարկային եկամուտների աճով: 2021 թվականին ՀՀ պետական բյուջեի ընդհանուր եկամուտները կազմել են 1,683.8 մլրդ դրամ՝ նախորդ տարվա համեմատ աճելով 7.9%-ով և ՀՆԱ-ի նկատմամբ կազմելով 24.1%</w:t>
      </w:r>
      <w:r w:rsidRPr="00D178DD">
        <w:rPr>
          <w:rFonts w:eastAsia="GHEA Grapalat" w:cs="GHEA Grapalat"/>
          <w:b w:val="0"/>
          <w:szCs w:val="22"/>
          <w:lang w:val="hy-AM"/>
        </w:rPr>
        <w:noBreakHyphen/>
        <w:t xml:space="preserve">ը՝ նախորդ տարվա 25.2%-ի դիմաց (նվազման պատճառը այլ եկամուտների և պաշտոնական դրամաշնորհների նվազումն է): Հարկեր և տուրքերը նույն ժամանակահատվածում կազմել են 1,586.9 մլրդ դրամ՝ նախորդ տարվա համեմատ աճելով 14.6%-ով՝ պայմանավորված հիմնականում հարկման բազաների (հիմնականում սպառման և ներմուծման) վերականգնմամբ, ինչպես նաև դրոշմանիշային վճարի և արտահանման տուրքի ներդրմամբ: Այս պայմաններում հարկեր և տուրքերը կազմել են ՀՆԱ-ի 22.7%, նախորդ տարվա նկատմամբ բարելավվելով 0.3 տոկոսային կետով: </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i/>
          <w:szCs w:val="22"/>
          <w:lang w:val="hy-AM"/>
        </w:rPr>
        <w:t>Պետական բյուջեի ծախսերը:</w:t>
      </w:r>
      <w:r w:rsidRPr="00D178DD">
        <w:rPr>
          <w:rFonts w:eastAsia="GHEA Grapalat" w:cs="GHEA Grapalat"/>
          <w:b w:val="0"/>
          <w:szCs w:val="22"/>
          <w:lang w:val="hy-AM"/>
        </w:rPr>
        <w:t xml:space="preserve"> 2021 թվականին արձանագրվել է պետական բյուջեի ծախսերի աճ՝ հիմնականում պայմանավորված ընթացիկ ծախսերի աճով: 2021 թվականի արդյունքներով պետական բյուջեի ծախսերը կազմել են 2,004.3 մլրդ դրամ՝ նախորդ տարվա համեմատ աճելով 5.8%-ով: Ընդ որում, ընթացիկ ծախսերը կազմել են 1,788.0 մլրդ դրամ` նախորդ տարվա համեմատ աճելով 7.2%-ով, որն իր մեջ ներառում է </w:t>
      </w:r>
      <w:r w:rsidR="00FB546F" w:rsidRPr="00FB546F">
        <w:rPr>
          <w:rFonts w:eastAsia="GHEA Grapalat" w:cs="GHEA Grapalat"/>
          <w:b w:val="0"/>
          <w:szCs w:val="22"/>
          <w:lang w:val="hy-AM"/>
        </w:rPr>
        <w:t>Ղարաբաղ</w:t>
      </w:r>
      <w:r w:rsidRPr="00D178DD">
        <w:rPr>
          <w:rFonts w:eastAsia="GHEA Grapalat" w:cs="GHEA Grapalat"/>
          <w:b w:val="0"/>
          <w:szCs w:val="22"/>
          <w:lang w:val="hy-AM"/>
        </w:rPr>
        <w:t>յան պատերազմի հետևանքների մեղմմանն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w:t>
      </w:r>
      <w:r w:rsidRPr="00D178DD">
        <w:rPr>
          <w:rFonts w:ascii="Arial Armenian" w:eastAsia="GHEA Grapalat" w:hAnsi="Arial Armenian" w:cs="GHEA Grapalat"/>
          <w:b w:val="0"/>
          <w:sz w:val="20"/>
          <w:szCs w:val="20"/>
          <w:vertAlign w:val="superscript"/>
          <w:lang w:val="hy-AM"/>
        </w:rPr>
        <w:footnoteReference w:id="12"/>
      </w:r>
      <w:r w:rsidRPr="00D178DD">
        <w:rPr>
          <w:rFonts w:eastAsia="GHEA Grapalat" w:cs="GHEA Grapalat"/>
          <w:b w:val="0"/>
          <w:szCs w:val="22"/>
          <w:lang w:val="hy-AM"/>
        </w:rPr>
        <w:t xml:space="preserve">: Պետական բյուջեի ծախսերի կշիռը ՀՆԱ-ում 2020 թվականի նկատմամբ նվազել է 1.9 տոկոսային կետով՝ կազմելով 28.7%, որում ընթացիկ ծախսերի կշիռը նվազել է 1.4 տոկոսային կետով՝ կազմելով 25.6%: </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b w:val="0"/>
          <w:szCs w:val="22"/>
          <w:lang w:val="hy-AM"/>
        </w:rPr>
        <w:t xml:space="preserve">Ոչ ֆինանսական ակտիվների հետ գործառնությունները կազմել են 216.3 մլրդ դրամ, որում ոչ ֆինանսական ակտիվների գծով ծախսերը (կապիտալ ծախսեր) կազմել են 218.4 մլրդ դրամ` նախորդ տարվա նկատմամբ նվազելով 4.1%-ով, որի հիմնական պատճառը 2020 թվականին </w:t>
      </w:r>
      <w:r w:rsidR="00FB546F" w:rsidRPr="00FB546F">
        <w:rPr>
          <w:rFonts w:eastAsia="GHEA Grapalat" w:cs="GHEA Grapalat"/>
          <w:b w:val="0"/>
          <w:szCs w:val="22"/>
          <w:lang w:val="hy-AM"/>
        </w:rPr>
        <w:t>Ղարաբաղ</w:t>
      </w:r>
      <w:r w:rsidRPr="00D178DD">
        <w:rPr>
          <w:rFonts w:eastAsia="GHEA Grapalat" w:cs="GHEA Grapalat"/>
          <w:b w:val="0"/>
          <w:szCs w:val="22"/>
          <w:lang w:val="hy-AM"/>
        </w:rPr>
        <w:t xml:space="preserve">յան պատերազմով պայմանավորված ռազմական լրացուցիչ ծախսերի իրականացումն է, առանց որոնց կապիտալ ծախսերի աճը կկազեր շուրջ 26.0%: Ոչ ֆինանսական ակտիվների </w:t>
      </w:r>
      <w:r w:rsidRPr="00D178DD">
        <w:rPr>
          <w:rFonts w:eastAsia="GHEA Grapalat" w:cs="GHEA Grapalat"/>
          <w:b w:val="0"/>
          <w:szCs w:val="22"/>
          <w:lang w:val="hy-AM"/>
        </w:rPr>
        <w:lastRenderedPageBreak/>
        <w:t xml:space="preserve">հետ գործառնությունների կշիռը ՀՆԱ-ում նվազել է 0.6 տոկոսային կետով՝ կազմելով 3.1%: Միևնույն ժամանակ, կապիտալ ծախսերի թերակատարման խնդիրը որոշակի մեղմվել է, և կատարողականը ճշտված ծրագրի նկատմամբ կազմել է 92.5%՝ նախորդ տարվա 84.9%-ի համեմատ բարելավվելով 7.6 տոկոսային կետով: </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i/>
          <w:szCs w:val="22"/>
          <w:lang w:val="hy-AM"/>
        </w:rPr>
        <w:t>Պետական բյուջեի պակասուրդը և կառավարության պարտքը:</w:t>
      </w:r>
      <w:r w:rsidRPr="00D178DD">
        <w:rPr>
          <w:rFonts w:eastAsia="GHEA Grapalat" w:cs="GHEA Grapalat"/>
          <w:b w:val="0"/>
          <w:szCs w:val="22"/>
          <w:lang w:val="hy-AM"/>
        </w:rPr>
        <w:t xml:space="preserve"> 2021 թվականի տնտեսական վերականգնումը և հարկաբյուջետային քաղաքականության ջանքերը թույլ են տվել ապահովելու ՀՆԱ համեմատությամբ պետական բյուջեի պակասուրդի և կառավարության պարտքի որոշակի նվազում։ 2021 թվականի ընթացքում ձևավորվել է պետական բյուջեի 320.5 մլրդ դրամ դեֆիցիտ՝ նախորդ տարվա 334.0 մլրդ դրամի համեմատ: ՀՆԱ-ի նկատմամբ, պետական բյուջեի պակասուրդը կազմել է 4.6%՝ նախորդ տարվա համեմատ նվազելով 0.8 տոկոսային կետով: </w:t>
      </w:r>
    </w:p>
    <w:p w:rsidR="00D178DD" w:rsidRPr="00D178DD" w:rsidRDefault="00D178DD" w:rsidP="00D178DD">
      <w:pPr>
        <w:spacing w:line="276" w:lineRule="auto"/>
        <w:contextualSpacing w:val="0"/>
        <w:rPr>
          <w:rFonts w:eastAsia="GHEA Grapalat" w:cs="GHEA Grapalat"/>
          <w:b w:val="0"/>
          <w:szCs w:val="22"/>
          <w:lang w:val="hy-AM"/>
        </w:rPr>
      </w:pPr>
      <w:r w:rsidRPr="00D178DD">
        <w:rPr>
          <w:rFonts w:eastAsia="GHEA Grapalat" w:cs="GHEA Grapalat"/>
          <w:b w:val="0"/>
          <w:szCs w:val="22"/>
          <w:lang w:val="hy-AM"/>
        </w:rPr>
        <w:t>ՀՀ կառավարության պարտք/ՀՆԱ ցուցանիշը կազմել է 60.3%՝ նախորդ տարվա նկատմամբ նվազելով 3.2 տոկոսային կետով` հիմնականում պայմանավորված ԱՄՆ դոլարի նկատմամբ ՀՀ դրամի արժևորմամբ, տնտեսական աճով և իրական տոկոսադրույքի նվազմամբ (անվանական տոկոսադրույքի նվազման և գնաճի արագացման պատճառով):</w:t>
      </w:r>
    </w:p>
    <w:p w:rsidR="00D178DD" w:rsidRPr="00D178DD" w:rsidRDefault="00D178DD" w:rsidP="00D178DD">
      <w:pPr>
        <w:spacing w:line="276" w:lineRule="auto"/>
        <w:ind w:firstLine="540"/>
        <w:contextualSpacing w:val="0"/>
        <w:rPr>
          <w:rFonts w:eastAsia="GHEA Grapalat" w:cs="GHEA Grapalat"/>
          <w:b w:val="0"/>
          <w:szCs w:val="22"/>
          <w:lang w:val="hy-AM"/>
        </w:rPr>
      </w:pPr>
      <w:r w:rsidRPr="00D178DD">
        <w:rPr>
          <w:rFonts w:eastAsia="GHEA Grapalat" w:cs="GHEA Grapalat"/>
          <w:i/>
          <w:szCs w:val="22"/>
          <w:lang w:val="hy-AM"/>
        </w:rPr>
        <w:t>Հարկաբյուջետային դիրքը և ազդակը:</w:t>
      </w:r>
      <w:r w:rsidRPr="00D178DD">
        <w:rPr>
          <w:rFonts w:eastAsia="GHEA Grapalat" w:cs="GHEA Grapalat"/>
          <w:szCs w:val="22"/>
          <w:lang w:val="hy-AM"/>
        </w:rPr>
        <w:t xml:space="preserve"> </w:t>
      </w:r>
      <w:r w:rsidRPr="00D178DD">
        <w:rPr>
          <w:rFonts w:eastAsia="GHEA Grapalat" w:cs="GHEA Grapalat"/>
          <w:b w:val="0"/>
          <w:szCs w:val="22"/>
          <w:lang w:val="hy-AM"/>
        </w:rPr>
        <w:t>Համախառն պահանջարկի վրա հարկաբյուջետային քաղաքականությունը 2021 թվականին նախորդ տարվա նկատմամբ ունեցել է 1.6 զսպող ազդեցություն` պայմանավորված և՛ եկամուտների (0.5), և՛ ծախսերի զսպող (1.2) ազդեցություններով:</w:t>
      </w:r>
    </w:p>
    <w:p w:rsidR="00D178DD" w:rsidRPr="00D178DD" w:rsidRDefault="00D178DD" w:rsidP="00D178DD">
      <w:pPr>
        <w:autoSpaceDE w:val="0"/>
        <w:autoSpaceDN w:val="0"/>
        <w:adjustRightInd w:val="0"/>
        <w:spacing w:after="120" w:line="276" w:lineRule="auto"/>
        <w:contextualSpacing w:val="0"/>
        <w:rPr>
          <w:rFonts w:eastAsia="Calibri" w:cs="Arial"/>
          <w:bCs/>
          <w:szCs w:val="22"/>
          <w:u w:val="single"/>
          <w:lang w:val="hy-AM" w:eastAsia="en-US"/>
        </w:rPr>
      </w:pPr>
      <w:r w:rsidRPr="00D178DD">
        <w:rPr>
          <w:rFonts w:eastAsia="Calibri" w:cs="Arial"/>
          <w:bCs/>
          <w:szCs w:val="22"/>
          <w:u w:val="single"/>
          <w:lang w:val="hy-AM" w:eastAsia="en-US"/>
        </w:rPr>
        <w:t>2022թ. ընթացիկ զարգացումներ</w:t>
      </w:r>
    </w:p>
    <w:p w:rsidR="00D178DD" w:rsidRPr="00D178DD" w:rsidRDefault="00D178DD" w:rsidP="00D178DD">
      <w:pPr>
        <w:autoSpaceDE w:val="0"/>
        <w:autoSpaceDN w:val="0"/>
        <w:adjustRightInd w:val="0"/>
        <w:spacing w:after="120" w:line="276" w:lineRule="auto"/>
        <w:contextualSpacing w:val="0"/>
        <w:rPr>
          <w:rFonts w:eastAsia="Calibri"/>
          <w:szCs w:val="22"/>
          <w:lang w:val="hy-AM" w:eastAsia="en-US"/>
        </w:rPr>
      </w:pPr>
      <w:r w:rsidRPr="00D178DD">
        <w:rPr>
          <w:rFonts w:eastAsia="Calibri"/>
          <w:szCs w:val="22"/>
          <w:lang w:val="hy-AM" w:eastAsia="en-US"/>
        </w:rPr>
        <w:tab/>
        <w:t>2022 թվականի առաջին ութ ամիսներին տնտեսական բարձր աճի պայմաններում և հարկաբյուջետային քաղաքականության ազդեցությունը ամբողջական պահանջարկի վրա եղել է սզպող: Միևնույն ժամանակ, կառավարության կողմից նախաձեռվել են միջոցառումներ արտաքին շոկերի արդյունքում տնտեսության առանձին հատվածների խթանման, ինչպես նաև սոցիալական աջակացության ուղղությամբ:</w:t>
      </w:r>
    </w:p>
    <w:p w:rsidR="00D178DD" w:rsidRPr="00D178DD" w:rsidRDefault="00D178DD" w:rsidP="00D178DD">
      <w:pPr>
        <w:spacing w:after="120" w:line="276" w:lineRule="auto"/>
        <w:contextualSpacing w:val="0"/>
        <w:rPr>
          <w:rFonts w:cs="GHEA Grapalat"/>
          <w:b w:val="0"/>
          <w:szCs w:val="22"/>
          <w:lang w:val="hy-AM"/>
        </w:rPr>
      </w:pPr>
      <w:r w:rsidRPr="00D178DD">
        <w:rPr>
          <w:rFonts w:eastAsia="Calibri"/>
          <w:i/>
          <w:szCs w:val="22"/>
          <w:lang w:val="hy-AM" w:eastAsia="en-US"/>
        </w:rPr>
        <w:t>Պետական բյուջեի եկամուտները:</w:t>
      </w:r>
      <w:r w:rsidRPr="00D178DD">
        <w:rPr>
          <w:rFonts w:eastAsia="Calibri"/>
          <w:b w:val="0"/>
          <w:szCs w:val="22"/>
          <w:lang w:val="hy-AM" w:eastAsia="en-US"/>
        </w:rPr>
        <w:t xml:space="preserve"> </w:t>
      </w:r>
      <w:r w:rsidRPr="00D178DD">
        <w:rPr>
          <w:rFonts w:cs="GHEA Grapalat"/>
          <w:szCs w:val="22"/>
          <w:lang w:val="hy-AM"/>
        </w:rPr>
        <w:t>2022 թվականի առաջին ութ ամիսներին ՀՀ պետական բյուջեի եկամուտներն աճել են բարձր տեմպերով՝ պայմանավորված բարձր տնտեսական աճով և գնաճով, ինչպես նաև հարկային օրենսդրության փոփոխություններով:</w:t>
      </w:r>
      <w:r w:rsidRPr="00D178DD">
        <w:rPr>
          <w:rFonts w:cs="GHEA Grapalat"/>
          <w:b w:val="0"/>
          <w:szCs w:val="22"/>
          <w:lang w:val="hy-AM"/>
        </w:rPr>
        <w:t xml:space="preserve"> Ընդ որում, առաջին ութ ամիսներին տնտեսական ակտիվության տեմպերի արագացմանը զուգընթաց, հարկերի հավաքագրման բարձր աճի տեմպերը պահպանվել են ամբողջ ժամանակահատվածի ընթացքում։ 2022 թվականի հունվար-օգոստոս ամիսների արդյունքներով ՀՀ պետական բյուջեի ընդհանուր եկամուտները կազմել են 1,311.9</w:t>
      </w:r>
      <w:r w:rsidRPr="00D178DD">
        <w:rPr>
          <w:rFonts w:ascii="Calibri" w:hAnsi="Calibri" w:cs="Calibri"/>
          <w:b w:val="0"/>
          <w:szCs w:val="22"/>
          <w:lang w:val="hy-AM"/>
        </w:rPr>
        <w:t> </w:t>
      </w:r>
      <w:r w:rsidRPr="00D178DD">
        <w:rPr>
          <w:rFonts w:cs="GHEA Grapalat"/>
          <w:b w:val="0"/>
          <w:szCs w:val="22"/>
          <w:lang w:val="hy-AM"/>
        </w:rPr>
        <w:t>մլրդ դրամ՝ նախորդ տարվա նույն ժամանակահատվածի համեմատ աճելով 26.1%-ով, իսկ հարկերը և տուրքերը կազմել են 1,232.1 մլրդ դրամ՝ նախորդ տարվա նույն ժամանակահատվածի համեմատ աճելով 25.2%-ով: Հարկային եկամուտների աճը հիմնականում պայմանավորված է հարկման բազաների (հիմնականում սպառման և ներմուծման, ինչպես նաև շահույթների և աշխատավարձերի) աճի, ինչպես նաև 2021 թվականի հարկային օրենսդրության բարեփոխումներով, մասնավորապես՝ մետաղական հանքանյութերի արտահանման տուրքի ներդրմամբ:</w:t>
      </w:r>
    </w:p>
    <w:p w:rsidR="00D178DD" w:rsidRPr="00D178DD" w:rsidRDefault="00D178DD" w:rsidP="00D178DD">
      <w:pPr>
        <w:spacing w:after="120" w:line="276" w:lineRule="auto"/>
        <w:contextualSpacing w:val="0"/>
        <w:rPr>
          <w:rFonts w:cs="GHEA Grapalat"/>
          <w:b w:val="0"/>
          <w:szCs w:val="22"/>
          <w:lang w:val="hy-AM"/>
        </w:rPr>
      </w:pPr>
    </w:p>
    <w:p w:rsidR="00D178DD" w:rsidRPr="00D178DD" w:rsidRDefault="00D178DD" w:rsidP="00D178DD">
      <w:pPr>
        <w:autoSpaceDE w:val="0"/>
        <w:autoSpaceDN w:val="0"/>
        <w:adjustRightInd w:val="0"/>
        <w:spacing w:before="0" w:after="160" w:line="276" w:lineRule="auto"/>
        <w:contextualSpacing w:val="0"/>
        <w:rPr>
          <w:rFonts w:eastAsia="GHEA Grapalat" w:cs="GHEA Grapalat"/>
          <w:b w:val="0"/>
          <w:noProof/>
          <w:szCs w:val="22"/>
          <w:lang w:val="hy-AM" w:eastAsia="en-US"/>
        </w:rPr>
      </w:pPr>
      <w:r w:rsidRPr="00D178DD">
        <w:rPr>
          <w:rFonts w:eastAsia="Calibri" w:cs="Arial"/>
          <w:bCs/>
          <w:i/>
          <w:iCs/>
          <w:noProof/>
          <w:sz w:val="21"/>
          <w:szCs w:val="21"/>
          <w:lang w:val="hy-AM" w:eastAsia="en-US"/>
        </w:rPr>
        <w:lastRenderedPageBreak/>
        <w:t xml:space="preserve">Գծապատկեր 2.1 </w:t>
      </w:r>
      <w:r w:rsidRPr="00D178DD">
        <w:rPr>
          <w:rFonts w:eastAsia="GHEA Grapalat" w:cs="GHEA Grapalat"/>
          <w:noProof/>
          <w:szCs w:val="22"/>
          <w:lang w:val="hy-AM" w:eastAsia="en-US"/>
        </w:rPr>
        <w:t xml:space="preserve"> </w:t>
      </w:r>
      <w:r w:rsidRPr="00D178DD">
        <w:rPr>
          <w:rFonts w:eastAsia="GHEA Grapalat" w:cs="GHEA Grapalat"/>
          <w:b w:val="0"/>
          <w:noProof/>
          <w:szCs w:val="22"/>
          <w:lang w:val="hy-AM" w:eastAsia="en-US"/>
        </w:rPr>
        <w:t>Պետական բյուջեի հարկային եկամուտները 2021-2022 թվականներին ըստ ամիսների</w:t>
      </w:r>
    </w:p>
    <w:p w:rsidR="00D178DD" w:rsidRPr="00D178DD" w:rsidRDefault="00D178DD" w:rsidP="00D178DD">
      <w:pPr>
        <w:keepNext/>
        <w:keepLines/>
        <w:tabs>
          <w:tab w:val="left" w:pos="2160"/>
          <w:tab w:val="left" w:pos="2552"/>
        </w:tabs>
        <w:autoSpaceDE w:val="0"/>
        <w:autoSpaceDN w:val="0"/>
        <w:adjustRightInd w:val="0"/>
        <w:spacing w:before="0" w:line="276" w:lineRule="auto"/>
        <w:ind w:left="360" w:hanging="360"/>
        <w:contextualSpacing w:val="0"/>
        <w:jc w:val="center"/>
        <w:rPr>
          <w:rFonts w:eastAsia="GHEA Grapalat" w:cs="GHEA Grapalat"/>
          <w:b w:val="0"/>
          <w:noProof/>
          <w:szCs w:val="22"/>
          <w:lang w:val="en-US" w:eastAsia="en-US"/>
        </w:rPr>
      </w:pPr>
      <w:r w:rsidRPr="00D178DD">
        <w:rPr>
          <w:rFonts w:eastAsia="GHEA Grapalat" w:cs="GHEA Grapalat"/>
          <w:b w:val="0"/>
          <w:noProof/>
          <w:szCs w:val="22"/>
          <w:lang w:val="en-US" w:eastAsia="en-US"/>
        </w:rPr>
        <w:drawing>
          <wp:inline distT="0" distB="0" distL="0" distR="0" wp14:anchorId="7658B147" wp14:editId="4395F50B">
            <wp:extent cx="5673488" cy="2647950"/>
            <wp:effectExtent l="57150" t="0" r="60960" b="11430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178DD" w:rsidRPr="00D178DD" w:rsidRDefault="00D178DD" w:rsidP="00D1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18"/>
          <w:szCs w:val="18"/>
          <w:lang w:val="hy-AM" w:eastAsia="en-US"/>
        </w:rPr>
      </w:pPr>
      <w:r w:rsidRPr="00D178DD">
        <w:rPr>
          <w:rFonts w:eastAsia="Calibri" w:cs="Arial"/>
          <w:b w:val="0"/>
          <w:bCs/>
          <w:i/>
          <w:iCs/>
          <w:sz w:val="18"/>
          <w:szCs w:val="18"/>
          <w:lang w:val="hy-AM" w:eastAsia="en-US"/>
        </w:rPr>
        <w:t>Աղբյուրը՝ ՀՀ ՖՆ</w:t>
      </w:r>
    </w:p>
    <w:p w:rsidR="00D178DD" w:rsidRPr="00D178DD" w:rsidRDefault="00D178DD" w:rsidP="00D178DD">
      <w:pPr>
        <w:spacing w:after="120" w:line="276" w:lineRule="auto"/>
        <w:contextualSpacing w:val="0"/>
        <w:rPr>
          <w:rFonts w:cs="GHEA Grapalat"/>
          <w:b w:val="0"/>
          <w:szCs w:val="22"/>
          <w:lang w:val="hy-AM"/>
        </w:rPr>
      </w:pPr>
      <w:r w:rsidRPr="00D178DD">
        <w:rPr>
          <w:rFonts w:eastAsia="Calibri"/>
          <w:i/>
          <w:szCs w:val="22"/>
          <w:lang w:val="hy-AM" w:eastAsia="en-US"/>
        </w:rPr>
        <w:t>Պետական բյուջեի ծախսերը:</w:t>
      </w:r>
      <w:r w:rsidRPr="00D178DD">
        <w:rPr>
          <w:rFonts w:eastAsia="Calibri"/>
          <w:b w:val="0"/>
          <w:szCs w:val="22"/>
          <w:lang w:val="hy-AM" w:eastAsia="en-US"/>
        </w:rPr>
        <w:t xml:space="preserve"> </w:t>
      </w:r>
      <w:r w:rsidRPr="00D178DD">
        <w:rPr>
          <w:rFonts w:cs="GHEA Grapalat"/>
          <w:szCs w:val="22"/>
          <w:lang w:val="hy-AM"/>
        </w:rPr>
        <w:t>Պետական բյուջեի ծախսերը 2022 թվականի առաջին ութ ամիսներին աճել են՝ պայմանավորված ինչպես ընթացիկ, այնպես էլ կապիտալ ծախսերի աճերով:</w:t>
      </w:r>
      <w:r w:rsidRPr="00D178DD">
        <w:rPr>
          <w:rFonts w:cs="GHEA Grapalat"/>
          <w:b w:val="0"/>
          <w:szCs w:val="22"/>
          <w:lang w:val="hy-AM"/>
        </w:rPr>
        <w:t xml:space="preserve"> 2022 թվականի ութ ամիսներին պետական բյուջեի ծախսերը կազմել են 1,258.2 մլրդ դրամ՝ նախորդ տարվա նույն ժամանակահատվածի համեմատ աճելով 6.3%-ով: Նույն ժամանակահատվածում ընթացիկ ծախսերը կազմել են 1,111.6</w:t>
      </w:r>
      <w:r w:rsidRPr="00D178DD">
        <w:rPr>
          <w:rFonts w:ascii="Calibri" w:hAnsi="Calibri" w:cs="Calibri"/>
          <w:b w:val="0"/>
          <w:szCs w:val="22"/>
          <w:lang w:val="hy-AM"/>
        </w:rPr>
        <w:t> </w:t>
      </w:r>
      <w:r w:rsidRPr="00D178DD">
        <w:rPr>
          <w:rFonts w:cs="GHEA Grapalat"/>
          <w:b w:val="0"/>
          <w:szCs w:val="22"/>
          <w:lang w:val="hy-AM"/>
        </w:rPr>
        <w:t>մլրդ դրամ` նախորդ տարվա նույն ժամանակահատվածի համեմատ աճելով 2.9%</w:t>
      </w:r>
      <w:r w:rsidRPr="00D178DD">
        <w:rPr>
          <w:rFonts w:cs="GHEA Grapalat"/>
          <w:b w:val="0"/>
          <w:szCs w:val="22"/>
          <w:lang w:val="hy-AM"/>
        </w:rPr>
        <w:noBreakHyphen/>
        <w:t xml:space="preserve">ով: </w:t>
      </w:r>
    </w:p>
    <w:p w:rsidR="00D178DD" w:rsidRPr="00D178DD" w:rsidRDefault="00D178DD" w:rsidP="00D178DD">
      <w:pPr>
        <w:spacing w:after="120" w:line="276" w:lineRule="auto"/>
        <w:contextualSpacing w:val="0"/>
        <w:rPr>
          <w:rFonts w:cs="GHEA Grapalat"/>
          <w:b w:val="0"/>
          <w:szCs w:val="22"/>
          <w:lang w:val="hy-AM"/>
        </w:rPr>
      </w:pPr>
      <w:r w:rsidRPr="00D178DD">
        <w:rPr>
          <w:rFonts w:cs="GHEA Grapalat"/>
          <w:b w:val="0"/>
          <w:szCs w:val="22"/>
          <w:lang w:val="hy-AM"/>
        </w:rPr>
        <w:t>Ոչ ֆինանսական ակտիվների հետ գործառնությունները կազմել են 146.6 մլրդ դրամ, որում ոչ ֆինանսական ակտիվների գծով ծախսերը (կապիտալ ծախսեր) կազմել են 151.5 մլրդ դրամ` նախորդ տարվա նույն ժամանակահատվածի նկատմամբ աճելով 45.0%</w:t>
      </w:r>
      <w:r w:rsidRPr="00D178DD">
        <w:rPr>
          <w:rFonts w:cs="GHEA Grapalat"/>
          <w:b w:val="0"/>
          <w:szCs w:val="22"/>
          <w:lang w:val="hy-AM"/>
        </w:rPr>
        <w:noBreakHyphen/>
        <w:t xml:space="preserve">ով, որում էական դեր ունեն պաշտպանական ոլորտին ուղղվող կապիտալ ծախսերի աճը: </w:t>
      </w:r>
    </w:p>
    <w:p w:rsidR="00D178DD" w:rsidRPr="00D178DD" w:rsidRDefault="00D178DD" w:rsidP="00D178DD">
      <w:pPr>
        <w:spacing w:after="120" w:line="276" w:lineRule="auto"/>
        <w:contextualSpacing w:val="0"/>
        <w:rPr>
          <w:rFonts w:cs="GHEA Grapalat"/>
          <w:b w:val="0"/>
          <w:szCs w:val="22"/>
          <w:lang w:val="hy-AM"/>
        </w:rPr>
      </w:pPr>
      <w:r w:rsidRPr="00D178DD">
        <w:rPr>
          <w:rFonts w:eastAsia="Calibri"/>
          <w:i/>
          <w:szCs w:val="22"/>
          <w:lang w:val="hy-AM" w:eastAsia="en-US"/>
        </w:rPr>
        <w:t xml:space="preserve">Հարկաբյուջետային քաղաքականության արձագանքը մակրոտնտեսական զարգացումներին: </w:t>
      </w:r>
      <w:r w:rsidRPr="00D178DD">
        <w:rPr>
          <w:rFonts w:eastAsia="Calibri"/>
          <w:b w:val="0"/>
          <w:szCs w:val="22"/>
          <w:lang w:val="hy-AM" w:eastAsia="en-US"/>
        </w:rPr>
        <w:t xml:space="preserve">Հարկաբյուջետային քաղաքականության արձագանքը ռուս-ուկրաինական հակամարտության սրման հետևանքով ՀՀ տնտեսություն փոխանցված տնտեսական շոկերին ներառում է ինչպես տնտեսական, այնպես էլ սոցիալական բաղադրիչ: Մասնավորապես, փոխարժեքի կտրուկ արժևորման արդյունքում ՀՀ տնտեսության արտահանելի հատվածին, աջակցելու նպատակով նախատեսվել է սուբսիդավորել նոր (չօգտագործված) մեքենասարքավորումներ և դրանց բաղկացուցիչ մասեր ձեռք բերելու նպատակով տնտեսվարողներին տրամադրված վարկերի և լիզինգների տոկոսադրույքները: ՏՏ ոլորտի աջակցության և խթանման նպատակով նախատեսվել է այդ ոլորտում, որոշակի պայմաններ բավարարելու դեպքում, վերադարձնել նոր ստեղծված աշխատատեղերի համար վճարված եկամտային հարկի 50 տոկոսը: Բարձր գնաճի հետևանքներին հակազդելու նպատակով, նախատեսվել է գյուղատնտեսության ոլորտում ավելացնել տրամադրվող սուբսիդիաների ծավալը, ինչպես նաև իրականացնել սոցիալական աջակցության միջոցառումներ՝ բարձրացնելով կենսաթոշակները և այլ սոցիալական ծախսերը: </w:t>
      </w:r>
    </w:p>
    <w:p w:rsidR="00D178DD" w:rsidRPr="00D178DD" w:rsidRDefault="00D178DD" w:rsidP="00D178DD">
      <w:pPr>
        <w:autoSpaceDE w:val="0"/>
        <w:autoSpaceDN w:val="0"/>
        <w:adjustRightInd w:val="0"/>
        <w:spacing w:after="120" w:line="276" w:lineRule="auto"/>
        <w:contextualSpacing w:val="0"/>
        <w:rPr>
          <w:rFonts w:eastAsia="Calibri"/>
          <w:b w:val="0"/>
          <w:szCs w:val="22"/>
          <w:lang w:val="hy-AM" w:eastAsia="en-US"/>
        </w:rPr>
      </w:pPr>
      <w:r w:rsidRPr="00D178DD">
        <w:rPr>
          <w:rFonts w:eastAsia="Calibri"/>
          <w:i/>
          <w:szCs w:val="22"/>
          <w:lang w:val="hy-AM" w:eastAsia="en-US"/>
        </w:rPr>
        <w:lastRenderedPageBreak/>
        <w:t>Պետական բյուջեի պակասուրդը (հավելուրդը):</w:t>
      </w:r>
      <w:r w:rsidRPr="00D178DD">
        <w:rPr>
          <w:rFonts w:eastAsia="Calibri"/>
          <w:b w:val="0"/>
          <w:szCs w:val="22"/>
          <w:lang w:val="hy-AM" w:eastAsia="en-US"/>
        </w:rPr>
        <w:t xml:space="preserve"> </w:t>
      </w:r>
      <w:r w:rsidRPr="00D178DD">
        <w:rPr>
          <w:rFonts w:eastAsia="Calibri"/>
          <w:szCs w:val="22"/>
          <w:lang w:val="hy-AM" w:eastAsia="en-US"/>
        </w:rPr>
        <w:t>Վերոնշյալ զարգացումների արդյունքում պետական բյուջեն եղել է հավելուրդային:</w:t>
      </w:r>
      <w:r w:rsidRPr="00D178DD">
        <w:rPr>
          <w:rFonts w:eastAsia="Calibri"/>
          <w:b w:val="0"/>
          <w:szCs w:val="22"/>
          <w:lang w:val="hy-AM" w:eastAsia="en-US"/>
        </w:rPr>
        <w:t xml:space="preserve"> 2022 թվականի առաջին ութ ամիսների ընթացքում ձևավորվել է պետական բյուջեի 53.7 մլրդ դրամի հավելուրդ՝ նախորդ տարվա նույն ժամանակահատվածի 143.5 մլրդ դրամի պակասուրդի դիմաց:</w:t>
      </w:r>
    </w:p>
    <w:p w:rsidR="00D178DD" w:rsidRPr="00D178DD" w:rsidRDefault="00D178DD" w:rsidP="00D178DD">
      <w:pPr>
        <w:spacing w:after="120" w:line="276" w:lineRule="auto"/>
        <w:contextualSpacing w:val="0"/>
        <w:rPr>
          <w:rFonts w:cs="GHEA Grapalat"/>
          <w:b w:val="0"/>
          <w:szCs w:val="22"/>
          <w:lang w:val="hy-AM"/>
        </w:rPr>
      </w:pPr>
      <w:r w:rsidRPr="00D178DD">
        <w:rPr>
          <w:rFonts w:eastAsia="Calibri"/>
          <w:i/>
          <w:szCs w:val="22"/>
          <w:lang w:val="hy-AM" w:eastAsia="en-US"/>
        </w:rPr>
        <w:t>Հարկաբյուջետային ազդակը:</w:t>
      </w:r>
      <w:r w:rsidRPr="00D178DD">
        <w:rPr>
          <w:rFonts w:eastAsia="Calibri"/>
          <w:b w:val="0"/>
          <w:szCs w:val="22"/>
          <w:lang w:val="hy-AM" w:eastAsia="en-US"/>
        </w:rPr>
        <w:t xml:space="preserve"> </w:t>
      </w:r>
      <w:r w:rsidRPr="00D178DD">
        <w:rPr>
          <w:rFonts w:cs="GHEA Grapalat"/>
          <w:b w:val="0"/>
          <w:szCs w:val="22"/>
          <w:lang w:val="hy-AM"/>
        </w:rPr>
        <w:t xml:space="preserve">2022 թվականի առաջին կիսամյակի ընթացքում տնտեսության վերականգնման պայմաններում հարկաբյուջետային քաղաքականության ազդեցությունն ամբողջական պահանջարկի վրա գնահատվում է շուրջ 4.0% զսպող: </w:t>
      </w:r>
    </w:p>
    <w:p w:rsidR="00D178DD" w:rsidRPr="00D178DD" w:rsidRDefault="00D178DD" w:rsidP="00D178DD">
      <w:pPr>
        <w:spacing w:before="240" w:after="120" w:line="276" w:lineRule="auto"/>
        <w:ind w:firstLine="0"/>
        <w:contextualSpacing w:val="0"/>
        <w:rPr>
          <w:rFonts w:eastAsia="Calibri" w:cs="Arial"/>
          <w:bCs/>
          <w:szCs w:val="22"/>
          <w:u w:val="single"/>
          <w:lang w:val="hy-AM" w:eastAsia="en-US"/>
        </w:rPr>
      </w:pPr>
      <w:r w:rsidRPr="00D178DD">
        <w:rPr>
          <w:rFonts w:eastAsia="Calibri" w:cs="Arial"/>
          <w:bCs/>
          <w:szCs w:val="22"/>
          <w:u w:val="single"/>
          <w:lang w:val="hy-AM" w:eastAsia="en-US"/>
        </w:rPr>
        <w:t xml:space="preserve">Կարճաժամկետ կանխատեսումներ </w:t>
      </w:r>
    </w:p>
    <w:p w:rsidR="00D178DD" w:rsidRPr="00D178DD" w:rsidRDefault="00D178DD" w:rsidP="00D178DD">
      <w:pPr>
        <w:spacing w:after="120" w:line="276" w:lineRule="auto"/>
        <w:contextualSpacing w:val="0"/>
        <w:rPr>
          <w:rFonts w:eastAsia="Calibri"/>
          <w:lang w:val="hy-AM"/>
        </w:rPr>
      </w:pPr>
      <w:r w:rsidRPr="00D178DD">
        <w:rPr>
          <w:rFonts w:eastAsia="Calibri"/>
          <w:bCs/>
          <w:lang w:val="hy-AM"/>
        </w:rPr>
        <w:t xml:space="preserve">2022թ. բարձր տնտեսական աճի պայմաններում սպասվում է նախապես ծրագրվածի համեմատ հարկային եկամուտների էական գերակատարում, ինչի արդյունքում սպասվում է բյուջեի պակասուրդի նվազում, ինչպես նաև կառավարության պարտքի բեռի սպասվածից ավելի արագ նվազում: </w:t>
      </w:r>
    </w:p>
    <w:p w:rsidR="00D178DD" w:rsidRPr="00D178DD" w:rsidRDefault="00D178DD" w:rsidP="00D178DD">
      <w:pPr>
        <w:autoSpaceDE w:val="0"/>
        <w:autoSpaceDN w:val="0"/>
        <w:adjustRightInd w:val="0"/>
        <w:spacing w:after="120" w:line="276" w:lineRule="auto"/>
        <w:contextualSpacing w:val="0"/>
        <w:rPr>
          <w:rFonts w:eastAsia="Calibri" w:cs="GHEA Grapalat"/>
          <w:szCs w:val="22"/>
          <w:lang w:val="hy-AM" w:eastAsia="en-US"/>
        </w:rPr>
      </w:pPr>
      <w:r w:rsidRPr="00D178DD">
        <w:rPr>
          <w:rFonts w:eastAsia="Calibri" w:cs="GHEA Grapalat"/>
          <w:b w:val="0"/>
          <w:bCs/>
          <w:szCs w:val="22"/>
          <w:lang w:val="hy-AM" w:eastAsia="en-US"/>
        </w:rPr>
        <w:t xml:space="preserve">2022թ.-ին օրենսդրական բարեփոխումների և հարկային վարչարարության բարելավմանն ուղղված միջոցառումների արդյունքում ակնկալվում է, որ հարկային եկամուտները ՀՆԱ-ի նկատմամբ կբարելավվեն շուրջ 0.4 տոկոսային կետով՝ կազմելով </w:t>
      </w:r>
      <w:r w:rsidRPr="00D178DD">
        <w:rPr>
          <w:rFonts w:eastAsia="Calibri" w:cs="GHEA Grapalat"/>
          <w:b w:val="0"/>
          <w:szCs w:val="22"/>
          <w:lang w:val="hy-AM" w:eastAsia="en-US"/>
        </w:rPr>
        <w:t>23.2%</w:t>
      </w:r>
      <w:r w:rsidRPr="00D178DD">
        <w:rPr>
          <w:rFonts w:eastAsia="Calibri" w:cs="GHEA Grapalat"/>
          <w:b w:val="0"/>
          <w:bCs/>
          <w:szCs w:val="22"/>
          <w:lang w:val="hy-AM" w:eastAsia="en-US"/>
        </w:rPr>
        <w:t xml:space="preserve"> կամ </w:t>
      </w:r>
      <w:r w:rsidRPr="00D178DD">
        <w:rPr>
          <w:rFonts w:eastAsia="Calibri" w:cs="GHEA Grapalat"/>
          <w:b w:val="0"/>
          <w:szCs w:val="22"/>
          <w:lang w:val="hy-AM" w:eastAsia="en-US"/>
        </w:rPr>
        <w:t>1,920 մլրդ դրամ</w:t>
      </w:r>
      <w:r w:rsidRPr="00D178DD">
        <w:rPr>
          <w:rFonts w:eastAsia="Calibri" w:cs="GHEA Grapalat"/>
          <w:b w:val="0"/>
          <w:bCs/>
          <w:szCs w:val="22"/>
          <w:lang w:val="hy-AM" w:eastAsia="en-US"/>
        </w:rPr>
        <w:t xml:space="preserve">: Միևնույն ժամանակ, </w:t>
      </w:r>
      <w:r w:rsidRPr="00D178DD">
        <w:rPr>
          <w:rFonts w:eastAsia="Calibri" w:cs="GHEA Grapalat"/>
          <w:b w:val="0"/>
          <w:szCs w:val="22"/>
          <w:lang w:val="hy-AM" w:eastAsia="en-US"/>
        </w:rPr>
        <w:t xml:space="preserve">պետական բյուջեի ընդհանուր ծախսերը ՀՆԱ-ի նկատմամբ կնվազեն շուրջ 1.6 տոկոսային կետով՝ կազմելով 27.1%: Ծախսերի ծավալը, սակայն, կաճի նախորդ տարվա համեմատ շուրջ 12.0%-ով՝ կազմելով 2,246.7 մլրդ դրամ: Արդյունքում, պետական բյուջեի պակասուրդը 2021 թվականի նկատմամբ կնվազի՝ կազմելով շուրջ 204.2 մլրդ դրամ, կամ կկազմի ՀՆԱ-ի շուրջ 2.5%-ը, իսկ հարկաբյուջետային քաղաքականության ազդեցությունը ամբողջական պահանջարկի վրա կլինի 1.3% զսպող (եկամուտների (-0.2%) չեզոք և ծախսերի (-1.2%) զսպող ազդեցություններով): </w:t>
      </w:r>
    </w:p>
    <w:p w:rsidR="00D178DD" w:rsidRPr="00D178DD" w:rsidRDefault="00D178DD" w:rsidP="00D178DD">
      <w:pPr>
        <w:autoSpaceDE w:val="0"/>
        <w:autoSpaceDN w:val="0"/>
        <w:adjustRightInd w:val="0"/>
        <w:spacing w:before="0" w:after="120" w:line="276" w:lineRule="auto"/>
        <w:contextualSpacing w:val="0"/>
        <w:rPr>
          <w:rFonts w:eastAsia="Calibri"/>
          <w:b w:val="0"/>
          <w:szCs w:val="22"/>
          <w:lang w:val="hy-AM" w:eastAsia="en-US"/>
        </w:rPr>
      </w:pPr>
      <w:r w:rsidRPr="00D178DD">
        <w:rPr>
          <w:rFonts w:eastAsia="Calibri"/>
          <w:szCs w:val="22"/>
          <w:lang w:val="hy-AM" w:eastAsia="en-US"/>
        </w:rPr>
        <w:t>Նպատակ ունենալով նպաստել տնտեսական աճի ներուժի բարձրացմանը և միաժամանակ ապահովել հարկաբյուջետային կայունություն՝ հարկաբյուջետային քաղաքականությամբ թիրախավորվել է էապես բարձրացնել պետական ներդրումների մակարդակը (այդ թվում պաշտպանության ոլորտին ուղղվող կապիտալ ծախսերի էական աճը) և միաժամանակ ապահովել ՀՀ կառավարության պարտքի բեռի նվազող միտումը:</w:t>
      </w:r>
      <w:r w:rsidRPr="00D178DD">
        <w:rPr>
          <w:rFonts w:eastAsia="Calibri"/>
          <w:b w:val="0"/>
          <w:bCs/>
          <w:szCs w:val="22"/>
          <w:lang w:val="hy-AM" w:eastAsia="en-US"/>
        </w:rPr>
        <w:t xml:space="preserve"> Բ</w:t>
      </w:r>
      <w:r w:rsidRPr="00D178DD">
        <w:rPr>
          <w:rFonts w:eastAsia="Calibri"/>
          <w:b w:val="0"/>
          <w:szCs w:val="22"/>
          <w:lang w:val="hy-AM" w:eastAsia="en-US"/>
        </w:rPr>
        <w:t>արձր տնտեսական աճի պայմաններում, հարկային վարչարարության լրացուցիչ ջանքի արդյունքում, ակնկալվում է, որ հարկեր/ՀՆԱ հարաբերակցությունը 2023թ.-ին կբարելավվի շուրջ 0.5 տոկոսային կետով՝ կազմելով շուրջ 2203.7 մլրդ դրամ, կամ ՀՆԱ-ի 23.7%-ը: Պետական բյուջեի ընթացիկ ծախսերը կկազմեն 2043.3 մլրդ դրամ, որոնց կազմում ընթացիկ առաջնային ծախսերը սահմանափակված կլինեն նախորդ 7 տարիների ՀՆԱ-ների փաստացի անվանական միջին աճի չափով, իսկ ոչ ֆինանսական ակտիվների հետ գործառնությունների դերը զգալիորեն կբարելավվի՝ հասնելով ՀՆԱ-ի 5.9%-ին՝ 2022թ. սպասվող 4.7%-ի համեմատ աճելով 1.2 տոկոսային կետով, որում ոչ ֆինանսական ակտիվների գծով ծախսերը կհասնեն ՀՆԱ-ի 6.0%-ի:</w:t>
      </w:r>
    </w:p>
    <w:p w:rsidR="00D178DD" w:rsidRPr="00D178DD" w:rsidRDefault="00D178DD" w:rsidP="00D178DD">
      <w:pPr>
        <w:autoSpaceDE w:val="0"/>
        <w:autoSpaceDN w:val="0"/>
        <w:adjustRightInd w:val="0"/>
        <w:spacing w:before="0" w:after="120" w:line="276" w:lineRule="auto"/>
        <w:contextualSpacing w:val="0"/>
        <w:rPr>
          <w:rFonts w:eastAsia="Calibri"/>
          <w:b w:val="0"/>
          <w:szCs w:val="22"/>
          <w:lang w:val="hy-AM" w:eastAsia="en-US"/>
        </w:rPr>
      </w:pPr>
      <w:r w:rsidRPr="00D178DD">
        <w:rPr>
          <w:rFonts w:eastAsia="Calibri"/>
          <w:b w:val="0"/>
          <w:szCs w:val="22"/>
          <w:lang w:val="hy-AM" w:eastAsia="en-US"/>
        </w:rPr>
        <w:t>2023 թվականին, կապիտալ ծախսերի ավելացման հաշվին պետական բյուջեի դեֆիցիտը կավելանա՝ կազմելով ՀՆԱ-ի 3.1</w:t>
      </w:r>
      <w:r w:rsidRPr="00D178DD">
        <w:rPr>
          <w:rFonts w:eastAsia="Calibri" w:cs="Sylfaen"/>
          <w:b w:val="0"/>
          <w:szCs w:val="22"/>
          <w:lang w:val="hy-AM" w:eastAsia="en-US"/>
        </w:rPr>
        <w:t>%-ը</w:t>
      </w:r>
      <w:r w:rsidRPr="00D178DD">
        <w:rPr>
          <w:rFonts w:eastAsia="Calibri"/>
          <w:b w:val="0"/>
          <w:szCs w:val="22"/>
          <w:lang w:val="hy-AM" w:eastAsia="en-US"/>
        </w:rPr>
        <w:t xml:space="preserve">, իսկ հարկաբյուջետային քաղաքականությունը կլինի չեզոք՝ </w:t>
      </w:r>
      <w:r w:rsidRPr="00D178DD">
        <w:rPr>
          <w:rFonts w:eastAsia="Calibri" w:cs="Times Armenian"/>
          <w:b w:val="0"/>
          <w:bCs/>
          <w:szCs w:val="22"/>
          <w:lang w:val="hy-AM" w:eastAsia="en-US"/>
        </w:rPr>
        <w:t>նպաստելով տնտեսական ներուժի բարձրացմանը և ապահովելով պարտքի բեռի նվազմանը</w:t>
      </w:r>
      <w:r w:rsidRPr="00D178DD">
        <w:rPr>
          <w:rFonts w:eastAsia="Calibri"/>
          <w:b w:val="0"/>
          <w:szCs w:val="22"/>
          <w:lang w:val="hy-AM" w:eastAsia="en-US"/>
        </w:rPr>
        <w:t xml:space="preserve">: </w:t>
      </w:r>
    </w:p>
    <w:p w:rsidR="00D178DD" w:rsidRPr="00D178DD" w:rsidRDefault="00D178DD" w:rsidP="00D178DD">
      <w:pPr>
        <w:autoSpaceDE w:val="0"/>
        <w:autoSpaceDN w:val="0"/>
        <w:adjustRightInd w:val="0"/>
        <w:spacing w:before="0" w:after="120" w:line="276" w:lineRule="auto"/>
        <w:contextualSpacing w:val="0"/>
        <w:rPr>
          <w:rFonts w:eastAsia="Calibri"/>
          <w:b w:val="0"/>
          <w:szCs w:val="22"/>
          <w:lang w:val="hy-AM" w:eastAsia="en-US"/>
        </w:rPr>
      </w:pPr>
    </w:p>
    <w:p w:rsidR="00D178DD" w:rsidRPr="00D178DD" w:rsidRDefault="00D178DD" w:rsidP="00D178DD">
      <w:pPr>
        <w:spacing w:line="276" w:lineRule="auto"/>
        <w:ind w:firstLine="0"/>
        <w:contextualSpacing w:val="0"/>
        <w:jc w:val="left"/>
        <w:rPr>
          <w:rFonts w:eastAsia="Calibri"/>
          <w:b w:val="0"/>
          <w:i/>
          <w:iCs/>
          <w:sz w:val="21"/>
          <w:szCs w:val="21"/>
          <w:lang w:val="hy-AM" w:eastAsia="en-US"/>
        </w:rPr>
      </w:pPr>
      <w:r w:rsidRPr="00D178DD">
        <w:rPr>
          <w:rFonts w:eastAsia="Calibri"/>
          <w:bCs/>
          <w:i/>
          <w:iCs/>
          <w:sz w:val="21"/>
          <w:szCs w:val="21"/>
          <w:lang w:val="hy-AM" w:eastAsia="en-US"/>
        </w:rPr>
        <w:lastRenderedPageBreak/>
        <w:t>Գծապատկեր 2.2.</w:t>
      </w:r>
      <w:r w:rsidRPr="00D178DD">
        <w:rPr>
          <w:rFonts w:eastAsia="Calibri"/>
          <w:b w:val="0"/>
          <w:i/>
          <w:iCs/>
          <w:sz w:val="21"/>
          <w:szCs w:val="21"/>
          <w:lang w:val="hy-AM" w:eastAsia="en-US"/>
        </w:rPr>
        <w:t xml:space="preserve"> Պետական բյուջեի եկամուտները, ծախսերը և պակասուրդը, մլրդ դրամ</w:t>
      </w:r>
    </w:p>
    <w:p w:rsidR="00D178DD" w:rsidRPr="00D178DD" w:rsidRDefault="00D178DD" w:rsidP="00D178DD">
      <w:pPr>
        <w:spacing w:before="0" w:line="276" w:lineRule="auto"/>
        <w:ind w:firstLine="0"/>
        <w:contextualSpacing w:val="0"/>
        <w:rPr>
          <w:rFonts w:eastAsia="Calibri"/>
          <w:sz w:val="20"/>
          <w:szCs w:val="22"/>
          <w:lang w:val="hy-AM" w:eastAsia="en-US"/>
        </w:rPr>
      </w:pPr>
      <w:r w:rsidRPr="00D178DD">
        <w:rPr>
          <w:rFonts w:eastAsia="Calibri"/>
          <w:b w:val="0"/>
          <w:noProof/>
          <w:sz w:val="20"/>
          <w:szCs w:val="20"/>
          <w:lang w:val="en-US" w:eastAsia="en-US"/>
        </w:rPr>
        <w:drawing>
          <wp:inline distT="0" distB="0" distL="0" distR="0" wp14:anchorId="6AE67166" wp14:editId="25993E0F">
            <wp:extent cx="2952000" cy="2857500"/>
            <wp:effectExtent l="0" t="0" r="1270" b="0"/>
            <wp:docPr id="103" name="Char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D178DD">
        <w:rPr>
          <w:rFonts w:eastAsia="Calibri"/>
          <w:szCs w:val="22"/>
          <w:lang w:val="hy-AM" w:eastAsia="en-US"/>
        </w:rPr>
        <w:t xml:space="preserve"> </w:t>
      </w:r>
      <w:r w:rsidRPr="00D178DD">
        <w:rPr>
          <w:rFonts w:eastAsia="Calibri"/>
          <w:b w:val="0"/>
          <w:noProof/>
          <w:sz w:val="20"/>
          <w:szCs w:val="20"/>
          <w:lang w:val="en-US" w:eastAsia="en-US"/>
        </w:rPr>
        <w:drawing>
          <wp:inline distT="0" distB="0" distL="0" distR="0" wp14:anchorId="02EE7D6D" wp14:editId="124E6603">
            <wp:extent cx="2952000" cy="2857500"/>
            <wp:effectExtent l="0" t="0" r="1270" b="0"/>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178DD" w:rsidRPr="00D178DD" w:rsidRDefault="00D178DD" w:rsidP="00D178DD">
      <w:pPr>
        <w:spacing w:before="0" w:line="276" w:lineRule="auto"/>
        <w:ind w:firstLine="0"/>
        <w:contextualSpacing w:val="0"/>
        <w:jc w:val="left"/>
        <w:rPr>
          <w:rFonts w:eastAsia="Calibri"/>
          <w:bCs/>
          <w:i/>
          <w:iCs/>
          <w:sz w:val="21"/>
          <w:szCs w:val="21"/>
          <w:lang w:val="hy-AM" w:eastAsia="en-US"/>
        </w:rPr>
      </w:pPr>
    </w:p>
    <w:p w:rsidR="00D178DD" w:rsidRPr="00D178DD" w:rsidRDefault="00D178DD" w:rsidP="00D178DD">
      <w:pPr>
        <w:spacing w:before="0" w:line="276" w:lineRule="auto"/>
        <w:ind w:firstLine="0"/>
        <w:contextualSpacing w:val="0"/>
        <w:jc w:val="left"/>
        <w:rPr>
          <w:rFonts w:eastAsia="Calibri"/>
          <w:b w:val="0"/>
          <w:i/>
          <w:iCs/>
          <w:sz w:val="21"/>
          <w:szCs w:val="21"/>
          <w:lang w:val="hy-AM" w:eastAsia="en-US"/>
        </w:rPr>
      </w:pPr>
      <w:r w:rsidRPr="00D178DD">
        <w:rPr>
          <w:rFonts w:eastAsia="Calibri"/>
          <w:bCs/>
          <w:i/>
          <w:iCs/>
          <w:sz w:val="21"/>
          <w:szCs w:val="21"/>
          <w:lang w:val="hy-AM" w:eastAsia="en-US"/>
        </w:rPr>
        <w:t>Գծապատկեր 2.3.</w:t>
      </w:r>
      <w:r w:rsidRPr="00D178DD">
        <w:rPr>
          <w:rFonts w:eastAsia="Calibri"/>
          <w:b w:val="0"/>
          <w:i/>
          <w:iCs/>
          <w:sz w:val="21"/>
          <w:szCs w:val="21"/>
          <w:lang w:val="hy-AM" w:eastAsia="en-US"/>
        </w:rPr>
        <w:t xml:space="preserve"> Հարկաբյուջետային ազդակը</w:t>
      </w:r>
    </w:p>
    <w:p w:rsidR="00D178DD" w:rsidRPr="00D178DD" w:rsidRDefault="00D178DD" w:rsidP="00D178DD">
      <w:pPr>
        <w:spacing w:before="0" w:line="276" w:lineRule="auto"/>
        <w:ind w:firstLine="0"/>
        <w:contextualSpacing w:val="0"/>
        <w:rPr>
          <w:rFonts w:eastAsia="Calibri"/>
          <w:b w:val="0"/>
          <w:szCs w:val="22"/>
          <w:lang w:val="hy-AM" w:eastAsia="en-US"/>
        </w:rPr>
      </w:pPr>
      <w:r w:rsidRPr="00D178DD">
        <w:rPr>
          <w:rFonts w:eastAsia="Calibri"/>
          <w:b w:val="0"/>
          <w:noProof/>
          <w:szCs w:val="22"/>
          <w:lang w:val="en-US" w:eastAsia="en-US"/>
        </w:rPr>
        <w:drawing>
          <wp:inline distT="0" distB="0" distL="0" distR="0" wp14:anchorId="64AC4965" wp14:editId="4088A366">
            <wp:extent cx="5969000" cy="2228850"/>
            <wp:effectExtent l="0" t="0" r="1270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178DD" w:rsidRPr="00D178DD" w:rsidRDefault="00D178DD" w:rsidP="00D178DD">
      <w:pPr>
        <w:autoSpaceDE w:val="0"/>
        <w:autoSpaceDN w:val="0"/>
        <w:adjustRightInd w:val="0"/>
        <w:spacing w:before="0" w:line="276" w:lineRule="auto"/>
        <w:ind w:firstLine="709"/>
        <w:contextualSpacing w:val="0"/>
        <w:rPr>
          <w:rFonts w:eastAsia="Calibri" w:cs="Arial"/>
          <w:b w:val="0"/>
          <w:bCs/>
          <w:i/>
          <w:iCs/>
          <w:sz w:val="18"/>
          <w:szCs w:val="18"/>
          <w:lang w:val="hy-AM" w:eastAsia="en-US"/>
        </w:rPr>
      </w:pPr>
      <w:r w:rsidRPr="00D178DD">
        <w:rPr>
          <w:rFonts w:eastAsia="Calibri" w:cs="Arial"/>
          <w:b w:val="0"/>
          <w:bCs/>
          <w:i/>
          <w:iCs/>
          <w:sz w:val="18"/>
          <w:szCs w:val="18"/>
          <w:lang w:val="hy-AM" w:eastAsia="en-US"/>
        </w:rPr>
        <w:t>Աղբյուրը՝ ՀՀ ՖՆ գնահատականներ</w:t>
      </w:r>
    </w:p>
    <w:p w:rsidR="00D178DD" w:rsidRPr="00D178DD" w:rsidRDefault="00D178DD" w:rsidP="00D178DD">
      <w:pPr>
        <w:spacing w:before="0" w:line="276" w:lineRule="auto"/>
        <w:ind w:firstLine="709"/>
        <w:contextualSpacing w:val="0"/>
        <w:rPr>
          <w:rFonts w:eastAsia="Calibri"/>
          <w:bCs/>
          <w:i/>
          <w:iCs/>
          <w:sz w:val="21"/>
          <w:szCs w:val="21"/>
          <w:lang w:val="hy-AM" w:eastAsia="en-US"/>
        </w:rPr>
      </w:pPr>
    </w:p>
    <w:p w:rsidR="00D178DD" w:rsidRPr="00D178DD" w:rsidRDefault="00D178DD" w:rsidP="00D178DD">
      <w:pPr>
        <w:spacing w:before="0" w:line="276" w:lineRule="auto"/>
        <w:ind w:firstLine="709"/>
        <w:contextualSpacing w:val="0"/>
        <w:rPr>
          <w:rFonts w:eastAsia="Calibri"/>
          <w:b w:val="0"/>
          <w:i/>
          <w:iCs/>
          <w:sz w:val="21"/>
          <w:szCs w:val="21"/>
          <w:lang w:val="hy-AM" w:eastAsia="en-US"/>
        </w:rPr>
      </w:pPr>
      <w:r w:rsidRPr="00D178DD">
        <w:rPr>
          <w:rFonts w:eastAsia="Calibri"/>
          <w:bCs/>
          <w:i/>
          <w:iCs/>
          <w:sz w:val="21"/>
          <w:szCs w:val="21"/>
          <w:lang w:val="hy-AM" w:eastAsia="en-US"/>
        </w:rPr>
        <w:t>Գծապատկեր 2.4.</w:t>
      </w:r>
      <w:r w:rsidRPr="00D178DD">
        <w:rPr>
          <w:rFonts w:eastAsia="Calibri"/>
          <w:b w:val="0"/>
          <w:i/>
          <w:iCs/>
          <w:sz w:val="21"/>
          <w:szCs w:val="21"/>
          <w:lang w:val="hy-AM" w:eastAsia="en-US"/>
        </w:rPr>
        <w:t xml:space="preserve"> 2022 թվականին վերադարձը «Ոսկե կանոնների» պահպանմանը</w:t>
      </w:r>
    </w:p>
    <w:p w:rsidR="00D178DD" w:rsidRPr="00D178DD" w:rsidRDefault="00D178DD" w:rsidP="00D178DD">
      <w:pPr>
        <w:spacing w:before="0" w:line="240" w:lineRule="auto"/>
        <w:ind w:firstLine="0"/>
        <w:contextualSpacing w:val="0"/>
        <w:jc w:val="center"/>
        <w:rPr>
          <w:rFonts w:eastAsia="Calibri"/>
          <w:b w:val="0"/>
          <w:noProof/>
          <w:sz w:val="20"/>
          <w:szCs w:val="20"/>
          <w:lang w:val="hy-AM" w:eastAsia="en-US"/>
        </w:rPr>
      </w:pPr>
      <w:r w:rsidRPr="00D178DD">
        <w:rPr>
          <w:rFonts w:eastAsia="Calibri"/>
          <w:b w:val="0"/>
          <w:noProof/>
          <w:sz w:val="20"/>
          <w:szCs w:val="20"/>
          <w:lang w:val="en-US" w:eastAsia="en-US"/>
        </w:rPr>
        <w:drawing>
          <wp:inline distT="0" distB="0" distL="0" distR="0" wp14:anchorId="54F1559F" wp14:editId="496E9F3C">
            <wp:extent cx="2916000" cy="2700000"/>
            <wp:effectExtent l="0" t="0" r="17780" b="5715"/>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D178DD">
        <w:rPr>
          <w:rFonts w:eastAsia="Calibri"/>
          <w:b w:val="0"/>
          <w:noProof/>
          <w:sz w:val="20"/>
          <w:szCs w:val="20"/>
          <w:lang w:val="hy-AM" w:eastAsia="en-US"/>
        </w:rPr>
        <w:t xml:space="preserve"> </w:t>
      </w:r>
      <w:r w:rsidRPr="00D178DD">
        <w:rPr>
          <w:rFonts w:eastAsia="Calibri"/>
          <w:b w:val="0"/>
          <w:noProof/>
          <w:sz w:val="20"/>
          <w:szCs w:val="20"/>
          <w:lang w:val="en-US" w:eastAsia="en-US"/>
        </w:rPr>
        <w:drawing>
          <wp:inline distT="0" distB="0" distL="0" distR="0" wp14:anchorId="33DF9EE8" wp14:editId="24E00984">
            <wp:extent cx="2916000" cy="2700000"/>
            <wp:effectExtent l="0" t="0" r="17780" b="571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178DD" w:rsidRPr="00D178DD" w:rsidRDefault="00D178DD" w:rsidP="00D1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D178DD">
        <w:rPr>
          <w:rFonts w:eastAsia="Calibri" w:cs="Arial"/>
          <w:b w:val="0"/>
          <w:bCs/>
          <w:i/>
          <w:iCs/>
          <w:sz w:val="20"/>
          <w:szCs w:val="20"/>
          <w:lang w:val="hy-AM" w:eastAsia="en-US"/>
        </w:rPr>
        <w:t>Աղբյուրը՝ ՀՀ ՖՆ</w:t>
      </w:r>
    </w:p>
    <w:p w:rsidR="00D178DD" w:rsidRPr="00D178DD" w:rsidRDefault="00D178DD" w:rsidP="00D1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p>
    <w:p w:rsidR="00D178DD" w:rsidRPr="00D178DD" w:rsidRDefault="00D178DD" w:rsidP="00D178DD">
      <w:pPr>
        <w:spacing w:line="276" w:lineRule="auto"/>
        <w:rPr>
          <w:rFonts w:eastAsia="Calibri"/>
          <w:bCs/>
          <w:lang w:val="hy-AM"/>
        </w:rPr>
      </w:pPr>
      <w:r w:rsidRPr="00D178DD">
        <w:rPr>
          <w:rFonts w:eastAsia="Calibri"/>
          <w:bCs/>
          <w:lang w:val="hy-AM"/>
        </w:rPr>
        <w:t>2022-2023 թվականներին կշարունակվի 2021թ</w:t>
      </w:r>
      <w:r w:rsidRPr="00D178DD">
        <w:rPr>
          <w:rFonts w:ascii="Cambria Math" w:eastAsia="Calibri" w:hAnsi="Cambria Math" w:cs="Cambria Math"/>
          <w:bCs/>
          <w:lang w:val="hy-AM"/>
        </w:rPr>
        <w:t>․</w:t>
      </w:r>
      <w:r w:rsidRPr="00D178DD">
        <w:rPr>
          <w:rFonts w:eastAsia="Calibri"/>
          <w:bCs/>
          <w:lang w:val="hy-AM"/>
        </w:rPr>
        <w:t xml:space="preserve">-ից սկսված հարկաբյուջետային կոնսոլիդացիան, ինչի արդյունքում կառավարության պարտքը զգալիորեն կնվազի։ </w:t>
      </w:r>
      <w:r w:rsidRPr="00D178DD">
        <w:rPr>
          <w:rFonts w:eastAsia="Calibri"/>
          <w:b w:val="0"/>
          <w:bCs/>
          <w:lang w:val="hy-AM"/>
        </w:rPr>
        <w:t>2022թ</w:t>
      </w:r>
      <w:r w:rsidRPr="00D178DD">
        <w:rPr>
          <w:rFonts w:ascii="Cambria Math" w:eastAsia="Calibri" w:hAnsi="Cambria Math" w:cs="Cambria Math"/>
          <w:b w:val="0"/>
          <w:bCs/>
          <w:lang w:val="hy-AM"/>
        </w:rPr>
        <w:t>․</w:t>
      </w:r>
      <w:r w:rsidRPr="00D178DD">
        <w:rPr>
          <w:rFonts w:eastAsia="Calibri"/>
          <w:b w:val="0"/>
          <w:bCs/>
          <w:lang w:val="hy-AM"/>
        </w:rPr>
        <w:t>-ին ՀՀ կառավարության պարտք/ՀՆԱ ցուցանիշը կկազմի 50.1%, իսկ 2023թ</w:t>
      </w:r>
      <w:r w:rsidRPr="00D178DD">
        <w:rPr>
          <w:rFonts w:ascii="Cambria Math" w:eastAsia="Calibri" w:hAnsi="Cambria Math" w:cs="Cambria Math"/>
          <w:b w:val="0"/>
          <w:bCs/>
          <w:lang w:val="hy-AM"/>
        </w:rPr>
        <w:t>․</w:t>
      </w:r>
      <w:r w:rsidRPr="00D178DD">
        <w:rPr>
          <w:rFonts w:eastAsia="Calibri"/>
          <w:b w:val="0"/>
          <w:bCs/>
          <w:lang w:val="hy-AM"/>
        </w:rPr>
        <w:t>-ին՝ 49.8%:</w:t>
      </w:r>
    </w:p>
    <w:p w:rsidR="00D178DD" w:rsidRPr="00D178DD" w:rsidRDefault="00D178DD" w:rsidP="00D178DD">
      <w:pPr>
        <w:spacing w:line="276" w:lineRule="auto"/>
        <w:rPr>
          <w:b w:val="0"/>
          <w:lang w:val="hy-AM"/>
        </w:rPr>
      </w:pPr>
      <w:r w:rsidRPr="00D178DD">
        <w:rPr>
          <w:rFonts w:eastAsia="Calibri"/>
          <w:b w:val="0"/>
          <w:bCs/>
          <w:lang w:val="hy-AM"/>
        </w:rPr>
        <w:t>2022թ</w:t>
      </w:r>
      <w:r w:rsidRPr="00D178DD">
        <w:rPr>
          <w:rFonts w:ascii="Cambria Math" w:eastAsia="Calibri" w:hAnsi="Cambria Math" w:cs="Cambria Math"/>
          <w:b w:val="0"/>
          <w:bCs/>
          <w:lang w:val="hy-AM"/>
        </w:rPr>
        <w:t>․</w:t>
      </w:r>
      <w:r w:rsidRPr="00D178DD">
        <w:rPr>
          <w:rFonts w:eastAsia="Calibri"/>
          <w:b w:val="0"/>
          <w:bCs/>
          <w:lang w:val="hy-AM"/>
        </w:rPr>
        <w:t>-ին ՀՀ կառավարության պարտք/ՀՆԱ ցուցանիշի նվազմանը նպաստող հիմնական գործոնները կլինեն բարձր տնտեսական աճը և դրամի փոխարժեքի արժևորումը, իսկ 2023թ</w:t>
      </w:r>
      <w:r w:rsidRPr="00D178DD">
        <w:rPr>
          <w:rFonts w:ascii="Cambria Math" w:eastAsia="Calibri" w:hAnsi="Cambria Math" w:cs="Cambria Math"/>
          <w:b w:val="0"/>
          <w:bCs/>
          <w:lang w:val="hy-AM"/>
        </w:rPr>
        <w:t>․</w:t>
      </w:r>
      <w:r w:rsidRPr="00D178DD">
        <w:rPr>
          <w:rFonts w:eastAsia="Calibri"/>
          <w:b w:val="0"/>
          <w:bCs/>
          <w:lang w:val="hy-AM"/>
        </w:rPr>
        <w:t>-ին՝ տնտեսական աճը</w:t>
      </w:r>
      <w:r w:rsidRPr="00D178DD">
        <w:rPr>
          <w:b w:val="0"/>
          <w:lang w:val="hy-AM"/>
        </w:rPr>
        <w:t xml:space="preserve">։ </w:t>
      </w:r>
    </w:p>
    <w:p w:rsidR="00D178DD" w:rsidRPr="00D178DD" w:rsidRDefault="00D178DD" w:rsidP="00D178DD">
      <w:pPr>
        <w:autoSpaceDE w:val="0"/>
        <w:autoSpaceDN w:val="0"/>
        <w:adjustRightInd w:val="0"/>
        <w:spacing w:before="0" w:after="160" w:line="240" w:lineRule="auto"/>
        <w:ind w:firstLine="709"/>
        <w:contextualSpacing w:val="0"/>
        <w:rPr>
          <w:rFonts w:eastAsia="Calibri" w:cs="GHEA Grapalat"/>
          <w:b w:val="0"/>
          <w:i/>
          <w:szCs w:val="22"/>
          <w:lang w:val="hy-AM" w:eastAsia="en-US"/>
        </w:rPr>
      </w:pPr>
      <w:r w:rsidRPr="00D178DD">
        <w:rPr>
          <w:rFonts w:eastAsia="Calibri" w:cs="GHEA Grapalat"/>
          <w:i/>
          <w:szCs w:val="22"/>
          <w:lang w:val="hy-AM" w:eastAsia="en-US"/>
        </w:rPr>
        <w:t>Գծապատկեր 2.5.</w:t>
      </w:r>
      <w:r w:rsidRPr="00D178DD">
        <w:rPr>
          <w:rFonts w:eastAsia="Calibri" w:cs="GHEA Grapalat"/>
          <w:b w:val="0"/>
          <w:i/>
          <w:szCs w:val="22"/>
          <w:lang w:val="hy-AM" w:eastAsia="en-US"/>
        </w:rPr>
        <w:t xml:space="preserve"> ՀՀ կառավարության պարտքի դինամիկան և այն պայմանավորող գործոնները</w:t>
      </w:r>
      <w:r w:rsidRPr="00D178DD">
        <w:rPr>
          <w:rFonts w:ascii="Arial Armenian" w:eastAsia="Calibri" w:hAnsi="Arial Armenian" w:cs="GHEA Grapalat"/>
          <w:b w:val="0"/>
          <w:i/>
          <w:sz w:val="20"/>
          <w:szCs w:val="20"/>
          <w:vertAlign w:val="superscript"/>
          <w:lang w:val="hy-AM" w:eastAsia="en-US"/>
        </w:rPr>
        <w:footnoteReference w:id="13"/>
      </w:r>
      <w:r w:rsidRPr="00D178DD">
        <w:rPr>
          <w:rFonts w:eastAsia="Calibri" w:cs="GHEA Grapalat"/>
          <w:b w:val="0"/>
          <w:i/>
          <w:szCs w:val="22"/>
          <w:lang w:val="hy-AM" w:eastAsia="en-US"/>
        </w:rPr>
        <w:t xml:space="preserve"> </w:t>
      </w:r>
    </w:p>
    <w:p w:rsidR="00D178DD" w:rsidRPr="00D178DD" w:rsidRDefault="00D178DD" w:rsidP="00D178DD">
      <w:pPr>
        <w:autoSpaceDE w:val="0"/>
        <w:autoSpaceDN w:val="0"/>
        <w:adjustRightInd w:val="0"/>
        <w:spacing w:before="0" w:after="160" w:line="240" w:lineRule="auto"/>
        <w:ind w:firstLine="0"/>
        <w:contextualSpacing w:val="0"/>
        <w:rPr>
          <w:rFonts w:eastAsia="Calibri" w:cs="GHEA Grapalat"/>
          <w:b w:val="0"/>
          <w:szCs w:val="22"/>
          <w:lang w:val="hy-AM" w:eastAsia="en-US"/>
        </w:rPr>
      </w:pPr>
      <w:r w:rsidRPr="00D178DD">
        <w:rPr>
          <w:rFonts w:eastAsia="Calibri" w:cs="GHEA Grapalat"/>
          <w:b w:val="0"/>
          <w:szCs w:val="22"/>
          <w:lang w:val="hy-AM" w:eastAsia="en-US"/>
        </w:rPr>
        <w:t xml:space="preserve">  </w:t>
      </w:r>
      <w:r w:rsidRPr="00D178DD">
        <w:rPr>
          <w:rFonts w:ascii="Calibri" w:eastAsia="Calibri" w:hAnsi="Calibri"/>
          <w:noProof/>
          <w:szCs w:val="22"/>
          <w:lang w:val="en-US" w:eastAsia="en-US"/>
        </w:rPr>
        <w:drawing>
          <wp:inline distT="0" distB="0" distL="0" distR="0" wp14:anchorId="41D9E19F" wp14:editId="5EB17457">
            <wp:extent cx="2844000" cy="2879725"/>
            <wp:effectExtent l="0" t="0" r="13970" b="158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D178DD">
        <w:rPr>
          <w:noProof/>
          <w:lang w:val="en-US" w:eastAsia="en-US"/>
        </w:rPr>
        <w:drawing>
          <wp:inline distT="0" distB="0" distL="0" distR="0" wp14:anchorId="58C916CE" wp14:editId="357CB793">
            <wp:extent cx="2964815" cy="2886075"/>
            <wp:effectExtent l="0" t="0" r="6985" b="9525"/>
            <wp:docPr id="30"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178DD" w:rsidRPr="00D178DD" w:rsidRDefault="00D178DD" w:rsidP="00D178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D178DD">
        <w:rPr>
          <w:rFonts w:eastAsia="Calibri" w:cs="Arial"/>
          <w:b w:val="0"/>
          <w:bCs/>
          <w:i/>
          <w:iCs/>
          <w:sz w:val="20"/>
          <w:szCs w:val="20"/>
          <w:lang w:val="hy-AM" w:eastAsia="en-US"/>
        </w:rPr>
        <w:t>Աղբյուրը՝ ՀՀ ՖՆ</w:t>
      </w:r>
    </w:p>
    <w:p w:rsidR="00D178DD" w:rsidRPr="00D178DD" w:rsidRDefault="00D178DD" w:rsidP="00D178DD">
      <w:pPr>
        <w:spacing w:before="0" w:line="276" w:lineRule="auto"/>
        <w:ind w:firstLine="709"/>
        <w:contextualSpacing w:val="0"/>
        <w:rPr>
          <w:rFonts w:eastAsia="Calibri" w:cs="Arial"/>
          <w:b w:val="0"/>
          <w:bCs/>
          <w:i/>
          <w:iCs/>
          <w:sz w:val="20"/>
          <w:szCs w:val="20"/>
          <w:lang w:val="hy-AM" w:eastAsia="en-US"/>
        </w:rPr>
      </w:pPr>
    </w:p>
    <w:p w:rsidR="00D178DD" w:rsidRPr="00D178DD" w:rsidRDefault="00D178DD" w:rsidP="00D178DD">
      <w:pPr>
        <w:keepNext/>
        <w:keepLines/>
        <w:spacing w:before="0" w:line="312" w:lineRule="auto"/>
        <w:contextualSpacing w:val="0"/>
        <w:jc w:val="left"/>
        <w:outlineLvl w:val="2"/>
        <w:rPr>
          <w:sz w:val="24"/>
          <w:lang w:val="hy-AM" w:eastAsia="en-US"/>
        </w:rPr>
      </w:pPr>
      <w:bookmarkStart w:id="104" w:name="_Toc45840842"/>
      <w:bookmarkStart w:id="105" w:name="_Toc45841159"/>
      <w:bookmarkStart w:id="106" w:name="_Toc45838526"/>
      <w:bookmarkStart w:id="107" w:name="_Toc46154354"/>
      <w:bookmarkStart w:id="108" w:name="_Toc52452094"/>
      <w:bookmarkStart w:id="109" w:name="_Toc52188795"/>
      <w:bookmarkStart w:id="110" w:name="_Toc57655455"/>
      <w:bookmarkStart w:id="111" w:name="_Toc83199223"/>
      <w:bookmarkStart w:id="112" w:name="_Toc83972839"/>
      <w:bookmarkStart w:id="113" w:name="_Toc115686027"/>
      <w:bookmarkStart w:id="114" w:name="_Toc120805201"/>
      <w:bookmarkStart w:id="115" w:name="_Toc165901413"/>
      <w:bookmarkEnd w:id="104"/>
      <w:bookmarkEnd w:id="105"/>
      <w:r w:rsidRPr="00D178DD">
        <w:rPr>
          <w:sz w:val="24"/>
          <w:lang w:val="hy-AM" w:eastAsia="en-US"/>
        </w:rPr>
        <w:t>2.3. ՀԱՐԿԱԲՅՈՒՋԵՏԱՅԻՆ ՌԻՍԿԵՐ</w:t>
      </w:r>
      <w:bookmarkEnd w:id="106"/>
      <w:bookmarkEnd w:id="107"/>
      <w:bookmarkEnd w:id="108"/>
      <w:bookmarkEnd w:id="109"/>
      <w:bookmarkEnd w:id="110"/>
      <w:bookmarkEnd w:id="111"/>
      <w:bookmarkEnd w:id="112"/>
      <w:bookmarkEnd w:id="113"/>
      <w:bookmarkEnd w:id="114"/>
      <w:bookmarkEnd w:id="115"/>
    </w:p>
    <w:p w:rsidR="00D178DD" w:rsidRPr="00D178DD" w:rsidRDefault="00D178DD" w:rsidP="00D178DD">
      <w:pPr>
        <w:spacing w:before="0" w:after="120" w:line="276" w:lineRule="auto"/>
        <w:ind w:firstLine="709"/>
        <w:contextualSpacing w:val="0"/>
        <w:rPr>
          <w:rFonts w:eastAsia="Calibri"/>
          <w:b w:val="0"/>
          <w:szCs w:val="22"/>
          <w:lang w:val="hy-AM" w:eastAsia="en-US"/>
        </w:rPr>
      </w:pPr>
      <w:r w:rsidRPr="00D178DD">
        <w:rPr>
          <w:rFonts w:eastAsia="Calibri"/>
          <w:b w:val="0"/>
          <w:szCs w:val="22"/>
          <w:lang w:val="hy-AM" w:eastAsia="en-US"/>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D178DD">
        <w:rPr>
          <w:rFonts w:eastAsia="Calibri"/>
          <w:b w:val="0"/>
          <w:szCs w:val="22"/>
          <w:vertAlign w:val="superscript"/>
          <w:lang w:val="hy-AM" w:eastAsia="en-US"/>
        </w:rPr>
        <w:footnoteReference w:id="14"/>
      </w:r>
      <w:r w:rsidRPr="00D178DD">
        <w:rPr>
          <w:rFonts w:eastAsia="Calibri"/>
          <w:b w:val="0"/>
          <w:szCs w:val="22"/>
          <w:lang w:val="hy-AM" w:eastAsia="en-US"/>
        </w:rPr>
        <w:t>: Ինչպես ցանկացած կանխատեսում, հարկաբյուջետային կանխատեսումները նույնպես պարունակում են ռիսկեր առ այն, որ փաստացի իրադարձությունները կարող են տարբերվել սպասումներից: 2021 թվականի պետական բյուջեի հիմքում ընկած հիմնական մակրոտնտեսական հարկաբյուջետային ռիսկերը հետևյալն են՝</w:t>
      </w:r>
    </w:p>
    <w:p w:rsidR="00D178DD" w:rsidRPr="00D178DD" w:rsidRDefault="00D178DD" w:rsidP="00D178DD">
      <w:pPr>
        <w:numPr>
          <w:ilvl w:val="0"/>
          <w:numId w:val="31"/>
        </w:numPr>
        <w:spacing w:before="0" w:after="160" w:line="276" w:lineRule="auto"/>
        <w:ind w:left="567" w:hanging="283"/>
        <w:contextualSpacing w:val="0"/>
        <w:rPr>
          <w:b w:val="0"/>
          <w:bCs/>
          <w:lang w:val="hy-AM"/>
        </w:rPr>
      </w:pPr>
      <w:r w:rsidRPr="00D178DD">
        <w:rPr>
          <w:bCs/>
          <w:lang w:val="hy-AM"/>
        </w:rPr>
        <w:t>Ռուս-Ուկրաինական հակամարտության հնարավոր ազդեցությունները</w:t>
      </w:r>
      <w:r w:rsidRPr="00D178DD">
        <w:rPr>
          <w:lang w:val="hy-AM"/>
        </w:rPr>
        <w:t xml:space="preserve">: </w:t>
      </w:r>
      <w:r w:rsidRPr="00D178DD">
        <w:rPr>
          <w:b w:val="0"/>
          <w:lang w:val="hy-AM"/>
        </w:rPr>
        <w:t xml:space="preserve">2022թ. փետրվարից սրված ռուս-ուկրաինական հակամարտության և դրա հետևանքով ՌԴ-ի նկատմամբ կիրառվող աննախադեպ պատժամիջոցների արդյունքում էապես մեծացել են </w:t>
      </w:r>
      <w:r w:rsidRPr="00D178DD">
        <w:rPr>
          <w:b w:val="0"/>
          <w:lang w:val="hy-AM"/>
        </w:rPr>
        <w:lastRenderedPageBreak/>
        <w:t>դեպի ՀՀ ՌԴ քաղաքացիների, ինչպես նաև արտարժույթի ներհոսքը, ինչը էականորեն արագացրել է ՀՀ տնտեսական ակտիվության աճը</w:t>
      </w:r>
      <w:r w:rsidRPr="00D178DD">
        <w:rPr>
          <w:b w:val="0"/>
          <w:bCs/>
          <w:lang w:val="hy-AM"/>
        </w:rPr>
        <w:t>։ Այդ գործոնները սակայն, կարող են ժամանակավոր լինել և դրանց դադարեցման պայմաններում կառաջանան տնտեսական աճի դանդաղման, հետևաբար նաև հարկային եկամուտների՝ կանխատեսվածից ցածր լինելու ռիսկեր:</w:t>
      </w:r>
      <w:r w:rsidRPr="00D178DD">
        <w:rPr>
          <w:lang w:val="hy-AM"/>
        </w:rPr>
        <w:t xml:space="preserve"> </w:t>
      </w:r>
    </w:p>
    <w:p w:rsidR="00D178DD" w:rsidRPr="00D178DD" w:rsidRDefault="00D178DD" w:rsidP="00D178DD">
      <w:pPr>
        <w:numPr>
          <w:ilvl w:val="0"/>
          <w:numId w:val="31"/>
        </w:numPr>
        <w:spacing w:line="276" w:lineRule="auto"/>
        <w:ind w:left="567" w:hanging="283"/>
        <w:rPr>
          <w:lang w:val="hy-AM"/>
        </w:rPr>
      </w:pPr>
      <w:r w:rsidRPr="00D178DD">
        <w:rPr>
          <w:lang w:val="hy-AM"/>
        </w:rPr>
        <w:t xml:space="preserve">Կապիտալ ծախսերի թերակատարում: </w:t>
      </w:r>
      <w:r w:rsidRPr="00D178DD">
        <w:rPr>
          <w:b w:val="0"/>
          <w:lang w:val="hy-AM"/>
        </w:rPr>
        <w:t>2023թ. բյուջեի հիմքում դրված սցենարում նախատեսվել է կապիտալ ծախսերի զգալի բարձր մակարդակ՝ ՀՆԱ-ի 5.9%-ի չափով: Սակայն հաշվի առնելով նախորդ տարիների փաստացի կատարողականները (չնայած այն հանգամանքին, որ առկա է եղել կատարողականների բարելավման միտում), առկա է ծրագրավորված ցուցանիշների թերակատարման ռիսկ, ինչը կարող է բացասական ազդեցություն ունենալ տնտեսական աճի վրա, ինչպես նաև ազդել հարկաբյուջետային շրջանակի ցուցանիշների վրա:</w:t>
      </w:r>
      <w:r w:rsidRPr="00D178DD">
        <w:rPr>
          <w:lang w:val="hy-AM"/>
        </w:rPr>
        <w:t xml:space="preserve"> </w:t>
      </w:r>
    </w:p>
    <w:p w:rsidR="00D178DD" w:rsidRPr="00D178DD" w:rsidRDefault="00FB546F" w:rsidP="00D178DD">
      <w:pPr>
        <w:numPr>
          <w:ilvl w:val="0"/>
          <w:numId w:val="31"/>
        </w:numPr>
        <w:spacing w:after="120" w:line="276" w:lineRule="auto"/>
        <w:ind w:left="568" w:hanging="284"/>
        <w:contextualSpacing w:val="0"/>
        <w:rPr>
          <w:b w:val="0"/>
          <w:lang w:val="hy-AM"/>
        </w:rPr>
      </w:pPr>
      <w:r w:rsidRPr="00FB546F">
        <w:rPr>
          <w:bCs/>
          <w:lang w:val="hy-AM"/>
        </w:rPr>
        <w:t>Ղարաբաղ</w:t>
      </w:r>
      <w:r w:rsidR="00D178DD" w:rsidRPr="00D178DD">
        <w:rPr>
          <w:bCs/>
          <w:lang w:val="hy-AM"/>
        </w:rPr>
        <w:t>յան պատերազմի և համավարակի հետևանքների մեղմանն ուղղված ՀՀ կառավարության միջոցառումների ընթացքը։</w:t>
      </w:r>
      <w:r w:rsidR="00D178DD" w:rsidRPr="00D178DD">
        <w:rPr>
          <w:b w:val="0"/>
          <w:lang w:val="hy-AM"/>
        </w:rPr>
        <w:t xml:space="preserve"> </w:t>
      </w:r>
      <w:r w:rsidRPr="00FB546F">
        <w:rPr>
          <w:b w:val="0"/>
          <w:lang w:val="hy-AM"/>
        </w:rPr>
        <w:t>Ղարաբաղ</w:t>
      </w:r>
      <w:r w:rsidR="00D178DD" w:rsidRPr="00D178DD">
        <w:rPr>
          <w:b w:val="0"/>
          <w:lang w:val="hy-AM"/>
        </w:rPr>
        <w:t xml:space="preserve">յան պատերազմի հետևանքները դեռևս պահպանվում են և դրանց մեղմանն ուղղությամբ հնարավոր է առաջիկայում նախատեսվեն լրացուցիչ միջոցառումներ՝ առաջացնելով պետական բյուջեի լրացուցիչ ֆինանսավորման կարիք: </w:t>
      </w:r>
      <w:r w:rsidR="00D178DD" w:rsidRPr="00D178DD">
        <w:rPr>
          <w:b w:val="0"/>
          <w:bCs/>
          <w:lang w:val="hy-AM"/>
        </w:rPr>
        <w:t>Միևնույն ժամանակ Թեև 2022թ. մարտից COVID-19 համավարակի հետ կապված իրավիճակն էականորեն բարելավվել է, համավարակի նոր ալիքի ի հայտ գալու հավանականությունը դեռևս առկա է, ինչը ստեղծում է ռիսկեր համավարակի բացասական ազդեցություններին հակազդման ուղղված սոցիալ-տնտեսական միջոցառումների իրականացման կարիքի առաջացման ուղղությամբ:</w:t>
      </w:r>
    </w:p>
    <w:p w:rsidR="00D178DD" w:rsidRPr="00D178DD" w:rsidRDefault="00D178DD" w:rsidP="00D178DD">
      <w:pPr>
        <w:spacing w:after="120" w:line="276" w:lineRule="auto"/>
        <w:ind w:firstLine="0"/>
        <w:contextualSpacing w:val="0"/>
        <w:rPr>
          <w:lang w:val="hy-AM"/>
        </w:rPr>
      </w:pPr>
      <w:r w:rsidRPr="00D178DD">
        <w:rPr>
          <w:lang w:val="hy-AM"/>
        </w:rPr>
        <w:t>Հարկաբյուջետային շրջանակի հնարավոր փոփոխությունները մակրոտնտեսական կանխատեսումների շեղումների դեպքում և սթրես թեստերի ներքո</w:t>
      </w:r>
      <w:r w:rsidRPr="00D178DD">
        <w:rPr>
          <w:vertAlign w:val="superscript"/>
          <w:lang w:val="hy-AM"/>
        </w:rPr>
        <w:footnoteReference w:id="15"/>
      </w:r>
      <w:r w:rsidRPr="00D178DD">
        <w:rPr>
          <w:lang w:val="hy-AM"/>
        </w:rPr>
        <w:t>.</w:t>
      </w:r>
    </w:p>
    <w:p w:rsidR="00D178DD" w:rsidRPr="00D178DD" w:rsidRDefault="00D178DD" w:rsidP="00D178DD">
      <w:pPr>
        <w:numPr>
          <w:ilvl w:val="0"/>
          <w:numId w:val="64"/>
        </w:numPr>
        <w:spacing w:after="120" w:line="276" w:lineRule="auto"/>
        <w:ind w:left="567" w:hanging="283"/>
        <w:contextualSpacing w:val="0"/>
        <w:rPr>
          <w:b w:val="0"/>
          <w:lang w:val="hy-AM"/>
        </w:rPr>
      </w:pPr>
      <w:r w:rsidRPr="00D178DD">
        <w:rPr>
          <w:lang w:val="hy-AM"/>
        </w:rPr>
        <w:t>Հարկային եկամուտներ:</w:t>
      </w:r>
      <w:r w:rsidRPr="00D178DD">
        <w:rPr>
          <w:b w:val="0"/>
          <w:lang w:val="hy-AM"/>
        </w:rPr>
        <w:t xml:space="preserve"> Կարճաժամկետ հորիզոնում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2023 թվականին կկազմի շուրջ 22.5 մլրդ ՀՀ դրամ:</w:t>
      </w:r>
    </w:p>
    <w:p w:rsidR="00D178DD" w:rsidRPr="00D178DD" w:rsidRDefault="00D178DD" w:rsidP="00D178DD">
      <w:pPr>
        <w:numPr>
          <w:ilvl w:val="0"/>
          <w:numId w:val="64"/>
        </w:numPr>
        <w:spacing w:before="0" w:after="120" w:line="276" w:lineRule="auto"/>
        <w:ind w:left="567" w:firstLine="0"/>
        <w:contextualSpacing w:val="0"/>
        <w:rPr>
          <w:rFonts w:eastAsia="Calibri"/>
          <w:b w:val="0"/>
          <w:szCs w:val="22"/>
          <w:lang w:val="hy-AM" w:eastAsia="en-US"/>
        </w:rPr>
      </w:pPr>
      <w:r w:rsidRPr="00D178DD">
        <w:rPr>
          <w:lang w:val="hy-AM"/>
        </w:rPr>
        <w:t>Պետական բյուջեի ծախսեր:</w:t>
      </w:r>
      <w:r w:rsidRPr="00D178DD">
        <w:rPr>
          <w:b w:val="0"/>
          <w:lang w:val="hy-AM"/>
        </w:rPr>
        <w:t xml:space="preserve">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2023 թվականին ՀՀ պետական բյուջեի դեֆիցիտի լրացուցիչ </w:t>
      </w:r>
      <w:r w:rsidRPr="00D178DD">
        <w:rPr>
          <w:b w:val="0"/>
          <w:lang w:val="hy-AM"/>
        </w:rPr>
        <w:lastRenderedPageBreak/>
        <w:t xml:space="preserve">ֆինանսավորման պահանջը կկազմի շուրջ </w:t>
      </w:r>
      <w:r w:rsidRPr="00D178DD">
        <w:rPr>
          <w:rFonts w:cs="Sylfaen"/>
          <w:b w:val="0"/>
          <w:lang w:val="hy-AM"/>
        </w:rPr>
        <w:t>40.5 մլրդ ՀՀ դրամ կամ ՀՆԱ-ի 0.4%-ը:</w:t>
      </w:r>
      <w:r w:rsidRPr="00D178DD">
        <w:rPr>
          <w:b w:val="0"/>
          <w:lang w:val="hy-AM"/>
        </w:rPr>
        <w:t xml:space="preserve"> Ընդ որում` ՀՀ կառա</w:t>
      </w:r>
      <w:r w:rsidRPr="00D178DD">
        <w:rPr>
          <w:b w:val="0"/>
          <w:lang w:val="hy-AM"/>
        </w:rPr>
        <w:softHyphen/>
        <w:t>վարու</w:t>
      </w:r>
      <w:r w:rsidRPr="00D178DD">
        <w:rPr>
          <w:b w:val="0"/>
          <w:lang w:val="hy-AM"/>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rsidR="00D178DD" w:rsidRPr="00D178DD" w:rsidRDefault="00D178DD" w:rsidP="00D178DD">
      <w:pPr>
        <w:numPr>
          <w:ilvl w:val="0"/>
          <w:numId w:val="64"/>
        </w:numPr>
        <w:spacing w:before="0" w:after="120" w:line="276" w:lineRule="auto"/>
        <w:rPr>
          <w:rFonts w:eastAsia="Calibri"/>
          <w:b w:val="0"/>
          <w:szCs w:val="22"/>
          <w:lang w:val="hy-AM" w:eastAsia="en-US"/>
        </w:rPr>
      </w:pPr>
      <w:r w:rsidRPr="00D178DD">
        <w:rPr>
          <w:rFonts w:eastAsia="Calibri"/>
          <w:szCs w:val="22"/>
          <w:lang w:val="hy-AM" w:eastAsia="en-US"/>
        </w:rPr>
        <w:t>Կառավարության պարտք։</w:t>
      </w:r>
      <w:r w:rsidRPr="00D178DD">
        <w:rPr>
          <w:rFonts w:eastAsia="Calibri"/>
          <w:b w:val="0"/>
          <w:szCs w:val="22"/>
          <w:lang w:val="hy-AM" w:eastAsia="en-US"/>
        </w:rPr>
        <w:t xml:space="preserve"> ՀՀ կառավարության պարտքի կայունության վերլուծությունները վկայում են, որ թեպետ  վերջինս կայուն է, կառավարելի և ցածր ռիսկային, զգայուն է տնտեսական աճի և փոխարժեքի շոկերի նկատմամբ (տե՛ս 2023-2025թթ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պետական ՄԺԾԾ, Վերլուծություններ, ՀՀ կառավարության պարտքի կայունության վերլուծություն)։ Այդ տեսակետից, գնահատված տնտեսական աճի և փոխարժեքի ռիսկերի պայմաններում հաշվարկվել է կանխատեսումներից կառավարության պարտքի հնարավոր շեղման չափը։ Հաշվարկները ցույց են տվել, որ տնտեսական աճի ենթադրվող շոկի (3%-ային կետով դանդաղում) պայմաններում ՀՀ կառավարության պարտք/ՀՆԱ հարաբերակցությունը 2023թ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 xml:space="preserve">-ին կկազմի 51.2%, փոխարժեքի շոկի դեպքում (վերադարձ դեպի 1 դոլարի դիմաց 480 դրամի մակարդակի)՝  52.6%, իսկ դրանց համադրման դեպքում՝ 54.6%՝ ցածր մնալով 60% սահմանային շեմից։ Միաժամանակ, գնաճի համար ենթադրվող շոկը (2%-ային կետով ավելի բարձր գնաճ) մասամբ կչեզոքացնի տնտեսական աճի շոկից եկող ազդեցությունը։ </w:t>
      </w:r>
    </w:p>
    <w:p w:rsidR="00D178DD" w:rsidRPr="00D178DD" w:rsidRDefault="00D178DD" w:rsidP="00D178DD">
      <w:pPr>
        <w:spacing w:before="0" w:after="120" w:line="276" w:lineRule="auto"/>
        <w:contextualSpacing w:val="0"/>
        <w:rPr>
          <w:rFonts w:eastAsia="Calibri"/>
          <w:b w:val="0"/>
          <w:szCs w:val="22"/>
          <w:lang w:val="hy-AM" w:eastAsia="en-US"/>
        </w:rPr>
      </w:pPr>
      <w:r w:rsidRPr="00D178DD">
        <w:rPr>
          <w:b w:val="0"/>
          <w:lang w:val="hy-AM"/>
        </w:rPr>
        <w:t>Ամփոփելով հարկաբյուջետային ռիսկերի նկարագրությունը կարող ենք նշել, որ ինչպես 2020թ. ճգնաժամային իրավիճակով և դրա դրսևորումների շարունակությամբ, այնպես էլ 2022թ. փետրվարից ռուս-ուկրաինական համամարտության սրմամբ պայմանավորված ռիսկերն առավելապես վերաբերում են առկա անորոշություններին: Մասնավորապես, անորոշություններ են առկա ինչպես ՌԴ նկատմամբ կիրառված սանկցիաների՝ ՀՀ տնտեսության վրա հնարավոր ազդեցությունների, այնպես էլ տնտեսության վերականգնման և հետագա աճի տեմպի հետ կապված: Նշված ռիսկերի ի հայտ գալու կամ անորոշությունների վերաբերյալ նոր տեղեկատվության առկայության պայմաններում, առաջիկա տարիների հարկաբյուջետային շրջանակը կարող է վերանայվել։</w:t>
      </w:r>
    </w:p>
    <w:p w:rsidR="00D178DD" w:rsidRPr="00D178DD" w:rsidRDefault="00D178DD" w:rsidP="00D178DD">
      <w:pPr>
        <w:spacing w:before="0" w:after="160" w:line="276" w:lineRule="auto"/>
        <w:ind w:firstLine="709"/>
        <w:contextualSpacing w:val="0"/>
        <w:rPr>
          <w:rFonts w:eastAsia="Calibri"/>
          <w:b w:val="0"/>
          <w:szCs w:val="22"/>
          <w:lang w:val="hy-AM" w:eastAsia="en-US"/>
        </w:rPr>
      </w:pPr>
    </w:p>
    <w:p w:rsidR="00D178DD" w:rsidRPr="00D178DD" w:rsidRDefault="00D178DD" w:rsidP="00D178DD">
      <w:pPr>
        <w:keepNext/>
        <w:keepLines/>
        <w:spacing w:before="0" w:after="160" w:line="276" w:lineRule="auto"/>
        <w:ind w:firstLine="0"/>
        <w:contextualSpacing w:val="0"/>
        <w:outlineLvl w:val="2"/>
        <w:rPr>
          <w:rFonts w:eastAsia="Calibri"/>
          <w:sz w:val="24"/>
          <w:lang w:val="hy-AM" w:eastAsia="en-US"/>
        </w:rPr>
      </w:pPr>
      <w:bookmarkStart w:id="116" w:name="_Toc83972840"/>
      <w:bookmarkStart w:id="117" w:name="_Toc115686028"/>
      <w:bookmarkStart w:id="118" w:name="_Toc120805202"/>
      <w:bookmarkStart w:id="119" w:name="_Toc165901414"/>
      <w:r w:rsidRPr="00D178DD">
        <w:rPr>
          <w:rFonts w:eastAsia="Calibri"/>
          <w:sz w:val="24"/>
          <w:lang w:val="hy-AM" w:eastAsia="en-US"/>
        </w:rPr>
        <w:t>2.4. ՀԱՐԿԱԲՅՈՒՋԵՏԱՅԻՆ  ՔԱՂԱՔԱԿԱՆՈՒԹՅԱՆ ՀԱՄԱՊԱՏԱՍԽԱՆՈՒԹՅՈՒՆԸ ՀԱՐԿԱԲՅՈՒՋԵՏԱՅԻՆ ԿԱՆՈՆՆԵՐԻՆ</w:t>
      </w:r>
      <w:bookmarkEnd w:id="116"/>
      <w:bookmarkEnd w:id="117"/>
      <w:bookmarkEnd w:id="118"/>
      <w:bookmarkEnd w:id="119"/>
    </w:p>
    <w:p w:rsidR="00D178DD" w:rsidRPr="00D178DD" w:rsidRDefault="00D178DD" w:rsidP="00D178DD">
      <w:pPr>
        <w:spacing w:before="0" w:line="276" w:lineRule="auto"/>
        <w:ind w:firstLine="709"/>
        <w:contextualSpacing w:val="0"/>
        <w:rPr>
          <w:rFonts w:eastAsia="Calibri"/>
          <w:szCs w:val="22"/>
          <w:lang w:val="hy-AM" w:eastAsia="en-US"/>
        </w:rPr>
      </w:pPr>
      <w:r w:rsidRPr="00D178DD">
        <w:rPr>
          <w:rFonts w:eastAsia="Calibri"/>
          <w:b w:val="0"/>
          <w:szCs w:val="22"/>
          <w:lang w:val="hy-AM" w:eastAsia="en-US"/>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պարտքի մասին ՀՀ օրենքներում փոփոխություններ և լրացումն</w:t>
      </w:r>
      <w:r w:rsidRPr="00D178DD">
        <w:rPr>
          <w:rFonts w:eastAsia="Calibri"/>
          <w:b w:val="0"/>
          <w:szCs w:val="22"/>
          <w:lang w:val="hy-AM" w:eastAsia="en-US"/>
        </w:rPr>
        <w:softHyphen/>
        <w:t>եր կատարող օրենքների, ինչպես նաև են ՀՀ Կառավարության՝ 2018 թվականի օգոստոսի 23-ի N 942-Ն որոշման ընդունմամբ: Կանոնների համակարգը ներառում է ծախսային կանոններ, որոնք ուժի մեջ են մտնում պարտքի սահմանված շեմերը գերազանցելիս։ Մասնավորապես</w:t>
      </w:r>
      <w:r w:rsidRPr="00D178DD">
        <w:rPr>
          <w:rFonts w:ascii="Cambria Math" w:eastAsia="Calibri" w:hAnsi="Cambria Math" w:cs="Cambria Math"/>
          <w:b w:val="0"/>
          <w:szCs w:val="22"/>
          <w:lang w:val="hy-AM" w:eastAsia="en-US"/>
        </w:rPr>
        <w:t>․</w:t>
      </w:r>
    </w:p>
    <w:p w:rsidR="00D178DD" w:rsidRPr="00D178DD" w:rsidRDefault="00D178DD" w:rsidP="00D178DD">
      <w:pPr>
        <w:numPr>
          <w:ilvl w:val="0"/>
          <w:numId w:val="27"/>
        </w:numPr>
        <w:spacing w:before="0" w:line="276" w:lineRule="auto"/>
        <w:ind w:left="709" w:hanging="283"/>
        <w:contextualSpacing w:val="0"/>
        <w:rPr>
          <w:rFonts w:eastAsia="Calibri"/>
          <w:szCs w:val="22"/>
          <w:lang w:val="hy-AM" w:eastAsia="en-US"/>
        </w:rPr>
      </w:pPr>
      <w:r w:rsidRPr="00D178DD">
        <w:rPr>
          <w:rFonts w:eastAsia="Calibri"/>
          <w:b w:val="0"/>
          <w:szCs w:val="22"/>
          <w:lang w:val="hy-AM" w:eastAsia="en-US"/>
        </w:rPr>
        <w:t>Երբ կառավարության պարտք/ՀՆԱ հարաբերակցությունը գերազանցում է 40%-ը, պետական բյուջեի կապիտալ ծախսերը չպետք է փոքր լինեն բյուջեի պակասուրդից:</w:t>
      </w:r>
    </w:p>
    <w:p w:rsidR="00D178DD" w:rsidRPr="00D178DD" w:rsidRDefault="00D178DD" w:rsidP="00D178DD">
      <w:pPr>
        <w:numPr>
          <w:ilvl w:val="0"/>
          <w:numId w:val="27"/>
        </w:numPr>
        <w:spacing w:before="0" w:line="276" w:lineRule="auto"/>
        <w:ind w:left="709" w:hanging="283"/>
        <w:contextualSpacing w:val="0"/>
        <w:rPr>
          <w:rFonts w:eastAsia="Calibri"/>
          <w:szCs w:val="22"/>
          <w:lang w:val="hy-AM" w:eastAsia="en-US"/>
        </w:rPr>
      </w:pPr>
      <w:r w:rsidRPr="00D178DD">
        <w:rPr>
          <w:rFonts w:eastAsia="Calibri"/>
          <w:b w:val="0"/>
          <w:szCs w:val="22"/>
          <w:lang w:val="hy-AM" w:eastAsia="en-US"/>
        </w:rPr>
        <w:t xml:space="preserve">Կառավարության պարտք/ՀՆԱ հարաբերակցության՝ 50-60% միջակայքում գտնվելու դեպքում, ընթացիկ առաջնային ծախսերի աճի տեմպը սահմանափակվում է նախորդ 7 տարիների ՀՆԱ-ների միջին աճով, ինչպես նաև հաջորդ տարում կազմվող պետական </w:t>
      </w:r>
      <w:r w:rsidRPr="00D178DD">
        <w:rPr>
          <w:rFonts w:eastAsia="Calibri"/>
          <w:b w:val="0"/>
          <w:szCs w:val="22"/>
          <w:lang w:val="hy-AM" w:eastAsia="en-US"/>
        </w:rPr>
        <w:lastRenderedPageBreak/>
        <w:t>ՄԺԾԾ-ում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rsidR="00D178DD" w:rsidRPr="00D178DD" w:rsidRDefault="00D178DD" w:rsidP="00D178DD">
      <w:pPr>
        <w:numPr>
          <w:ilvl w:val="0"/>
          <w:numId w:val="27"/>
        </w:numPr>
        <w:spacing w:before="0" w:line="276" w:lineRule="auto"/>
        <w:ind w:left="709" w:hanging="283"/>
        <w:contextualSpacing w:val="0"/>
        <w:rPr>
          <w:rFonts w:eastAsia="Calibri"/>
          <w:szCs w:val="22"/>
          <w:lang w:val="hy-AM" w:eastAsia="en-US"/>
        </w:rPr>
      </w:pPr>
      <w:r w:rsidRPr="00D178DD">
        <w:rPr>
          <w:rFonts w:eastAsia="Calibri"/>
          <w:b w:val="0"/>
          <w:szCs w:val="22"/>
          <w:lang w:val="hy-AM" w:eastAsia="en-US"/>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rsidR="00D178DD" w:rsidRPr="00D178DD" w:rsidRDefault="00D178DD" w:rsidP="00D178DD">
      <w:pPr>
        <w:numPr>
          <w:ilvl w:val="0"/>
          <w:numId w:val="27"/>
        </w:numPr>
        <w:spacing w:before="0" w:line="276" w:lineRule="auto"/>
        <w:ind w:left="709" w:hanging="283"/>
        <w:contextualSpacing w:val="0"/>
        <w:rPr>
          <w:rFonts w:eastAsia="Calibri"/>
          <w:szCs w:val="22"/>
          <w:lang w:val="hy-AM" w:eastAsia="en-US"/>
        </w:rPr>
      </w:pPr>
      <w:r w:rsidRPr="00D178DD">
        <w:rPr>
          <w:rFonts w:eastAsia="Calibri"/>
          <w:b w:val="0"/>
          <w:szCs w:val="22"/>
          <w:lang w:val="hy-AM" w:eastAsia="en-US"/>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պարագայում:</w:t>
      </w:r>
    </w:p>
    <w:p w:rsidR="00D178DD" w:rsidRPr="00D178DD" w:rsidRDefault="00D178DD" w:rsidP="00D178DD">
      <w:pPr>
        <w:spacing w:after="120" w:line="276" w:lineRule="auto"/>
        <w:ind w:left="1" w:firstLine="566"/>
        <w:rPr>
          <w:rFonts w:eastAsia="GHEA Grapalat" w:cs="GHEA Grapalat"/>
          <w:b w:val="0"/>
          <w:lang w:val="hy-AM"/>
        </w:rPr>
      </w:pPr>
      <w:r w:rsidRPr="00D178DD">
        <w:rPr>
          <w:rFonts w:eastAsia="GHEA Grapalat" w:cs="GHEA Grapalat"/>
          <w:lang w:val="hy-AM"/>
        </w:rPr>
        <w:t xml:space="preserve">2021 թվականին «բացառիկ դեպքի» կարգավորումների ներքո պետական բյուջեի կատարումը շարունակել է շեղվել հարկաբյուջետային կանոնների բնականոն իրավիճակների տրամաբանությունից՝ համահունչ 2021 թվականի ՀՀ պետական բյուջեի ուղերձում նախանշված քաղաքականությանը։ </w:t>
      </w:r>
      <w:r w:rsidRPr="00D178DD">
        <w:rPr>
          <w:rFonts w:eastAsia="GHEA Grapalat" w:cs="GHEA Grapalat"/>
          <w:b w:val="0"/>
          <w:lang w:val="hy-AM"/>
        </w:rPr>
        <w:t xml:space="preserve">Մասնավորապես, հիմք ընդունելով այն հանգամանքը, որ 2020 թվականին «բացառիկ դեպքի» կարգավորումների հիմք հանդիսացած գործոնների՝ COVID-19 համավարակի և </w:t>
      </w:r>
      <w:r w:rsidR="00822D2B" w:rsidRPr="00822D2B">
        <w:rPr>
          <w:rFonts w:eastAsia="GHEA Grapalat" w:cs="GHEA Grapalat"/>
          <w:b w:val="0"/>
          <w:lang w:val="hy-AM"/>
        </w:rPr>
        <w:t>Ղարաբաղ</w:t>
      </w:r>
      <w:r w:rsidRPr="00D178DD">
        <w:rPr>
          <w:rFonts w:eastAsia="GHEA Grapalat" w:cs="GHEA Grapalat"/>
          <w:b w:val="0"/>
          <w:lang w:val="hy-AM"/>
        </w:rPr>
        <w:t>յան պատերազմի տնտեսական և հարկաբյուջետային հետևանքները ոչ ամբողջությամբ էին հաղթահարված, 2021 թվականի համար ևս սահմանվել էր այդ կարգավորումների պահպանում և բնականոն իրավիճակներում գործող կանոններին համապատասխանության անցում 2022 թվականից։ Արդյունքում բյուջեի պակասուրդը շարունակել է գերազանցել կապիտալ ծախսերին, իսկ ընթացիկ առաջնային ծախսերի աճը գերազանցել է նախորդ 7 տարիների անվանական ՀՆԱ</w:t>
      </w:r>
      <w:r w:rsidRPr="00D178DD">
        <w:rPr>
          <w:rFonts w:eastAsia="GHEA Grapalat" w:cs="GHEA Grapalat"/>
          <w:b w:val="0"/>
          <w:lang w:val="hy-AM"/>
        </w:rPr>
        <w:noBreakHyphen/>
        <w:t>ի աճի միջին տեմպը: Այնուամենայնիվ, շեղումների չափը երկու դեպքում էլ որոշակիորեն կրճատվել է` հատկապես ընթացիկ ծախսերի համապատասխանության գծով՝ ՀՆԱ 3.3%-ից նվազելով մինչև 2.4%։</w:t>
      </w:r>
    </w:p>
    <w:p w:rsidR="00D178DD" w:rsidRPr="00D178DD" w:rsidRDefault="00D178DD" w:rsidP="00D178DD">
      <w:pPr>
        <w:spacing w:before="0" w:line="276" w:lineRule="auto"/>
        <w:ind w:firstLine="706"/>
        <w:contextualSpacing w:val="0"/>
        <w:rPr>
          <w:rFonts w:eastAsia="Calibri"/>
          <w:b w:val="0"/>
          <w:szCs w:val="22"/>
          <w:lang w:val="hy-AM" w:eastAsia="en-US"/>
        </w:rPr>
      </w:pPr>
      <w:r w:rsidRPr="00D178DD">
        <w:rPr>
          <w:rFonts w:eastAsia="Calibri"/>
          <w:szCs w:val="22"/>
          <w:lang w:val="hy-AM" w:eastAsia="en-US"/>
        </w:rPr>
        <w:t>2022թ</w:t>
      </w:r>
      <w:r w:rsidRPr="00D178DD">
        <w:rPr>
          <w:rFonts w:ascii="Cambria Math" w:eastAsia="Calibri" w:hAnsi="Cambria Math" w:cs="Cambria Math"/>
          <w:szCs w:val="22"/>
          <w:lang w:val="hy-AM" w:eastAsia="en-US"/>
        </w:rPr>
        <w:t>․</w:t>
      </w:r>
      <w:r w:rsidRPr="00D178DD">
        <w:rPr>
          <w:rFonts w:eastAsia="Calibri"/>
          <w:szCs w:val="22"/>
          <w:lang w:val="hy-AM" w:eastAsia="en-US"/>
        </w:rPr>
        <w:t>-ին պլանավորվել էր ՀՀ Կառավարության ամբողջական վերադարձը ՀՀ օրենսդրությամբ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 միաժամանակ ապահովելով պարտք/ՀՆԱ հարաբերակցության նվազող հետագիծը և ծախսերի կառուցվածքի բարելավում:</w:t>
      </w:r>
      <w:r w:rsidRPr="00D178DD">
        <w:rPr>
          <w:rFonts w:eastAsia="Calibri"/>
          <w:b w:val="0"/>
          <w:szCs w:val="22"/>
          <w:lang w:val="hy-AM" w:eastAsia="en-US"/>
        </w:rPr>
        <w:t xml:space="preserve"> 2022թ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-ի հարկաբյուջետային զարգացումների կանխատեսումներով պետական ֆինանսների «ոսկե կանոնները», մասնավորապես՝ պետական բյուջեի պակասուրդի մեծությանը կապիտալ ծախսերի գերազանցումը և ընթացիկ ծախսերի մեծությանը հարկային եկամուտների և տուրքերի գերազանցումը ամբողջությամբ ապահովվում են (համապատասխանաբար 185</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 xml:space="preserve">5 մլրդ դրամով և 63 մլրդ դրամով)։ Սակայն, հաշվի առնելով տարվա ընթացքում բյուջեի եկամուտների կանխատեսումների դեպի վեր վերանայումը, ընթացիկ առաջնային ծախսերի մեծությունը ևս </w:t>
      </w:r>
      <w:r w:rsidRPr="00D178DD">
        <w:rPr>
          <w:rFonts w:eastAsia="Calibri"/>
          <w:b w:val="0"/>
          <w:szCs w:val="22"/>
          <w:lang w:val="hy-AM" w:eastAsia="en-US"/>
        </w:rPr>
        <w:lastRenderedPageBreak/>
        <w:t>բարձրացվել է, ինչի արդյունքում ընթացիկ առաջնային ծախսերի աճի տեմպը գերազանցել է կանոնով հաշվարկվող մեծությունը։ Կառավարության պարտք/ՀՆԱ ցուցանիշը կկազմի 50.1%` ցածր լինելով 2021թ</w:t>
      </w:r>
      <w:r w:rsidRPr="00D178DD">
        <w:rPr>
          <w:rFonts w:ascii="Cambria Math" w:eastAsia="Calibri" w:hAnsi="Cambria Math" w:cs="Cambria Math"/>
          <w:b w:val="0"/>
          <w:szCs w:val="22"/>
          <w:lang w:val="hy-AM" w:eastAsia="en-US"/>
        </w:rPr>
        <w:t>․</w:t>
      </w:r>
      <w:r w:rsidRPr="00D178DD">
        <w:rPr>
          <w:rFonts w:eastAsia="Calibri"/>
          <w:b w:val="0"/>
          <w:szCs w:val="22"/>
          <w:lang w:val="hy-AM" w:eastAsia="en-US"/>
        </w:rPr>
        <w:t>-ի ցուցանիշից 10.2 տոկոսային կետով։</w:t>
      </w:r>
    </w:p>
    <w:p w:rsidR="00D178DD" w:rsidRPr="00D178DD" w:rsidRDefault="00D178DD" w:rsidP="00D178DD">
      <w:pPr>
        <w:spacing w:before="0" w:line="276" w:lineRule="auto"/>
        <w:ind w:firstLine="706"/>
        <w:contextualSpacing w:val="0"/>
        <w:rPr>
          <w:rFonts w:eastAsia="Calibri"/>
          <w:b w:val="0"/>
          <w:szCs w:val="22"/>
          <w:lang w:val="hy-AM" w:eastAsia="en-US"/>
        </w:rPr>
      </w:pPr>
      <w:r w:rsidRPr="00D178DD">
        <w:rPr>
          <w:rFonts w:eastAsia="Calibri"/>
          <w:szCs w:val="22"/>
          <w:lang w:val="hy-AM" w:eastAsia="en-US"/>
        </w:rPr>
        <w:t>2023թ</w:t>
      </w:r>
      <w:r w:rsidRPr="00D178DD">
        <w:rPr>
          <w:rFonts w:ascii="Cambria Math" w:eastAsia="Calibri" w:hAnsi="Cambria Math" w:cs="Cambria Math"/>
          <w:szCs w:val="22"/>
          <w:lang w:val="hy-AM" w:eastAsia="en-US"/>
        </w:rPr>
        <w:t>․</w:t>
      </w:r>
      <w:r w:rsidRPr="00D178DD">
        <w:rPr>
          <w:rFonts w:eastAsia="Calibri"/>
          <w:szCs w:val="22"/>
          <w:lang w:val="hy-AM" w:eastAsia="en-US"/>
        </w:rPr>
        <w:t xml:space="preserve">-ի պետական բյուջեի ցուցանիշները պլանավորվել են հարկաբյուջետային կանոններին ամբողջական համապատասխանության ներքո։ </w:t>
      </w:r>
      <w:r w:rsidRPr="00D178DD">
        <w:rPr>
          <w:rFonts w:eastAsia="Calibri"/>
          <w:b w:val="0"/>
          <w:szCs w:val="22"/>
          <w:lang w:val="hy-AM" w:eastAsia="en-US"/>
        </w:rPr>
        <w:t xml:space="preserve">Պետական ֆինանսների «ոսկե կանոնների» պահպանումը թույլ կտա ապահովելով պարտքի զուտ ներգրավմանն առաջանցիկ պետական ակտիվներ աճը և կառավարելի պահել երկրի իրական պարտքային դիրքը և հետևաբար՝ երկարաժամկետ հարկաբյուջետային ռիսկերը։ </w:t>
      </w:r>
      <w:r w:rsidRPr="00D178DD">
        <w:rPr>
          <w:rFonts w:eastAsia="Calibri"/>
          <w:b w:val="0"/>
          <w:lang w:val="hy-AM"/>
        </w:rPr>
        <w:t xml:space="preserve">Իսկ ընթացիկ առաջնային ծախսերի աճի տեմպի՝ երկարաժամկետ տնտեսական աճի միջին տեմպով սահմանափակման կանոնի պահպանումը հնարավորություն կտա ապահովել հակապարբերաշրջանային քաղաքականության իրականացումը և զսպել ապագայում եկամուտ գեներացնելու կարողություններին պարտավորությունների (ընթացիկ ծախսերի գծով ստանձնվող օրենսդրական պարտավորությունների և պարտքային պարտավորությունների ձևով) առաջանցիկ ավելացումը։ Միաժամանակ, </w:t>
      </w:r>
      <w:r w:rsidRPr="00D178DD">
        <w:rPr>
          <w:rFonts w:eastAsia="Calibri"/>
          <w:b w:val="0"/>
          <w:szCs w:val="22"/>
          <w:lang w:val="hy-AM" w:eastAsia="en-US"/>
        </w:rPr>
        <w:t>կառավարության պարտք/ՀՆԱ ցուցանիշը կշարունակի նվազել, ինչով հարկաբյուջետային քաղաքականությունը կտեղափոխի կանոններով  սահմանափակման առավել մեղմ ռեժիմների՝ թույլ տալով վարել առավել ճկուն հարկաբյուջետային քաղաքականություն (առավել մանրամասն տես՝ «Հարկաբյուջետային քաղաքականության հիմնական ուղղությունները և կանխատեսումները հատվածում»):</w:t>
      </w:r>
    </w:p>
    <w:p w:rsidR="00D178DD" w:rsidRPr="00D178DD" w:rsidRDefault="00D178DD" w:rsidP="00D178DD">
      <w:pPr>
        <w:spacing w:before="0" w:line="276" w:lineRule="auto"/>
        <w:ind w:firstLine="706"/>
        <w:contextualSpacing w:val="0"/>
        <w:rPr>
          <w:rFonts w:eastAsia="Calibri"/>
          <w:b w:val="0"/>
          <w:szCs w:val="22"/>
          <w:lang w:val="hy-AM" w:eastAsia="en-US"/>
        </w:rPr>
      </w:pPr>
    </w:p>
    <w:p w:rsidR="00D178DD" w:rsidRPr="00D178DD" w:rsidRDefault="00D178DD" w:rsidP="00D178DD">
      <w:pPr>
        <w:keepNext/>
        <w:keepLines/>
        <w:spacing w:before="0" w:after="120" w:line="276" w:lineRule="auto"/>
        <w:ind w:firstLine="0"/>
        <w:contextualSpacing w:val="0"/>
        <w:rPr>
          <w:rFonts w:eastAsia="Calibri"/>
          <w:b w:val="0"/>
          <w:i/>
          <w:iCs/>
          <w:szCs w:val="22"/>
          <w:lang w:val="hy-AM" w:eastAsia="en-US"/>
        </w:rPr>
      </w:pPr>
      <w:r w:rsidRPr="00D178DD">
        <w:rPr>
          <w:rFonts w:eastAsia="Calibri"/>
          <w:i/>
          <w:iCs/>
          <w:szCs w:val="22"/>
          <w:lang w:val="hy-AM" w:eastAsia="en-US"/>
        </w:rPr>
        <w:t>Աղյուսակ 2.4.</w:t>
      </w:r>
      <w:r w:rsidRPr="00D178DD">
        <w:rPr>
          <w:rFonts w:eastAsia="Calibri"/>
          <w:b w:val="0"/>
          <w:i/>
          <w:iCs/>
          <w:szCs w:val="22"/>
          <w:lang w:val="hy-AM" w:eastAsia="en-US"/>
        </w:rPr>
        <w:t xml:space="preserve"> </w:t>
      </w:r>
      <w:r w:rsidRPr="00D178DD">
        <w:rPr>
          <w:rFonts w:eastAsia="Calibri"/>
          <w:b w:val="0"/>
          <w:bCs/>
          <w:i/>
          <w:iCs/>
          <w:szCs w:val="22"/>
          <w:lang w:val="hy-AM" w:eastAsia="en-US"/>
        </w:rPr>
        <w:t>Փաստացի և ծրագրավորված հարկաբյուջետային քաղաքականության համապատասխանությունը հարկաբյուջետային կանոններին</w:t>
      </w:r>
    </w:p>
    <w:tbl>
      <w:tblPr>
        <w:tblW w:w="9559" w:type="dxa"/>
        <w:jc w:val="center"/>
        <w:tblBorders>
          <w:top w:val="single" w:sz="18" w:space="0" w:color="4472C4"/>
          <w:left w:val="single" w:sz="18" w:space="0" w:color="4472C4"/>
          <w:bottom w:val="single" w:sz="18" w:space="0" w:color="4472C4"/>
          <w:right w:val="single" w:sz="18" w:space="0" w:color="4472C4"/>
          <w:insideH w:val="single" w:sz="6" w:space="0" w:color="4472C4"/>
          <w:insideV w:val="single" w:sz="6" w:space="0" w:color="4472C4"/>
        </w:tblBorders>
        <w:tblLayout w:type="fixed"/>
        <w:tblLook w:val="04A0" w:firstRow="1" w:lastRow="0" w:firstColumn="1" w:lastColumn="0" w:noHBand="0" w:noVBand="1"/>
      </w:tblPr>
      <w:tblGrid>
        <w:gridCol w:w="1597"/>
        <w:gridCol w:w="1800"/>
        <w:gridCol w:w="752"/>
        <w:gridCol w:w="851"/>
        <w:gridCol w:w="709"/>
        <w:gridCol w:w="708"/>
        <w:gridCol w:w="851"/>
        <w:gridCol w:w="709"/>
        <w:gridCol w:w="850"/>
        <w:gridCol w:w="732"/>
      </w:tblGrid>
      <w:tr w:rsidR="00D178DD" w:rsidRPr="00D178DD" w:rsidTr="004B2286">
        <w:trPr>
          <w:trHeight w:val="466"/>
          <w:tblHeader/>
          <w:jc w:val="center"/>
        </w:trPr>
        <w:tc>
          <w:tcPr>
            <w:tcW w:w="1597" w:type="dxa"/>
            <w:vMerge w:val="restart"/>
            <w:tcBorders>
              <w:top w:val="single" w:sz="18" w:space="0" w:color="4472C4"/>
              <w:bottom w:val="single" w:sz="2" w:space="0" w:color="4472C4"/>
              <w:right w:val="single" w:sz="2" w:space="0" w:color="4472C4"/>
            </w:tcBorders>
            <w:shd w:val="clear" w:color="auto" w:fill="5B9BD5"/>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Կանոնի ցուցանիշ</w:t>
            </w:r>
          </w:p>
        </w:tc>
        <w:tc>
          <w:tcPr>
            <w:tcW w:w="1800" w:type="dxa"/>
            <w:vMerge w:val="restart"/>
            <w:tcBorders>
              <w:top w:val="single" w:sz="18" w:space="0" w:color="4472C4"/>
              <w:left w:val="single" w:sz="2" w:space="0" w:color="4472C4"/>
              <w:bottom w:val="single" w:sz="2" w:space="0" w:color="4472C4"/>
              <w:right w:val="single" w:sz="2" w:space="0" w:color="4472C4"/>
            </w:tcBorders>
            <w:shd w:val="clear" w:color="auto" w:fill="5B9BD5"/>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Ուղենիշային ցուցանիշ</w:t>
            </w:r>
          </w:p>
        </w:tc>
        <w:tc>
          <w:tcPr>
            <w:tcW w:w="1603"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D178DD" w:rsidRPr="00D178DD" w:rsidRDefault="00D178DD" w:rsidP="00D178DD">
            <w:pPr>
              <w:spacing w:before="40" w:after="60" w:line="276" w:lineRule="auto"/>
              <w:ind w:firstLine="5"/>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2020</w:t>
            </w:r>
          </w:p>
        </w:tc>
        <w:tc>
          <w:tcPr>
            <w:tcW w:w="1417"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D178DD" w:rsidRPr="00D178DD" w:rsidRDefault="00D178DD" w:rsidP="00D178DD">
            <w:pPr>
              <w:spacing w:before="40" w:after="60" w:line="276" w:lineRule="auto"/>
              <w:ind w:firstLine="5"/>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2021</w:t>
            </w:r>
          </w:p>
        </w:tc>
        <w:tc>
          <w:tcPr>
            <w:tcW w:w="1560"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D178DD" w:rsidRPr="00D178DD" w:rsidRDefault="00D178DD" w:rsidP="00D178DD">
            <w:pPr>
              <w:spacing w:before="40" w:after="60" w:line="276" w:lineRule="auto"/>
              <w:ind w:firstLine="5"/>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2022</w:t>
            </w:r>
          </w:p>
        </w:tc>
        <w:tc>
          <w:tcPr>
            <w:tcW w:w="1582"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rsidR="00D178DD" w:rsidRPr="00D178DD" w:rsidRDefault="00D178DD" w:rsidP="00D178DD">
            <w:pPr>
              <w:spacing w:before="40" w:after="60" w:line="276" w:lineRule="auto"/>
              <w:ind w:firstLine="5"/>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2023</w:t>
            </w:r>
          </w:p>
        </w:tc>
      </w:tr>
      <w:tr w:rsidR="00D178DD" w:rsidRPr="00D178DD" w:rsidTr="004B2286">
        <w:trPr>
          <w:cantSplit/>
          <w:trHeight w:val="850"/>
          <w:tblHeader/>
          <w:jc w:val="center"/>
        </w:trPr>
        <w:tc>
          <w:tcPr>
            <w:tcW w:w="1597" w:type="dxa"/>
            <w:vMerge/>
            <w:tcBorders>
              <w:top w:val="single" w:sz="2" w:space="0" w:color="4472C4"/>
              <w:bottom w:val="single" w:sz="2" w:space="0" w:color="4472C4"/>
              <w:right w:val="single" w:sz="2" w:space="0" w:color="4472C4"/>
            </w:tcBorders>
            <w:shd w:val="clear" w:color="auto" w:fill="5B9BD5"/>
            <w:vAlign w:val="center"/>
            <w:hideMark/>
          </w:tcPr>
          <w:p w:rsidR="00D178DD" w:rsidRPr="00D178DD" w:rsidRDefault="00D178DD" w:rsidP="00D178DD">
            <w:pPr>
              <w:spacing w:before="40" w:after="60" w:line="276" w:lineRule="auto"/>
              <w:contextualSpacing w:val="0"/>
              <w:rPr>
                <w:rFonts w:eastAsiaTheme="minorEastAsia" w:cs="Arial"/>
                <w:b w:val="0"/>
                <w:color w:val="FFFFFF"/>
                <w:szCs w:val="22"/>
                <w:lang w:val="en-US" w:eastAsia="en-US"/>
              </w:rPr>
            </w:pPr>
          </w:p>
        </w:tc>
        <w:tc>
          <w:tcPr>
            <w:tcW w:w="1800" w:type="dxa"/>
            <w:vMerge/>
            <w:tcBorders>
              <w:top w:val="single" w:sz="2" w:space="0" w:color="4472C4"/>
              <w:left w:val="single" w:sz="2" w:space="0" w:color="4472C4"/>
              <w:bottom w:val="single" w:sz="2" w:space="0" w:color="4472C4"/>
              <w:right w:val="single" w:sz="2" w:space="0" w:color="4472C4"/>
            </w:tcBorders>
            <w:shd w:val="clear" w:color="auto" w:fill="5B9BD5"/>
            <w:vAlign w:val="center"/>
            <w:hideMark/>
          </w:tcPr>
          <w:p w:rsidR="00D178DD" w:rsidRPr="00D178DD" w:rsidRDefault="00D178DD" w:rsidP="00D178DD">
            <w:pPr>
              <w:spacing w:before="40" w:after="60" w:line="276" w:lineRule="auto"/>
              <w:contextualSpacing w:val="0"/>
              <w:rPr>
                <w:rFonts w:eastAsiaTheme="minorEastAsia" w:cs="Arial"/>
                <w:b w:val="0"/>
                <w:color w:val="FFFFFF"/>
                <w:szCs w:val="22"/>
                <w:lang w:val="en-US" w:eastAsia="en-US"/>
              </w:rPr>
            </w:pPr>
          </w:p>
        </w:tc>
        <w:tc>
          <w:tcPr>
            <w:tcW w:w="75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left="6" w:right="113"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Սահմ</w:t>
            </w:r>
            <w:r w:rsidRPr="00D178DD">
              <w:rPr>
                <w:rFonts w:ascii="Cambria Math" w:eastAsiaTheme="minorEastAsia"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Փաստ</w:t>
            </w:r>
            <w:r w:rsidRPr="00D178DD">
              <w:rPr>
                <w:rFonts w:ascii="Cambria Math" w:eastAsiaTheme="minorEastAsia" w:hAnsi="Cambria Math" w:cs="Cambria Math"/>
                <w:b w:val="0"/>
                <w:color w:val="FFFFFF"/>
                <w:szCs w:val="22"/>
                <w:lang w:val="en-US" w:eastAsia="en-US"/>
              </w:rPr>
              <w:t>․</w:t>
            </w: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Սահմ</w:t>
            </w:r>
            <w:r w:rsidRPr="00D178DD">
              <w:rPr>
                <w:rFonts w:ascii="Cambria Math" w:eastAsiaTheme="minorEastAsia" w:hAnsi="Cambria Math" w:cs="Cambria Math"/>
                <w:b w:val="0"/>
                <w:color w:val="FFFFFF"/>
                <w:szCs w:val="22"/>
                <w:lang w:val="en-US" w:eastAsia="en-US"/>
              </w:rPr>
              <w:t>․</w:t>
            </w:r>
          </w:p>
        </w:tc>
        <w:tc>
          <w:tcPr>
            <w:tcW w:w="708"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Փաստ</w:t>
            </w:r>
            <w:r w:rsidRPr="00D178DD">
              <w:rPr>
                <w:rFonts w:ascii="Cambria Math" w:eastAsiaTheme="minorEastAsia"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Սահմ</w:t>
            </w:r>
            <w:r w:rsidRPr="00D178DD">
              <w:rPr>
                <w:rFonts w:ascii="Cambria Math" w:eastAsiaTheme="minorEastAsia" w:hAnsi="Cambria Math" w:cs="Cambria Math"/>
                <w:b w:val="0"/>
                <w:color w:val="FFFFFF"/>
                <w:szCs w:val="22"/>
                <w:lang w:val="en-US" w:eastAsia="en-US"/>
              </w:rPr>
              <w:t>․</w:t>
            </w:r>
          </w:p>
        </w:tc>
        <w:tc>
          <w:tcPr>
            <w:tcW w:w="709"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Փաստ</w:t>
            </w:r>
            <w:r w:rsidRPr="00D178DD">
              <w:rPr>
                <w:rFonts w:ascii="Cambria Math" w:eastAsiaTheme="minorEastAsia" w:hAnsi="Cambria Math" w:cs="Cambria Math"/>
                <w:b w:val="0"/>
                <w:color w:val="FFFFFF"/>
                <w:szCs w:val="22"/>
                <w:lang w:val="en-US" w:eastAsia="en-US"/>
              </w:rPr>
              <w:t>․</w:t>
            </w:r>
          </w:p>
        </w:tc>
        <w:tc>
          <w:tcPr>
            <w:tcW w:w="85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Սահմ</w:t>
            </w:r>
            <w:r w:rsidRPr="00D178DD">
              <w:rPr>
                <w:rFonts w:ascii="Cambria Math" w:eastAsiaTheme="minorEastAsia" w:hAnsi="Cambria Math" w:cs="Cambria Math"/>
                <w:b w:val="0"/>
                <w:color w:val="FFFFFF"/>
                <w:szCs w:val="22"/>
                <w:lang w:val="en-US" w:eastAsia="en-US"/>
              </w:rPr>
              <w:t>․</w:t>
            </w:r>
          </w:p>
        </w:tc>
        <w:tc>
          <w:tcPr>
            <w:tcW w:w="73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rsidR="00D178DD" w:rsidRPr="00D178DD" w:rsidRDefault="00D178DD" w:rsidP="00D178DD">
            <w:pPr>
              <w:spacing w:before="40" w:after="60" w:line="276" w:lineRule="auto"/>
              <w:ind w:firstLine="0"/>
              <w:contextualSpacing w:val="0"/>
              <w:jc w:val="center"/>
              <w:rPr>
                <w:rFonts w:eastAsiaTheme="minorEastAsia" w:cs="Arial"/>
                <w:b w:val="0"/>
                <w:color w:val="FFFFFF"/>
                <w:szCs w:val="22"/>
                <w:lang w:val="en-US" w:eastAsia="en-US"/>
              </w:rPr>
            </w:pPr>
            <w:r w:rsidRPr="00D178DD">
              <w:rPr>
                <w:rFonts w:eastAsiaTheme="minorEastAsia" w:cs="Arial"/>
                <w:b w:val="0"/>
                <w:color w:val="FFFFFF"/>
                <w:szCs w:val="22"/>
                <w:lang w:val="en-US" w:eastAsia="en-US"/>
              </w:rPr>
              <w:t>Փաստ</w:t>
            </w:r>
            <w:r w:rsidRPr="00D178DD">
              <w:rPr>
                <w:rFonts w:ascii="Cambria Math" w:eastAsiaTheme="minorEastAsia" w:hAnsi="Cambria Math" w:cs="Cambria Math"/>
                <w:b w:val="0"/>
                <w:color w:val="FFFFFF"/>
                <w:szCs w:val="22"/>
                <w:lang w:val="en-US" w:eastAsia="en-US"/>
              </w:rPr>
              <w:t>․</w:t>
            </w:r>
          </w:p>
        </w:tc>
      </w:tr>
      <w:tr w:rsidR="00D178DD" w:rsidRPr="00D178DD" w:rsidTr="004B2286">
        <w:trPr>
          <w:trHeight w:val="954"/>
          <w:jc w:val="center"/>
        </w:trPr>
        <w:tc>
          <w:tcPr>
            <w:tcW w:w="1597" w:type="dxa"/>
            <w:tcBorders>
              <w:top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rPr>
                <w:rFonts w:eastAsiaTheme="minorEastAsia" w:cs="Arial"/>
                <w:b w:val="0"/>
                <w:color w:val="000000"/>
                <w:sz w:val="16"/>
                <w:szCs w:val="16"/>
                <w:lang w:eastAsia="en-US"/>
              </w:rPr>
            </w:pPr>
            <w:r w:rsidRPr="00D178DD">
              <w:rPr>
                <w:rFonts w:eastAsiaTheme="minorEastAsia" w:cs="Arial"/>
                <w:b w:val="0"/>
                <w:color w:val="000000"/>
                <w:sz w:val="16"/>
                <w:szCs w:val="16"/>
                <w:lang w:val="en-US" w:eastAsia="en-US"/>
              </w:rPr>
              <w:t>Պետական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բյուջեի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ոչ</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ֆինանսական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ակտիվների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գծով</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ծախսեր</w:t>
            </w:r>
          </w:p>
        </w:tc>
        <w:tc>
          <w:tcPr>
            <w:tcW w:w="180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eastAsia="en-US"/>
              </w:rPr>
            </w:pPr>
            <w:r w:rsidRPr="00D178DD">
              <w:rPr>
                <w:rFonts w:eastAsiaTheme="minorEastAsia" w:cs="Arial"/>
                <w:b w:val="0"/>
                <w:color w:val="000000"/>
                <w:sz w:val="16"/>
                <w:szCs w:val="16"/>
                <w:lang w:eastAsia="en-US"/>
              </w:rPr>
              <w:t xml:space="preserve">&gt;/= </w:t>
            </w:r>
            <w:r w:rsidRPr="00D178DD">
              <w:rPr>
                <w:rFonts w:eastAsiaTheme="minorEastAsia" w:cs="Arial"/>
                <w:b w:val="0"/>
                <w:color w:val="000000"/>
                <w:sz w:val="16"/>
                <w:szCs w:val="16"/>
                <w:lang w:val="en-US" w:eastAsia="en-US"/>
              </w:rPr>
              <w:t>պետական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բյուջեի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պակասուրդ</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մլրդ</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դրամ</w:t>
            </w:r>
          </w:p>
        </w:tc>
        <w:tc>
          <w:tcPr>
            <w:tcW w:w="75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334.0</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226.2</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320.5</w:t>
            </w:r>
          </w:p>
        </w:tc>
        <w:tc>
          <w:tcPr>
            <w:tcW w:w="708"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216.3</w:t>
            </w:r>
          </w:p>
        </w:tc>
        <w:tc>
          <w:tcPr>
            <w:tcW w:w="851"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204.2</w:t>
            </w:r>
          </w:p>
        </w:tc>
        <w:tc>
          <w:tcPr>
            <w:tcW w:w="709"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389.7</w:t>
            </w:r>
          </w:p>
        </w:tc>
        <w:tc>
          <w:tcPr>
            <w:tcW w:w="850"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288.9</w:t>
            </w:r>
          </w:p>
        </w:tc>
        <w:tc>
          <w:tcPr>
            <w:tcW w:w="732"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547.7</w:t>
            </w:r>
          </w:p>
        </w:tc>
      </w:tr>
      <w:tr w:rsidR="00D178DD" w:rsidRPr="00D178DD" w:rsidTr="004B2286">
        <w:trPr>
          <w:trHeight w:val="954"/>
          <w:jc w:val="center"/>
        </w:trPr>
        <w:tc>
          <w:tcPr>
            <w:tcW w:w="1597" w:type="dxa"/>
            <w:tcBorders>
              <w:top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rPr>
                <w:rFonts w:eastAsiaTheme="minorEastAsia" w:cs="Arial"/>
                <w:b w:val="0"/>
                <w:color w:val="000000"/>
                <w:sz w:val="16"/>
                <w:szCs w:val="16"/>
                <w:lang w:eastAsia="en-US"/>
              </w:rPr>
            </w:pPr>
            <w:r w:rsidRPr="00D178DD">
              <w:rPr>
                <w:rFonts w:eastAsiaTheme="minorEastAsia" w:cs="Arial"/>
                <w:b w:val="0"/>
                <w:color w:val="000000"/>
                <w:sz w:val="16"/>
                <w:szCs w:val="16"/>
                <w:lang w:val="en-US" w:eastAsia="en-US"/>
              </w:rPr>
              <w:t>Պետական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բյուջեի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ընթացիկ</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առաջնային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ծախսերի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աճի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տեմպ</w:t>
            </w:r>
          </w:p>
        </w:tc>
        <w:tc>
          <w:tcPr>
            <w:tcW w:w="180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eastAsia="en-US"/>
              </w:rPr>
            </w:pPr>
            <w:r w:rsidRPr="00D178DD">
              <w:rPr>
                <w:rFonts w:eastAsiaTheme="minorEastAsia" w:cs="Arial"/>
                <w:b w:val="0"/>
                <w:color w:val="000000"/>
                <w:sz w:val="16"/>
                <w:szCs w:val="16"/>
                <w:lang w:eastAsia="en-US"/>
              </w:rPr>
              <w:t xml:space="preserve">&lt;/= </w:t>
            </w:r>
            <w:r w:rsidRPr="00D178DD">
              <w:rPr>
                <w:rFonts w:eastAsiaTheme="minorEastAsia" w:cs="Arial"/>
                <w:b w:val="0"/>
                <w:color w:val="000000"/>
                <w:sz w:val="16"/>
                <w:szCs w:val="16"/>
                <w:lang w:val="en-US" w:eastAsia="en-US"/>
              </w:rPr>
              <w:t>նախորդ</w:t>
            </w:r>
            <w:r w:rsidRPr="00D178DD">
              <w:rPr>
                <w:rFonts w:eastAsiaTheme="minorEastAsia" w:cs="Arial"/>
                <w:b w:val="0"/>
                <w:color w:val="000000"/>
                <w:sz w:val="16"/>
                <w:szCs w:val="16"/>
                <w:lang w:eastAsia="en-US"/>
              </w:rPr>
              <w:t xml:space="preserve"> 7 </w:t>
            </w:r>
            <w:r w:rsidRPr="00D178DD">
              <w:rPr>
                <w:rFonts w:eastAsiaTheme="minorEastAsia" w:cs="Arial"/>
                <w:b w:val="0"/>
                <w:color w:val="000000"/>
                <w:sz w:val="16"/>
                <w:szCs w:val="16"/>
                <w:lang w:val="en-US" w:eastAsia="en-US"/>
              </w:rPr>
              <w:t>տարիների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անվանական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ՀՆԱ</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աճի</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միջին</w:t>
            </w:r>
            <w:r w:rsidRPr="00D178DD">
              <w:rPr>
                <w:rFonts w:eastAsiaTheme="minorEastAsia" w:cs="Arial"/>
                <w:b w:val="0"/>
                <w:color w:val="000000"/>
                <w:sz w:val="16"/>
                <w:szCs w:val="16"/>
                <w:lang w:eastAsia="en-US"/>
              </w:rPr>
              <w:t xml:space="preserve"> </w:t>
            </w:r>
            <w:r w:rsidRPr="00D178DD">
              <w:rPr>
                <w:rFonts w:eastAsiaTheme="minorEastAsia" w:cs="Arial"/>
                <w:b w:val="0"/>
                <w:color w:val="000000"/>
                <w:sz w:val="16"/>
                <w:szCs w:val="16"/>
                <w:lang w:val="en-US" w:eastAsia="en-US"/>
              </w:rPr>
              <w:t>տեմպ</w:t>
            </w:r>
            <w:r w:rsidRPr="00D178DD">
              <w:rPr>
                <w:rFonts w:eastAsiaTheme="minorEastAsia" w:cs="Arial"/>
                <w:b w:val="0"/>
                <w:color w:val="000000"/>
                <w:sz w:val="16"/>
                <w:szCs w:val="16"/>
                <w:lang w:eastAsia="en-US"/>
              </w:rPr>
              <w:t>, %*</w:t>
            </w:r>
          </w:p>
        </w:tc>
        <w:tc>
          <w:tcPr>
            <w:tcW w:w="75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5.9</w:t>
            </w:r>
          </w:p>
        </w:tc>
        <w:tc>
          <w:tcPr>
            <w:tcW w:w="851"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14.8</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6.3</w:t>
            </w:r>
          </w:p>
        </w:tc>
        <w:tc>
          <w:tcPr>
            <w:tcW w:w="708"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12.8</w:t>
            </w:r>
          </w:p>
        </w:tc>
        <w:tc>
          <w:tcPr>
            <w:tcW w:w="851"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4.1</w:t>
            </w:r>
          </w:p>
        </w:tc>
        <w:tc>
          <w:tcPr>
            <w:tcW w:w="709"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4.6</w:t>
            </w:r>
          </w:p>
        </w:tc>
        <w:tc>
          <w:tcPr>
            <w:tcW w:w="850"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5.1</w:t>
            </w:r>
          </w:p>
        </w:tc>
        <w:tc>
          <w:tcPr>
            <w:tcW w:w="732"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5.1</w:t>
            </w:r>
          </w:p>
        </w:tc>
      </w:tr>
      <w:tr w:rsidR="00D178DD" w:rsidRPr="00D178DD" w:rsidTr="004B2286">
        <w:trPr>
          <w:trHeight w:val="954"/>
          <w:jc w:val="center"/>
        </w:trPr>
        <w:tc>
          <w:tcPr>
            <w:tcW w:w="1597" w:type="dxa"/>
            <w:tcBorders>
              <w:top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Պետական բյուջեի ընթացիկ ծախսեր</w:t>
            </w:r>
          </w:p>
        </w:tc>
        <w:tc>
          <w:tcPr>
            <w:tcW w:w="1800"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&lt;/= հարկային եկամուտների և տուրքերի ծավալ, մլրդ դրամ**</w:t>
            </w:r>
          </w:p>
        </w:tc>
        <w:tc>
          <w:tcPr>
            <w:tcW w:w="75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1668.5</w:t>
            </w:r>
          </w:p>
        </w:tc>
        <w:tc>
          <w:tcPr>
            <w:tcW w:w="709"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w:t>
            </w:r>
          </w:p>
        </w:tc>
        <w:tc>
          <w:tcPr>
            <w:tcW w:w="708" w:type="dxa"/>
            <w:tcBorders>
              <w:top w:val="single" w:sz="2" w:space="0" w:color="4472C4"/>
              <w:left w:val="single" w:sz="2" w:space="0" w:color="4472C4"/>
              <w:bottom w:val="single" w:sz="2" w:space="0" w:color="4472C4"/>
              <w:right w:val="single" w:sz="2" w:space="0" w:color="4472C4"/>
            </w:tcBorders>
            <w:shd w:val="clear" w:color="auto" w:fill="auto"/>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rFonts w:eastAsiaTheme="minorEastAsia" w:cs="Arial"/>
                <w:b w:val="0"/>
                <w:color w:val="000000"/>
                <w:sz w:val="16"/>
                <w:szCs w:val="16"/>
                <w:lang w:val="en-US" w:eastAsia="en-US"/>
              </w:rPr>
              <w:t>1787.9</w:t>
            </w:r>
          </w:p>
        </w:tc>
        <w:tc>
          <w:tcPr>
            <w:tcW w:w="851"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1920.0</w:t>
            </w:r>
          </w:p>
        </w:tc>
        <w:tc>
          <w:tcPr>
            <w:tcW w:w="709" w:type="dxa"/>
            <w:tcBorders>
              <w:top w:val="nil"/>
              <w:left w:val="nil"/>
              <w:bottom w:val="single" w:sz="8" w:space="0" w:color="4472C4"/>
              <w:right w:val="single" w:sz="8" w:space="0" w:color="4472C4"/>
            </w:tcBorders>
            <w:shd w:val="clear" w:color="000000" w:fill="D9E2F3"/>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1857.0</w:t>
            </w:r>
          </w:p>
        </w:tc>
        <w:tc>
          <w:tcPr>
            <w:tcW w:w="850" w:type="dxa"/>
            <w:tcBorders>
              <w:top w:val="nil"/>
              <w:left w:val="nil"/>
              <w:bottom w:val="single" w:sz="8" w:space="0" w:color="4472C4"/>
              <w:right w:val="single" w:sz="8" w:space="0" w:color="4472C4"/>
            </w:tcBorders>
            <w:shd w:val="clear" w:color="000000" w:fill="D9E2F3"/>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2203.7</w:t>
            </w:r>
          </w:p>
        </w:tc>
        <w:tc>
          <w:tcPr>
            <w:tcW w:w="732" w:type="dxa"/>
            <w:tcBorders>
              <w:top w:val="nil"/>
              <w:left w:val="nil"/>
              <w:bottom w:val="single" w:sz="8" w:space="0" w:color="4472C4"/>
              <w:right w:val="single" w:sz="8" w:space="0" w:color="4472C4"/>
            </w:tcBorders>
            <w:shd w:val="clear" w:color="000000" w:fill="D9E2F3"/>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16"/>
                <w:szCs w:val="16"/>
                <w:lang w:val="en-US" w:eastAsia="en-US"/>
              </w:rPr>
            </w:pPr>
            <w:r w:rsidRPr="00D178DD">
              <w:rPr>
                <w:b w:val="0"/>
                <w:color w:val="000000"/>
                <w:sz w:val="16"/>
                <w:szCs w:val="16"/>
              </w:rPr>
              <w:t>2042.5</w:t>
            </w:r>
          </w:p>
        </w:tc>
      </w:tr>
      <w:tr w:rsidR="00D178DD" w:rsidRPr="00D178DD" w:rsidTr="004B2286">
        <w:trPr>
          <w:trHeight w:val="241"/>
          <w:jc w:val="center"/>
        </w:trPr>
        <w:tc>
          <w:tcPr>
            <w:tcW w:w="3397" w:type="dxa"/>
            <w:gridSpan w:val="2"/>
            <w:tcBorders>
              <w:top w:val="single" w:sz="2" w:space="0" w:color="4472C4"/>
              <w:bottom w:val="single" w:sz="18"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20"/>
                <w:szCs w:val="20"/>
                <w:lang w:val="en-US" w:eastAsia="en-US"/>
              </w:rPr>
            </w:pPr>
            <w:r w:rsidRPr="00D178DD">
              <w:rPr>
                <w:rFonts w:eastAsiaTheme="minorEastAsia" w:cs="Arial"/>
                <w:b w:val="0"/>
                <w:color w:val="000000"/>
                <w:sz w:val="20"/>
                <w:szCs w:val="20"/>
                <w:lang w:val="en-US" w:eastAsia="en-US"/>
              </w:rPr>
              <w:t>Կառավարության պարտք/ՀՆԱ, %</w:t>
            </w:r>
          </w:p>
        </w:tc>
        <w:tc>
          <w:tcPr>
            <w:tcW w:w="1603" w:type="dxa"/>
            <w:gridSpan w:val="2"/>
            <w:tcBorders>
              <w:top w:val="single" w:sz="2" w:space="0" w:color="4472C4"/>
              <w:left w:val="single" w:sz="2" w:space="0" w:color="4472C4"/>
              <w:bottom w:val="single" w:sz="18" w:space="0" w:color="4472C4"/>
              <w:right w:val="single" w:sz="2" w:space="0" w:color="4472C4"/>
            </w:tcBorders>
            <w:shd w:val="clear" w:color="auto" w:fill="auto"/>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20"/>
                <w:szCs w:val="20"/>
                <w:lang w:val="en-US" w:eastAsia="en-US"/>
              </w:rPr>
            </w:pPr>
            <w:r w:rsidRPr="00D178DD">
              <w:rPr>
                <w:rFonts w:eastAsiaTheme="minorEastAsia" w:cs="Arial"/>
                <w:b w:val="0"/>
                <w:color w:val="000000"/>
                <w:sz w:val="20"/>
                <w:szCs w:val="20"/>
                <w:lang w:val="en-US" w:eastAsia="en-US"/>
              </w:rPr>
              <w:t>63.5</w:t>
            </w:r>
          </w:p>
        </w:tc>
        <w:tc>
          <w:tcPr>
            <w:tcW w:w="1417" w:type="dxa"/>
            <w:gridSpan w:val="2"/>
            <w:tcBorders>
              <w:top w:val="single" w:sz="2" w:space="0" w:color="4472C4"/>
              <w:left w:val="single" w:sz="2" w:space="0" w:color="4472C4"/>
              <w:bottom w:val="single" w:sz="18" w:space="0" w:color="4472C4"/>
              <w:right w:val="single" w:sz="2" w:space="0" w:color="4472C4"/>
            </w:tcBorders>
            <w:shd w:val="clear" w:color="auto" w:fill="FFFFFF"/>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20"/>
                <w:szCs w:val="20"/>
                <w:lang w:val="en-US" w:eastAsia="en-US"/>
              </w:rPr>
            </w:pPr>
            <w:r w:rsidRPr="00D178DD">
              <w:rPr>
                <w:rFonts w:eastAsiaTheme="minorEastAsia" w:cs="Arial"/>
                <w:b w:val="0"/>
                <w:color w:val="000000"/>
                <w:sz w:val="20"/>
                <w:szCs w:val="20"/>
                <w:lang w:val="en-US" w:eastAsia="en-US"/>
              </w:rPr>
              <w:t>60.3</w:t>
            </w:r>
          </w:p>
        </w:tc>
        <w:tc>
          <w:tcPr>
            <w:tcW w:w="1560"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rsidR="00D178DD" w:rsidRPr="00D178DD" w:rsidRDefault="00D178DD" w:rsidP="00D178DD">
            <w:pPr>
              <w:spacing w:before="0" w:after="200" w:line="276" w:lineRule="auto"/>
              <w:ind w:firstLine="0"/>
              <w:contextualSpacing w:val="0"/>
              <w:jc w:val="center"/>
              <w:rPr>
                <w:rFonts w:eastAsiaTheme="minorEastAsia" w:cs="Arial"/>
                <w:b w:val="0"/>
                <w:color w:val="000000"/>
                <w:sz w:val="20"/>
                <w:szCs w:val="20"/>
                <w:lang w:val="hy-AM" w:eastAsia="en-US"/>
              </w:rPr>
            </w:pPr>
            <w:r w:rsidRPr="00D178DD">
              <w:rPr>
                <w:b w:val="0"/>
                <w:color w:val="000000"/>
                <w:sz w:val="20"/>
                <w:szCs w:val="20"/>
              </w:rPr>
              <w:t>5</w:t>
            </w:r>
            <w:r w:rsidRPr="00D178DD">
              <w:rPr>
                <w:b w:val="0"/>
                <w:color w:val="000000"/>
                <w:sz w:val="20"/>
                <w:szCs w:val="20"/>
                <w:lang w:val="hy-AM"/>
              </w:rPr>
              <w:t>0</w:t>
            </w:r>
            <w:r w:rsidRPr="00D178DD">
              <w:rPr>
                <w:b w:val="0"/>
                <w:color w:val="000000"/>
                <w:sz w:val="20"/>
                <w:szCs w:val="20"/>
              </w:rPr>
              <w:t>.</w:t>
            </w:r>
            <w:r w:rsidRPr="00D178DD">
              <w:rPr>
                <w:b w:val="0"/>
                <w:color w:val="000000"/>
                <w:sz w:val="20"/>
                <w:szCs w:val="20"/>
                <w:lang w:val="hy-AM"/>
              </w:rPr>
              <w:t>1</w:t>
            </w:r>
          </w:p>
        </w:tc>
        <w:tc>
          <w:tcPr>
            <w:tcW w:w="1582"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rsidR="00D178DD" w:rsidRPr="00D178DD" w:rsidRDefault="00D178DD" w:rsidP="00D178DD">
            <w:pPr>
              <w:spacing w:before="0" w:line="276" w:lineRule="auto"/>
              <w:ind w:firstLine="0"/>
              <w:contextualSpacing w:val="0"/>
              <w:jc w:val="center"/>
              <w:rPr>
                <w:rFonts w:eastAsiaTheme="minorEastAsia" w:cs="Arial"/>
                <w:b w:val="0"/>
                <w:color w:val="000000"/>
                <w:sz w:val="20"/>
                <w:szCs w:val="20"/>
                <w:lang w:val="en-US" w:eastAsia="en-US"/>
              </w:rPr>
            </w:pPr>
            <w:r w:rsidRPr="00D178DD">
              <w:rPr>
                <w:rFonts w:cs="Arial"/>
                <w:b w:val="0"/>
                <w:color w:val="000000"/>
                <w:sz w:val="20"/>
                <w:szCs w:val="20"/>
              </w:rPr>
              <w:t>49.</w:t>
            </w:r>
            <w:r w:rsidRPr="00D178DD">
              <w:rPr>
                <w:rFonts w:cs="Arial"/>
                <w:b w:val="0"/>
                <w:color w:val="000000"/>
                <w:sz w:val="20"/>
                <w:szCs w:val="20"/>
                <w:lang w:val="hy-AM"/>
              </w:rPr>
              <w:t>8</w:t>
            </w:r>
          </w:p>
        </w:tc>
      </w:tr>
    </w:tbl>
    <w:p w:rsidR="00D178DD" w:rsidRPr="00D178DD" w:rsidRDefault="00D178DD" w:rsidP="00D178DD">
      <w:pPr>
        <w:spacing w:before="0" w:line="240" w:lineRule="auto"/>
        <w:ind w:left="284" w:firstLine="0"/>
        <w:contextualSpacing w:val="0"/>
        <w:jc w:val="left"/>
        <w:rPr>
          <w:rFonts w:eastAsia="Calibri"/>
          <w:b w:val="0"/>
          <w:i/>
          <w:szCs w:val="22"/>
          <w:lang w:val="hy-AM" w:eastAsia="en-US"/>
        </w:rPr>
      </w:pPr>
    </w:p>
    <w:p w:rsidR="00D178DD" w:rsidRPr="00D178DD" w:rsidRDefault="00D178DD" w:rsidP="00D178DD">
      <w:pPr>
        <w:spacing w:before="0" w:line="240" w:lineRule="auto"/>
        <w:ind w:left="284" w:firstLine="0"/>
        <w:contextualSpacing w:val="0"/>
        <w:jc w:val="left"/>
        <w:rPr>
          <w:rFonts w:eastAsia="Calibri"/>
          <w:i/>
          <w:szCs w:val="22"/>
          <w:lang w:val="hy-AM" w:eastAsia="en-US"/>
        </w:rPr>
      </w:pPr>
      <w:r w:rsidRPr="00D178DD">
        <w:rPr>
          <w:rFonts w:eastAsia="Calibri"/>
          <w:b w:val="0"/>
          <w:i/>
          <w:szCs w:val="22"/>
          <w:lang w:val="hy-AM" w:eastAsia="en-US"/>
        </w:rPr>
        <w:t>*Հաշվարկված է որպես երկու տարի առաջ (t-2) արձանագրված ցուցանիշի նկատմամբ համապատասխան տարվա (t) հավելաճի տեմպի կես</w:t>
      </w:r>
    </w:p>
    <w:p w:rsidR="00D178DD" w:rsidRPr="00D178DD" w:rsidRDefault="00D178DD" w:rsidP="00D178DD">
      <w:pPr>
        <w:spacing w:before="0" w:line="240" w:lineRule="auto"/>
        <w:ind w:left="284" w:firstLine="0"/>
        <w:contextualSpacing w:val="0"/>
        <w:jc w:val="left"/>
        <w:rPr>
          <w:rFonts w:eastAsia="Calibri"/>
          <w:szCs w:val="22"/>
          <w:lang w:val="hy-AM" w:eastAsia="en-US"/>
        </w:rPr>
      </w:pPr>
      <w:r w:rsidRPr="00D178DD">
        <w:rPr>
          <w:rFonts w:eastAsia="Calibri"/>
          <w:b w:val="0"/>
          <w:i/>
          <w:szCs w:val="22"/>
          <w:lang w:val="hy-AM" w:eastAsia="en-US"/>
        </w:rPr>
        <w:t>**Պետական պարտքի առկա չափի դեպքում կիրառելի չէ</w:t>
      </w:r>
    </w:p>
    <w:p w:rsidR="00D178DD" w:rsidRPr="00D178DD" w:rsidRDefault="00D178DD" w:rsidP="00D178DD">
      <w:pPr>
        <w:keepNext/>
        <w:keepLines/>
        <w:spacing w:before="0" w:line="276" w:lineRule="auto"/>
        <w:ind w:firstLine="0"/>
        <w:outlineLvl w:val="2"/>
        <w:rPr>
          <w:sz w:val="24"/>
          <w:lang w:val="hy-AM" w:eastAsia="en-US"/>
        </w:rPr>
      </w:pPr>
      <w:bookmarkStart w:id="120" w:name="_Toc45838555"/>
      <w:bookmarkStart w:id="121" w:name="_Toc46154356"/>
      <w:bookmarkStart w:id="122" w:name="_Toc52452096"/>
      <w:bookmarkStart w:id="123" w:name="_Toc57655457"/>
      <w:bookmarkStart w:id="124" w:name="_Toc83972841"/>
      <w:bookmarkStart w:id="125" w:name="_Toc115686029"/>
      <w:bookmarkStart w:id="126" w:name="_Toc120805203"/>
      <w:bookmarkStart w:id="127" w:name="_Toc165901415"/>
      <w:r w:rsidRPr="00D178DD">
        <w:rPr>
          <w:sz w:val="24"/>
          <w:lang w:val="hy-AM" w:eastAsia="en-US"/>
        </w:rPr>
        <w:lastRenderedPageBreak/>
        <w:t>2.5. ՊԵՏԱԿԱՆ ԲՅՈՒՋԵԻ ՑՈՒՑԱՆԻՇՆԵՐԻ ԿԱՆԽԱՏԵՍՈՒՄՆԵՐԻ ՀԱՄԵՄԱՏԱԿԱՆ ԱՂՅՈՒՍԱԿՆԵՐ</w:t>
      </w:r>
      <w:bookmarkEnd w:id="120"/>
      <w:bookmarkEnd w:id="121"/>
      <w:bookmarkEnd w:id="122"/>
      <w:bookmarkEnd w:id="123"/>
      <w:bookmarkEnd w:id="124"/>
      <w:bookmarkEnd w:id="125"/>
      <w:bookmarkEnd w:id="126"/>
      <w:bookmarkEnd w:id="127"/>
    </w:p>
    <w:p w:rsidR="00D178DD" w:rsidRPr="00D178DD" w:rsidRDefault="00D178DD" w:rsidP="00D178DD">
      <w:pPr>
        <w:rPr>
          <w:lang w:val="hy-AM" w:eastAsia="en-US"/>
        </w:rPr>
      </w:pPr>
    </w:p>
    <w:p w:rsidR="00D178DD" w:rsidRPr="00D178DD" w:rsidRDefault="00D178DD" w:rsidP="00D178DD">
      <w:pPr>
        <w:spacing w:before="0" w:line="276"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 xml:space="preserve">Աղյուսակ 2.5.1. </w:t>
      </w:r>
      <w:r w:rsidRPr="00D178DD">
        <w:rPr>
          <w:rFonts w:eastAsia="Calibri" w:cs="Sylfaen"/>
          <w:b w:val="0"/>
          <w:bCs/>
          <w:i/>
          <w:iCs/>
          <w:color w:val="000000"/>
          <w:sz w:val="20"/>
          <w:szCs w:val="20"/>
          <w:lang w:val="hy-AM" w:eastAsia="en-US"/>
        </w:rPr>
        <w:t>Պետական բյուջեի եկամուտների կանխատեսումների համեմատական աղյուսակը (մլրդ դրամ)</w:t>
      </w:r>
    </w:p>
    <w:tbl>
      <w:tblPr>
        <w:tblW w:w="9600" w:type="dxa"/>
        <w:tblLook w:val="04A0" w:firstRow="1" w:lastRow="0" w:firstColumn="1" w:lastColumn="0" w:noHBand="0" w:noVBand="1"/>
      </w:tblPr>
      <w:tblGrid>
        <w:gridCol w:w="1540"/>
        <w:gridCol w:w="3620"/>
        <w:gridCol w:w="1480"/>
        <w:gridCol w:w="1480"/>
        <w:gridCol w:w="1480"/>
      </w:tblGrid>
      <w:tr w:rsidR="00D178DD" w:rsidRPr="00D178DD" w:rsidTr="004B2286">
        <w:trPr>
          <w:trHeight w:val="675"/>
        </w:trPr>
        <w:tc>
          <w:tcPr>
            <w:tcW w:w="154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62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4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4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4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1,683.8</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24.10%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1,669.9</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1,885.9</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2,082.9</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23.40%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24.00%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24.30%</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1,509.5</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23.60%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1,617.3</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1,819.2</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1,966.7</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23.50%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24.00%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24.10%</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1,656.9</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1,947.8</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23.60%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24.80%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54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2,020.9</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2,253.8</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25.00%</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24.90%</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2,042.5</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after="200" w:line="240" w:lineRule="auto"/>
              <w:ind w:firstLine="0"/>
              <w:contextualSpacing w:val="0"/>
              <w:jc w:val="right"/>
              <w:rPr>
                <w:rFonts w:cs="Calibri"/>
                <w:b w:val="0"/>
                <w:color w:val="000000"/>
                <w:szCs w:val="22"/>
                <w:lang w:val="hy-AM" w:eastAsia="en-US"/>
              </w:rPr>
            </w:pPr>
            <w:r w:rsidRPr="00D178DD">
              <w:rPr>
                <w:rFonts w:cs="Calibri"/>
                <w:b w:val="0"/>
                <w:color w:val="000000"/>
                <w:szCs w:val="22"/>
                <w:lang w:val="en-US" w:eastAsia="en-US"/>
              </w:rPr>
              <w:t>2,30</w:t>
            </w:r>
            <w:r w:rsidRPr="00D178DD">
              <w:rPr>
                <w:rFonts w:cs="Calibri"/>
                <w:b w:val="0"/>
                <w:color w:val="000000"/>
                <w:szCs w:val="22"/>
                <w:lang w:val="hy-AM" w:eastAsia="en-US"/>
              </w:rPr>
              <w:t>2</w:t>
            </w:r>
            <w:r w:rsidRPr="00D178DD">
              <w:rPr>
                <w:rFonts w:cs="Calibri"/>
                <w:b w:val="0"/>
                <w:color w:val="000000"/>
                <w:szCs w:val="22"/>
                <w:lang w:val="en-US" w:eastAsia="en-US"/>
              </w:rPr>
              <w:t>.</w:t>
            </w:r>
            <w:r w:rsidRPr="00D178DD">
              <w:rPr>
                <w:rFonts w:cs="Calibri"/>
                <w:b w:val="0"/>
                <w:color w:val="000000"/>
                <w:szCs w:val="22"/>
                <w:lang w:val="hy-AM" w:eastAsia="en-US"/>
              </w:rPr>
              <w:t>0</w:t>
            </w:r>
          </w:p>
        </w:tc>
      </w:tr>
      <w:tr w:rsidR="00D178DD" w:rsidRPr="00D178DD" w:rsidTr="004B2286">
        <w:trPr>
          <w:trHeight w:val="345"/>
        </w:trPr>
        <w:tc>
          <w:tcPr>
            <w:tcW w:w="154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2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24.63%</w:t>
            </w:r>
          </w:p>
        </w:tc>
        <w:tc>
          <w:tcPr>
            <w:tcW w:w="14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24.70%</w:t>
            </w:r>
          </w:p>
        </w:tc>
      </w:tr>
    </w:tbl>
    <w:p w:rsidR="00D178DD" w:rsidRPr="00D178DD" w:rsidRDefault="00D178DD" w:rsidP="00D178DD">
      <w:pPr>
        <w:spacing w:before="0" w:line="276" w:lineRule="auto"/>
        <w:ind w:firstLine="0"/>
        <w:contextualSpacing w:val="0"/>
        <w:rPr>
          <w:rFonts w:eastAsia="Calibri"/>
          <w:bCs/>
          <w:i/>
          <w:iCs/>
          <w:color w:val="000000"/>
          <w:szCs w:val="22"/>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Աղյուսակ 2.5.2.</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հարկային եկամուտների կանխատեսումների համեմատական աղյուսակը (մլրդ դրամ)</w:t>
      </w:r>
    </w:p>
    <w:tbl>
      <w:tblPr>
        <w:tblW w:w="9620" w:type="dxa"/>
        <w:tblLook w:val="04A0" w:firstRow="1" w:lastRow="0" w:firstColumn="1" w:lastColumn="0" w:noHBand="0" w:noVBand="1"/>
      </w:tblPr>
      <w:tblGrid>
        <w:gridCol w:w="1924"/>
        <w:gridCol w:w="3630"/>
        <w:gridCol w:w="1312"/>
        <w:gridCol w:w="1312"/>
        <w:gridCol w:w="1442"/>
      </w:tblGrid>
      <w:tr w:rsidR="00D178DD" w:rsidRPr="00D178DD" w:rsidTr="004B2286">
        <w:trPr>
          <w:trHeight w:val="675"/>
        </w:trPr>
        <w:tc>
          <w:tcPr>
            <w:tcW w:w="1924"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63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31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31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44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1,586.9</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22.70%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1,600.3</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1,819.7</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2,027.1</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22.40%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23.20%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23.60%</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1,440.1</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22.50%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1,540.5</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1,733.5</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1,889.9</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22.40%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22.90%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23.10%</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1,581.0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1,843.9</w:t>
            </w:r>
          </w:p>
        </w:tc>
        <w:tc>
          <w:tcPr>
            <w:tcW w:w="144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22.50%</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23.40%</w:t>
            </w:r>
          </w:p>
        </w:tc>
        <w:tc>
          <w:tcPr>
            <w:tcW w:w="144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924"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31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1,900.0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2,176.4</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23.50%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24.00%</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1,920.0</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2,203.7</w:t>
            </w:r>
          </w:p>
        </w:tc>
      </w:tr>
      <w:tr w:rsidR="00D178DD" w:rsidRPr="00D178DD" w:rsidTr="004B2286">
        <w:trPr>
          <w:trHeight w:val="345"/>
        </w:trPr>
        <w:tc>
          <w:tcPr>
            <w:tcW w:w="1924"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3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1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23.15%</w:t>
            </w:r>
          </w:p>
        </w:tc>
        <w:tc>
          <w:tcPr>
            <w:tcW w:w="144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23.65%</w:t>
            </w:r>
          </w:p>
        </w:tc>
      </w:tr>
    </w:tbl>
    <w:p w:rsidR="00D178DD" w:rsidRPr="00D178DD" w:rsidRDefault="00D178DD" w:rsidP="00D178DD">
      <w:pPr>
        <w:spacing w:before="0" w:line="259" w:lineRule="auto"/>
        <w:ind w:firstLine="0"/>
        <w:contextualSpacing w:val="0"/>
        <w:rPr>
          <w:rFonts w:eastAsia="Calibri"/>
          <w:bCs/>
          <w:i/>
          <w:iCs/>
          <w:color w:val="000000"/>
          <w:szCs w:val="22"/>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Աղյուսակ 2.5.3.</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ծախսերի կանխատեսումների համեմատական աղյուսակը (մլրդ դրամ)</w:t>
      </w:r>
    </w:p>
    <w:tbl>
      <w:tblPr>
        <w:tblW w:w="9473" w:type="dxa"/>
        <w:tblLook w:val="04A0" w:firstRow="1" w:lastRow="0" w:firstColumn="1" w:lastColumn="0" w:noHBand="0" w:noVBand="1"/>
      </w:tblPr>
      <w:tblGrid>
        <w:gridCol w:w="1706"/>
        <w:gridCol w:w="3660"/>
        <w:gridCol w:w="1369"/>
        <w:gridCol w:w="1369"/>
        <w:gridCol w:w="1369"/>
      </w:tblGrid>
      <w:tr w:rsidR="00D178DD" w:rsidRPr="00D178DD" w:rsidTr="004B2286">
        <w:trPr>
          <w:trHeight w:val="578"/>
        </w:trPr>
        <w:tc>
          <w:tcPr>
            <w:tcW w:w="1706"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66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369"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369"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369"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2,004.3</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28.70%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1,879.0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2,026.1</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2,241.4</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26.30%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25.80%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26.10%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1,850.9</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28.90%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1,936.0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2,000.9</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2,135.5</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28.10%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26.40%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26.10%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1,986.0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2,184.0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28.20%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27.80%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9"/>
        </w:trPr>
        <w:tc>
          <w:tcPr>
            <w:tcW w:w="1706"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2,192.2</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2,546.0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27.20%</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28.10%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2,246.7</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after="200" w:line="240" w:lineRule="auto"/>
              <w:ind w:firstLine="0"/>
              <w:contextualSpacing w:val="0"/>
              <w:jc w:val="right"/>
              <w:rPr>
                <w:rFonts w:cs="Calibri"/>
                <w:b w:val="0"/>
                <w:color w:val="000000"/>
                <w:szCs w:val="22"/>
                <w:lang w:val="hy-AM" w:eastAsia="en-US"/>
              </w:rPr>
            </w:pPr>
            <w:r w:rsidRPr="00D178DD">
              <w:rPr>
                <w:rFonts w:cs="Calibri"/>
                <w:b w:val="0"/>
                <w:color w:val="000000"/>
                <w:szCs w:val="22"/>
                <w:lang w:val="en-US" w:eastAsia="en-US"/>
              </w:rPr>
              <w:t>2,59</w:t>
            </w:r>
            <w:r w:rsidRPr="00D178DD">
              <w:rPr>
                <w:rFonts w:cs="Calibri"/>
                <w:b w:val="0"/>
                <w:color w:val="000000"/>
                <w:szCs w:val="22"/>
                <w:lang w:val="hy-AM" w:eastAsia="en-US"/>
              </w:rPr>
              <w:t>1</w:t>
            </w:r>
            <w:r w:rsidRPr="00D178DD">
              <w:rPr>
                <w:rFonts w:cs="Calibri"/>
                <w:b w:val="0"/>
                <w:color w:val="000000"/>
                <w:szCs w:val="22"/>
                <w:lang w:val="en-US" w:eastAsia="en-US"/>
              </w:rPr>
              <w:t>.</w:t>
            </w:r>
            <w:r w:rsidRPr="00D178DD">
              <w:rPr>
                <w:rFonts w:cs="Calibri"/>
                <w:b w:val="0"/>
                <w:color w:val="000000"/>
                <w:szCs w:val="22"/>
                <w:lang w:val="hy-AM" w:eastAsia="en-US"/>
              </w:rPr>
              <w:t>0</w:t>
            </w:r>
          </w:p>
        </w:tc>
      </w:tr>
      <w:tr w:rsidR="00D178DD" w:rsidRPr="00D178DD" w:rsidTr="004B2286">
        <w:trPr>
          <w:trHeight w:val="349"/>
        </w:trPr>
        <w:tc>
          <w:tcPr>
            <w:tcW w:w="1706"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6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27.09%</w:t>
            </w:r>
          </w:p>
        </w:tc>
        <w:tc>
          <w:tcPr>
            <w:tcW w:w="136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27.80%</w:t>
            </w:r>
          </w:p>
        </w:tc>
      </w:tr>
    </w:tbl>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Աղյուսակ 2.5.4.</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ընթացիկ ծախսերի կանխատեսումների համեմատական աղյուսակը (մլրդ դրամ)</w:t>
      </w: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p>
    <w:tbl>
      <w:tblPr>
        <w:tblW w:w="9512" w:type="dxa"/>
        <w:tblLook w:val="04A0" w:firstRow="1" w:lastRow="0" w:firstColumn="1" w:lastColumn="0" w:noHBand="0" w:noVBand="1"/>
      </w:tblPr>
      <w:tblGrid>
        <w:gridCol w:w="1482"/>
        <w:gridCol w:w="3644"/>
        <w:gridCol w:w="1462"/>
        <w:gridCol w:w="1462"/>
        <w:gridCol w:w="1462"/>
      </w:tblGrid>
      <w:tr w:rsidR="00D178DD" w:rsidRPr="00D178DD" w:rsidTr="004B2286">
        <w:trPr>
          <w:trHeight w:val="607"/>
        </w:trPr>
        <w:tc>
          <w:tcPr>
            <w:tcW w:w="1482"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644"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46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46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462"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1,788.00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25.60%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1,629.0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1,699.9</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1,836.7</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22.80%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21.60%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21.40%</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1,634.6</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25.60%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1,738.9</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1,708.3</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1,827.3</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25.30%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22.60%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22.40%</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1,762.2</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1,842.2</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25.10%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23.40%</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58"/>
        </w:trPr>
        <w:tc>
          <w:tcPr>
            <w:tcW w:w="1482"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1,842.2</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2,030.7</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22.80%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22.40%</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1,857.0</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after="200" w:line="240" w:lineRule="auto"/>
              <w:ind w:firstLine="0"/>
              <w:contextualSpacing w:val="0"/>
              <w:jc w:val="right"/>
              <w:rPr>
                <w:rFonts w:cs="Calibri"/>
                <w:b w:val="0"/>
                <w:color w:val="000000"/>
                <w:szCs w:val="22"/>
                <w:lang w:val="hy-AM" w:eastAsia="en-US"/>
              </w:rPr>
            </w:pPr>
            <w:r w:rsidRPr="00D178DD">
              <w:rPr>
                <w:rFonts w:cs="Calibri"/>
                <w:b w:val="0"/>
                <w:color w:val="000000"/>
                <w:szCs w:val="22"/>
                <w:lang w:val="en-US" w:eastAsia="en-US"/>
              </w:rPr>
              <w:t>2,04</w:t>
            </w:r>
            <w:r w:rsidRPr="00D178DD">
              <w:rPr>
                <w:rFonts w:cs="Calibri"/>
                <w:b w:val="0"/>
                <w:color w:val="000000"/>
                <w:szCs w:val="22"/>
                <w:lang w:val="hy-AM" w:eastAsia="en-US"/>
              </w:rPr>
              <w:t>3</w:t>
            </w:r>
            <w:r w:rsidRPr="00D178DD">
              <w:rPr>
                <w:rFonts w:cs="Calibri"/>
                <w:b w:val="0"/>
                <w:color w:val="000000"/>
                <w:szCs w:val="22"/>
                <w:lang w:val="en-US" w:eastAsia="en-US"/>
              </w:rPr>
              <w:t>.</w:t>
            </w:r>
            <w:r w:rsidRPr="00D178DD">
              <w:rPr>
                <w:rFonts w:cs="Calibri"/>
                <w:b w:val="0"/>
                <w:color w:val="000000"/>
                <w:szCs w:val="22"/>
                <w:lang w:val="hy-AM" w:eastAsia="en-US"/>
              </w:rPr>
              <w:t>3</w:t>
            </w:r>
          </w:p>
        </w:tc>
      </w:tr>
      <w:tr w:rsidR="00D178DD" w:rsidRPr="00D178DD" w:rsidTr="004B2286">
        <w:trPr>
          <w:trHeight w:val="358"/>
        </w:trPr>
        <w:tc>
          <w:tcPr>
            <w:tcW w:w="1482"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644"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22.39%</w:t>
            </w:r>
          </w:p>
        </w:tc>
        <w:tc>
          <w:tcPr>
            <w:tcW w:w="1462"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21.92%</w:t>
            </w:r>
          </w:p>
        </w:tc>
      </w:tr>
    </w:tbl>
    <w:p w:rsidR="00D178DD" w:rsidRPr="00D178DD" w:rsidRDefault="00D178DD" w:rsidP="00D178DD">
      <w:pPr>
        <w:spacing w:before="0" w:line="259" w:lineRule="auto"/>
        <w:ind w:firstLine="0"/>
        <w:contextualSpacing w:val="0"/>
        <w:rPr>
          <w:rFonts w:eastAsia="Calibri"/>
          <w:bCs/>
          <w:i/>
          <w:iCs/>
          <w:color w:val="000000"/>
          <w:szCs w:val="22"/>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lastRenderedPageBreak/>
        <w:t>Աղյուսակ 2.5.5.</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ոչ ֆինանսական ակտիվների գծով զուտ ծախսերի կանխատեսումների համեմատական աղյուսակը (մլրդ դրամ)</w:t>
      </w:r>
    </w:p>
    <w:tbl>
      <w:tblPr>
        <w:tblW w:w="9459" w:type="dxa"/>
        <w:tblLook w:val="04A0" w:firstRow="1" w:lastRow="0" w:firstColumn="1" w:lastColumn="0" w:noHBand="0" w:noVBand="1"/>
      </w:tblPr>
      <w:tblGrid>
        <w:gridCol w:w="1670"/>
        <w:gridCol w:w="3319"/>
        <w:gridCol w:w="1490"/>
        <w:gridCol w:w="1490"/>
        <w:gridCol w:w="1490"/>
      </w:tblGrid>
      <w:tr w:rsidR="00D178DD" w:rsidRPr="00D178DD" w:rsidTr="004B2286">
        <w:trPr>
          <w:trHeight w:val="727"/>
        </w:trPr>
        <w:tc>
          <w:tcPr>
            <w:tcW w:w="1670"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319"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49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49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49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94"/>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216.3</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3.10%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94"/>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250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326.2</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404.8</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3.50%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4.20%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4.70%</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216.3</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3.40%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94"/>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197.2</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292.6</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308.1</w:t>
            </w:r>
          </w:p>
        </w:tc>
      </w:tr>
      <w:tr w:rsidR="00D178DD" w:rsidRPr="00D178DD" w:rsidTr="004B2286">
        <w:trPr>
          <w:trHeight w:val="394"/>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2.90%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3.90%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3.80%</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223.8</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341.9</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3.20%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4.30%</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8"/>
        </w:trPr>
        <w:tc>
          <w:tcPr>
            <w:tcW w:w="1670"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350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515.3</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4.30%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5.70%</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ascii="Calibri" w:hAnsi="Calibri" w:cs="Calibri"/>
                <w:b w:val="0"/>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389.7</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547.7</w:t>
            </w:r>
          </w:p>
        </w:tc>
      </w:tr>
      <w:tr w:rsidR="00D178DD" w:rsidRPr="00D178DD" w:rsidTr="004B2286">
        <w:trPr>
          <w:trHeight w:val="348"/>
        </w:trPr>
        <w:tc>
          <w:tcPr>
            <w:tcW w:w="1670"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19"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4.70%</w:t>
            </w:r>
          </w:p>
        </w:tc>
        <w:tc>
          <w:tcPr>
            <w:tcW w:w="149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5.88%</w:t>
            </w:r>
          </w:p>
        </w:tc>
      </w:tr>
    </w:tbl>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p>
    <w:p w:rsidR="00D178DD" w:rsidRPr="00D178DD" w:rsidRDefault="00D178DD" w:rsidP="00D178DD">
      <w:pPr>
        <w:spacing w:before="0" w:line="259" w:lineRule="auto"/>
        <w:ind w:firstLine="0"/>
        <w:contextualSpacing w:val="0"/>
        <w:rPr>
          <w:rFonts w:eastAsia="Calibri" w:cs="Sylfaen"/>
          <w:b w:val="0"/>
          <w:bCs/>
          <w:i/>
          <w:iCs/>
          <w:color w:val="000000"/>
          <w:sz w:val="20"/>
          <w:szCs w:val="20"/>
          <w:lang w:val="hy-AM" w:eastAsia="en-US"/>
        </w:rPr>
      </w:pPr>
      <w:r w:rsidRPr="00D178DD">
        <w:rPr>
          <w:rFonts w:eastAsia="Calibri"/>
          <w:bCs/>
          <w:i/>
          <w:iCs/>
          <w:color w:val="000000"/>
          <w:szCs w:val="22"/>
          <w:lang w:val="hy-AM" w:eastAsia="en-US"/>
        </w:rPr>
        <w:t>Աղյուսակ 2.5.6.</w:t>
      </w:r>
      <w:r w:rsidRPr="00D178DD">
        <w:rPr>
          <w:rFonts w:eastAsia="Calibri"/>
          <w:bCs/>
          <w:i/>
          <w:iCs/>
          <w:sz w:val="20"/>
          <w:szCs w:val="20"/>
          <w:lang w:val="hy-AM" w:eastAsia="en-US"/>
        </w:rPr>
        <w:t xml:space="preserve"> </w:t>
      </w:r>
      <w:r w:rsidRPr="00D178DD">
        <w:rPr>
          <w:rFonts w:eastAsia="Calibri" w:cs="Sylfaen"/>
          <w:b w:val="0"/>
          <w:bCs/>
          <w:i/>
          <w:iCs/>
          <w:color w:val="000000"/>
          <w:sz w:val="20"/>
          <w:szCs w:val="20"/>
          <w:lang w:val="hy-AM" w:eastAsia="en-US"/>
        </w:rPr>
        <w:t>Պետական բյուջեի պակասուրդի ֆինանսավորման կանխատեսումների համեմատական աղյուսակը (մլրդ դրամ)</w:t>
      </w:r>
    </w:p>
    <w:p w:rsidR="00D178DD" w:rsidRPr="00D178DD" w:rsidRDefault="00D178DD" w:rsidP="00D178DD">
      <w:pPr>
        <w:rPr>
          <w:lang w:val="hy-AM"/>
        </w:rPr>
      </w:pPr>
    </w:p>
    <w:tbl>
      <w:tblPr>
        <w:tblW w:w="9293" w:type="dxa"/>
        <w:tblLook w:val="04A0" w:firstRow="1" w:lastRow="0" w:firstColumn="1" w:lastColumn="0" w:noHBand="0" w:noVBand="1"/>
      </w:tblPr>
      <w:tblGrid>
        <w:gridCol w:w="1359"/>
        <w:gridCol w:w="3380"/>
        <w:gridCol w:w="1580"/>
        <w:gridCol w:w="1580"/>
        <w:gridCol w:w="1580"/>
      </w:tblGrid>
      <w:tr w:rsidR="00D178DD" w:rsidRPr="00D178DD" w:rsidTr="004B2286">
        <w:trPr>
          <w:trHeight w:val="675"/>
        </w:trPr>
        <w:tc>
          <w:tcPr>
            <w:tcW w:w="1173" w:type="dxa"/>
            <w:tcBorders>
              <w:top w:val="single" w:sz="8" w:space="0" w:color="FFFFFF"/>
              <w:left w:val="single" w:sz="8" w:space="0" w:color="FFFFFF"/>
              <w:bottom w:val="single" w:sz="8" w:space="0" w:color="FFFFFF"/>
              <w:right w:val="single" w:sz="8" w:space="0" w:color="FFFFFF"/>
            </w:tcBorders>
            <w:shd w:val="clear" w:color="000000" w:fill="8EA9DB"/>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Ընդունման տարին</w:t>
            </w:r>
          </w:p>
        </w:tc>
        <w:tc>
          <w:tcPr>
            <w:tcW w:w="33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Ծրագիր</w:t>
            </w:r>
          </w:p>
        </w:tc>
        <w:tc>
          <w:tcPr>
            <w:tcW w:w="15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2021</w:t>
            </w:r>
          </w:p>
        </w:tc>
        <w:tc>
          <w:tcPr>
            <w:tcW w:w="15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2022</w:t>
            </w:r>
          </w:p>
        </w:tc>
        <w:tc>
          <w:tcPr>
            <w:tcW w:w="1580" w:type="dxa"/>
            <w:tcBorders>
              <w:top w:val="single" w:sz="8" w:space="0" w:color="FFFFFF"/>
              <w:left w:val="nil"/>
              <w:bottom w:val="single" w:sz="8" w:space="0" w:color="FFFFFF"/>
              <w:right w:val="single" w:sz="8" w:space="0" w:color="FFFFFF"/>
            </w:tcBorders>
            <w:shd w:val="clear" w:color="000000" w:fill="8EA9DB"/>
            <w:noWrap/>
            <w:vAlign w:val="center"/>
            <w:hideMark/>
          </w:tcPr>
          <w:p w:rsidR="00D178DD" w:rsidRPr="00D178DD" w:rsidRDefault="00D178DD" w:rsidP="00D178DD">
            <w:pPr>
              <w:spacing w:before="0" w:line="240" w:lineRule="auto"/>
              <w:ind w:firstLine="0"/>
              <w:contextualSpacing w:val="0"/>
              <w:jc w:val="center"/>
              <w:rPr>
                <w:rFonts w:cs="Calibri"/>
                <w:b w:val="0"/>
                <w:color w:val="FFFFFF"/>
                <w:szCs w:val="22"/>
                <w:lang w:val="en-US" w:eastAsia="en-US"/>
              </w:rPr>
            </w:pPr>
            <w:r w:rsidRPr="00D178DD">
              <w:rPr>
                <w:rFonts w:cs="Calibri"/>
                <w:b w:val="0"/>
                <w:color w:val="FFFFFF"/>
                <w:szCs w:val="22"/>
                <w:lang w:val="en-US" w:eastAsia="en-US"/>
              </w:rPr>
              <w:t>2023</w:t>
            </w:r>
          </w:p>
        </w:tc>
      </w:tr>
      <w:tr w:rsidR="00D178DD" w:rsidRPr="00D178DD" w:rsidTr="004B2286">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w:t>
            </w: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Փաստացի</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320.5</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4.60%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2020</w:t>
            </w: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2021-2023</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209.1</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140.2</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158.6</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2.90%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1.80%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1.80%</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2021թ. Պետական բյուջե</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341.4</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5.30%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i/>
                <w:iCs/>
                <w:color w:val="000000"/>
                <w:szCs w:val="22"/>
                <w:lang w:val="en-US" w:eastAsia="en-US"/>
              </w:rPr>
            </w:pPr>
            <w:r w:rsidRPr="00D178DD">
              <w:rPr>
                <w:rFonts w:ascii="Calibri" w:hAnsi="Calibri" w:cs="Calibri"/>
                <w:b w:val="0"/>
                <w:i/>
                <w:iCs/>
                <w:color w:val="000000"/>
                <w:szCs w:val="22"/>
                <w:lang w:val="en-US" w:eastAsia="en-US"/>
              </w:rPr>
              <w:t> </w:t>
            </w:r>
          </w:p>
        </w:tc>
      </w:tr>
      <w:tr w:rsidR="00D178DD" w:rsidRPr="00D178DD" w:rsidTr="004B2286">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2021</w:t>
            </w: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2022-2024</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318.8</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181.7</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168.8</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4.60%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2.10%</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2022թ. Պետական բյուջե</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329.1</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236.3</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4.70%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3.00%</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r>
      <w:tr w:rsidR="00D178DD" w:rsidRPr="00D178DD" w:rsidTr="004B2286">
        <w:trPr>
          <w:trHeight w:val="345"/>
        </w:trPr>
        <w:tc>
          <w:tcPr>
            <w:tcW w:w="1173" w:type="dxa"/>
            <w:vMerge w:val="restart"/>
            <w:tcBorders>
              <w:top w:val="nil"/>
              <w:left w:val="single" w:sz="8" w:space="0" w:color="B4C6E7"/>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center"/>
              <w:rPr>
                <w:rFonts w:cs="Calibri"/>
                <w:b w:val="0"/>
                <w:color w:val="000000"/>
                <w:szCs w:val="22"/>
                <w:lang w:val="en-US" w:eastAsia="en-US"/>
              </w:rPr>
            </w:pPr>
            <w:r w:rsidRPr="00D178DD">
              <w:rPr>
                <w:rFonts w:cs="Calibri"/>
                <w:b w:val="0"/>
                <w:color w:val="000000"/>
                <w:szCs w:val="22"/>
                <w:lang w:val="en-US" w:eastAsia="en-US"/>
              </w:rPr>
              <w:t>2022</w:t>
            </w: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rPr>
                <w:rFonts w:cs="Calibri"/>
                <w:b w:val="0"/>
                <w:color w:val="000000"/>
                <w:szCs w:val="22"/>
                <w:lang w:val="en-US" w:eastAsia="en-US"/>
              </w:rPr>
            </w:pPr>
            <w:r w:rsidRPr="00D178DD">
              <w:rPr>
                <w:rFonts w:cs="Calibri"/>
                <w:b w:val="0"/>
                <w:color w:val="000000"/>
                <w:szCs w:val="22"/>
                <w:lang w:val="en-US" w:eastAsia="en-US"/>
              </w:rPr>
              <w:t xml:space="preserve"> ՄԺԾԾ 2023-2025</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171.3</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292.2</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2.10%</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3.20%</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noWrap/>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r w:rsidRPr="00D178DD">
              <w:rPr>
                <w:rFonts w:cs="Calibri"/>
                <w:b w:val="0"/>
                <w:color w:val="000000"/>
                <w:szCs w:val="22"/>
                <w:lang w:val="en-US" w:eastAsia="en-US"/>
              </w:rPr>
              <w:t>2023թ. Պետական բյուջե</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204.2</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color w:val="000000"/>
                <w:szCs w:val="22"/>
                <w:lang w:val="en-US" w:eastAsia="en-US"/>
              </w:rPr>
            </w:pPr>
            <w:r w:rsidRPr="00D178DD">
              <w:rPr>
                <w:rFonts w:cs="Calibri"/>
                <w:b w:val="0"/>
                <w:color w:val="000000"/>
                <w:szCs w:val="22"/>
                <w:lang w:val="en-US" w:eastAsia="en-US"/>
              </w:rPr>
              <w:t>288.9</w:t>
            </w:r>
          </w:p>
        </w:tc>
      </w:tr>
      <w:tr w:rsidR="00D178DD" w:rsidRPr="00D178DD" w:rsidTr="004B2286">
        <w:trPr>
          <w:trHeight w:val="345"/>
        </w:trPr>
        <w:tc>
          <w:tcPr>
            <w:tcW w:w="1173" w:type="dxa"/>
            <w:vMerge/>
            <w:tcBorders>
              <w:top w:val="nil"/>
              <w:left w:val="single" w:sz="8" w:space="0" w:color="B4C6E7"/>
              <w:bottom w:val="single" w:sz="8" w:space="0" w:color="B4C6E7"/>
              <w:right w:val="single" w:sz="8" w:space="0" w:color="B4C6E7"/>
            </w:tcBorders>
            <w:vAlign w:val="center"/>
            <w:hideMark/>
          </w:tcPr>
          <w:p w:rsidR="00D178DD" w:rsidRPr="00D178DD" w:rsidRDefault="00D178DD" w:rsidP="00D178DD">
            <w:pPr>
              <w:spacing w:before="0" w:line="240" w:lineRule="auto"/>
              <w:ind w:firstLine="0"/>
              <w:contextualSpacing w:val="0"/>
              <w:jc w:val="left"/>
              <w:rPr>
                <w:rFonts w:cs="Calibri"/>
                <w:b w:val="0"/>
                <w:color w:val="000000"/>
                <w:szCs w:val="22"/>
                <w:lang w:val="en-US" w:eastAsia="en-US"/>
              </w:rPr>
            </w:pPr>
          </w:p>
        </w:tc>
        <w:tc>
          <w:tcPr>
            <w:tcW w:w="33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left"/>
              <w:rPr>
                <w:rFonts w:cs="Calibri"/>
                <w:b w:val="0"/>
                <w:i/>
                <w:iCs/>
                <w:color w:val="000000"/>
                <w:szCs w:val="22"/>
                <w:lang w:val="en-US" w:eastAsia="en-US"/>
              </w:rPr>
            </w:pPr>
            <w:r w:rsidRPr="00D178DD">
              <w:rPr>
                <w:rFonts w:cs="Calibri"/>
                <w:b w:val="0"/>
                <w:i/>
                <w:iCs/>
                <w:color w:val="000000"/>
                <w:szCs w:val="22"/>
                <w:lang w:val="en-US" w:eastAsia="en-US"/>
              </w:rPr>
              <w:t>%-ով՝ ՀՆԱ-ի նկատմամբ</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ascii="Calibri" w:hAnsi="Calibri" w:cs="Calibri"/>
                <w:b w:val="0"/>
                <w:color w:val="000000"/>
                <w:szCs w:val="22"/>
                <w:lang w:val="en-US" w:eastAsia="en-US"/>
              </w:rPr>
            </w:pPr>
            <w:r w:rsidRPr="00D178DD">
              <w:rPr>
                <w:rFonts w:ascii="Calibri" w:hAnsi="Calibri" w:cs="Calibri"/>
                <w:b w:val="0"/>
                <w:color w:val="000000"/>
                <w:szCs w:val="22"/>
                <w:lang w:val="en-US" w:eastAsia="en-US"/>
              </w:rPr>
              <w:t> </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2.46%</w:t>
            </w:r>
          </w:p>
        </w:tc>
        <w:tc>
          <w:tcPr>
            <w:tcW w:w="1580" w:type="dxa"/>
            <w:tcBorders>
              <w:top w:val="nil"/>
              <w:left w:val="nil"/>
              <w:bottom w:val="single" w:sz="8" w:space="0" w:color="B4C6E7"/>
              <w:right w:val="single" w:sz="8" w:space="0" w:color="B4C6E7"/>
            </w:tcBorders>
            <w:shd w:val="clear" w:color="auto" w:fill="auto"/>
            <w:vAlign w:val="center"/>
            <w:hideMark/>
          </w:tcPr>
          <w:p w:rsidR="00D178DD" w:rsidRPr="00D178DD" w:rsidRDefault="00D178DD" w:rsidP="00D178DD">
            <w:pPr>
              <w:spacing w:before="0" w:line="240" w:lineRule="auto"/>
              <w:ind w:firstLine="0"/>
              <w:contextualSpacing w:val="0"/>
              <w:jc w:val="right"/>
              <w:rPr>
                <w:rFonts w:cs="Calibri"/>
                <w:b w:val="0"/>
                <w:i/>
                <w:iCs/>
                <w:color w:val="000000"/>
                <w:szCs w:val="22"/>
                <w:lang w:val="en-US" w:eastAsia="en-US"/>
              </w:rPr>
            </w:pPr>
            <w:r w:rsidRPr="00D178DD">
              <w:rPr>
                <w:rFonts w:cs="Calibri"/>
                <w:b w:val="0"/>
                <w:i/>
                <w:iCs/>
                <w:color w:val="000000"/>
                <w:szCs w:val="22"/>
                <w:lang w:val="en-US" w:eastAsia="en-US"/>
              </w:rPr>
              <w:t>3.10%</w:t>
            </w:r>
          </w:p>
        </w:tc>
      </w:tr>
    </w:tbl>
    <w:p w:rsidR="00727711" w:rsidRDefault="00727711" w:rsidP="00D178DD">
      <w:pPr>
        <w:spacing w:before="0" w:after="160" w:line="259" w:lineRule="auto"/>
        <w:ind w:firstLine="0"/>
        <w:contextualSpacing w:val="0"/>
        <w:jc w:val="left"/>
        <w:rPr>
          <w:rFonts w:ascii="Calibri" w:eastAsia="Calibri" w:hAnsi="Calibri"/>
          <w:b w:val="0"/>
          <w:szCs w:val="22"/>
          <w:lang w:val="en-US" w:eastAsia="en-US"/>
        </w:rPr>
      </w:pPr>
    </w:p>
    <w:bookmarkEnd w:id="19"/>
    <w:p w:rsidR="0087134D" w:rsidRPr="007955BB" w:rsidRDefault="0028499B" w:rsidP="00043545">
      <w:pPr>
        <w:pStyle w:val="Heading1"/>
        <w:rPr>
          <w:szCs w:val="22"/>
          <w:lang w:val="hy-AM" w:eastAsia="en-US"/>
        </w:rPr>
      </w:pPr>
      <w:r w:rsidRPr="007955BB">
        <w:rPr>
          <w:szCs w:val="22"/>
          <w:lang w:val="hy-AM"/>
        </w:rPr>
        <w:br w:type="page"/>
      </w:r>
      <w:bookmarkStart w:id="128" w:name="_Toc83972892"/>
      <w:bookmarkStart w:id="129" w:name="_Toc120805254"/>
      <w:bookmarkStart w:id="130" w:name="_Toc165901416"/>
      <w:r w:rsidR="0087134D" w:rsidRPr="007955BB">
        <w:rPr>
          <w:szCs w:val="22"/>
          <w:lang w:val="hy-AM" w:eastAsia="en-US"/>
        </w:rPr>
        <w:lastRenderedPageBreak/>
        <w:t>2. ՊԵՏԱԿԱՆ ԲՅՈՒՋԵԻ ՎՐԱ ՄԱԿՐՈՏՆՏԵՍԱԿԱՆ ԿԱՆԽԱՏԵՍՎԱԾ ՑՈՒՑԱՆԻՇՆԵՐԻՑ ՇԵՂՄԱՆ ՌԻՍԿԵՐԻ ԱԶԴԵՑՈՒԹՅԱՆ ՔԱՆԱԿԱԿԱՆ ԳՆԱՀԱՏՈՒՄ</w:t>
      </w:r>
      <w:bookmarkEnd w:id="128"/>
      <w:bookmarkEnd w:id="129"/>
      <w:bookmarkEnd w:id="130"/>
    </w:p>
    <w:p w:rsidR="0087134D" w:rsidRPr="007955BB" w:rsidRDefault="0087134D" w:rsidP="0087134D">
      <w:pPr>
        <w:spacing w:before="0" w:line="276" w:lineRule="auto"/>
        <w:ind w:firstLine="0"/>
        <w:contextualSpacing w:val="0"/>
        <w:rPr>
          <w:sz w:val="24"/>
          <w:lang w:val="es-ES"/>
        </w:rPr>
      </w:pPr>
      <w:bookmarkStart w:id="131" w:name="_Toc14687616"/>
      <w:bookmarkStart w:id="132" w:name="_Toc13837280"/>
    </w:p>
    <w:p w:rsidR="00FE673E" w:rsidRPr="007955BB" w:rsidRDefault="00FE673E" w:rsidP="00FE673E">
      <w:pPr>
        <w:spacing w:before="0" w:line="276" w:lineRule="auto"/>
        <w:ind w:firstLine="0"/>
        <w:contextualSpacing w:val="0"/>
        <w:rPr>
          <w:szCs w:val="22"/>
          <w:lang w:val="hy-AM"/>
        </w:rPr>
      </w:pPr>
      <w:bookmarkStart w:id="133" w:name="_Toc83663900"/>
      <w:bookmarkStart w:id="134" w:name="_Toc83972893"/>
      <w:bookmarkStart w:id="135" w:name="_Toc83650399"/>
      <w:bookmarkStart w:id="136" w:name="_Toc83972894"/>
      <w:bookmarkEnd w:id="131"/>
      <w:bookmarkEnd w:id="132"/>
      <w:r w:rsidRPr="007955BB">
        <w:rPr>
          <w:szCs w:val="22"/>
          <w:lang w:val="es-ES"/>
        </w:rPr>
        <w:t>2</w:t>
      </w:r>
      <w:r w:rsidRPr="007955BB">
        <w:rPr>
          <w:szCs w:val="22"/>
          <w:lang w:val="hy-AM"/>
        </w:rPr>
        <w:t>.1. 2023 թվականին պետական բյուջեի հարկային եկամուտների վրա մակրոտնտեսական ցուցանիշների կանխատեսվածից շեղման ռիսկերի ազդեցության քանակական գնահատումը</w:t>
      </w:r>
    </w:p>
    <w:p w:rsidR="00FE673E" w:rsidRPr="007955BB" w:rsidRDefault="00FE673E" w:rsidP="00FE673E">
      <w:pPr>
        <w:spacing w:after="120" w:line="276" w:lineRule="auto"/>
        <w:contextualSpacing w:val="0"/>
        <w:rPr>
          <w:rFonts w:cs="Sylfaen"/>
          <w:b w:val="0"/>
          <w:lang w:val="hy-AM"/>
        </w:rPr>
      </w:pPr>
      <w:r w:rsidRPr="007955BB">
        <w:rPr>
          <w:rFonts w:cs="Sylfaen"/>
          <w:b w:val="0"/>
          <w:lang w:val="hy-AM"/>
        </w:rPr>
        <w:t>Կարճաժամկետ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կանխատեսումների ռիսկի և ենթադրություններից շեղումների ռիսկի վրա:</w:t>
      </w:r>
    </w:p>
    <w:p w:rsidR="00FE673E" w:rsidRPr="007955BB" w:rsidRDefault="00FE673E" w:rsidP="00FE673E">
      <w:pPr>
        <w:spacing w:after="120" w:line="276" w:lineRule="auto"/>
        <w:contextualSpacing w:val="0"/>
        <w:rPr>
          <w:rFonts w:cs="Sylfaen"/>
          <w:lang w:val="hy-AM"/>
        </w:rPr>
      </w:pPr>
      <w:r w:rsidRPr="007955BB">
        <w:rPr>
          <w:rFonts w:cs="Sylfaen"/>
          <w:lang w:val="hy-AM"/>
        </w:rPr>
        <w:t>1. Կանխատեսումների ռիսկ</w:t>
      </w:r>
    </w:p>
    <w:p w:rsidR="00FE673E" w:rsidRPr="007955BB" w:rsidRDefault="00FE673E" w:rsidP="00FE673E">
      <w:pPr>
        <w:spacing w:before="0" w:line="276" w:lineRule="auto"/>
        <w:ind w:firstLine="562"/>
        <w:contextualSpacing w:val="0"/>
        <w:rPr>
          <w:rFonts w:eastAsia="Calibri" w:cs="Sylfaen"/>
          <w:b w:val="0"/>
          <w:lang w:val="hy-AM"/>
        </w:rPr>
      </w:pPr>
      <w:r w:rsidRPr="007955BB">
        <w:rPr>
          <w:rFonts w:eastAsia="Calibri" w:cs="Sylfaen"/>
          <w:b w:val="0"/>
          <w:lang w:val="hy-AM"/>
        </w:rPr>
        <w:t>Սովորաբար կանխատեսումներ իրականացնելիս ի հայտ են գալիս հանգամանքներ, որոնք կապված են լինում օգտագործվող կանխատեսման մոդելների տեղայնացումից և մասնավորեցումից, տնտեսության կառուցվածքային տեղաշարժերից</w:t>
      </w:r>
      <w:r w:rsidRPr="007955BB">
        <w:rPr>
          <w:rFonts w:eastAsia="Calibri" w:cs="Sylfaen"/>
          <w:b w:val="0"/>
          <w:vertAlign w:val="superscript"/>
          <w:lang w:val="hy-AM"/>
        </w:rPr>
        <w:footnoteReference w:id="16"/>
      </w:r>
      <w:r w:rsidRPr="007955BB">
        <w:rPr>
          <w:rFonts w:eastAsia="Calibri" w:cs="Sylfaen"/>
          <w:b w:val="0"/>
          <w:lang w:val="hy-AM"/>
        </w:rPr>
        <w:t>, նոր երևույթներից (որի վերաբերյալ նախկինում տեղեկատվությունը բացակայել է) և այլն: Այս ռիսկերն ընդունված է անվանել կանխա</w:t>
      </w:r>
      <w:r w:rsidRPr="007955BB">
        <w:rPr>
          <w:rFonts w:eastAsia="Calibri" w:cs="Sylfaen"/>
          <w:b w:val="0"/>
          <w:lang w:val="hy-AM"/>
        </w:rPr>
        <w:softHyphen/>
        <w:t>տես</w:t>
      </w:r>
      <w:r w:rsidRPr="007955BB">
        <w:rPr>
          <w:rFonts w:eastAsia="Calibri" w:cs="Sylfaen"/>
          <w:b w:val="0"/>
          <w:lang w:val="hy-AM"/>
        </w:rPr>
        <w:softHyphen/>
        <w:t xml:space="preserve">ման ռիսկեր: </w:t>
      </w:r>
    </w:p>
    <w:p w:rsidR="00FE673E" w:rsidRPr="007955BB" w:rsidRDefault="00FE673E" w:rsidP="00FE673E">
      <w:pPr>
        <w:spacing w:before="0" w:line="276" w:lineRule="auto"/>
        <w:ind w:firstLine="562"/>
        <w:contextualSpacing w:val="0"/>
        <w:rPr>
          <w:rFonts w:eastAsia="Calibri" w:cs="Sylfaen"/>
          <w:b w:val="0"/>
          <w:lang w:val="hy-AM"/>
        </w:rPr>
      </w:pPr>
      <w:r w:rsidRPr="007955BB">
        <w:rPr>
          <w:rFonts w:eastAsia="Calibri" w:cs="Sylfaen"/>
          <w:b w:val="0"/>
          <w:lang w:val="hy-AM"/>
        </w:rPr>
        <w:t>Հատկապես ներկա իրավիճակում՝ ռուս-ուկրաինական հակամարտությունը և Ռուսաստանի դեմ կիրառված աննախադեպ պատժամիջոցները աշխարհում ստեղծել են նոր իրականություն, որի  պայմաններում ինչպես աշխարհի և ՀՀ գործընկեր երկրների, այնպես էլ ՀՀ տնտեսական աճի կանխատեսումները իրենց մեջ կրում են մեծ անորոշություն: Այս պայմաններում, ինչպես աշխարհի և ՀՀ գործընկերների, այնպես էլ պետական բյուջեի շրջանակում ՀՀ տնտեսական աճի կանխատեսումների համար առկա են երկկողմանի ռիսկեր, սակայն դեպի ներքև ռիսկերը համեմատաբար մեծ են:</w:t>
      </w:r>
    </w:p>
    <w:p w:rsidR="00FE673E" w:rsidRPr="007955BB" w:rsidRDefault="00FE673E" w:rsidP="00FE673E">
      <w:pPr>
        <w:spacing w:before="0" w:line="276" w:lineRule="auto"/>
        <w:ind w:firstLine="562"/>
        <w:contextualSpacing w:val="0"/>
        <w:rPr>
          <w:rFonts w:eastAsia="Calibri" w:cs="Sylfaen"/>
          <w:b w:val="0"/>
          <w:lang w:val="hy-AM"/>
        </w:rPr>
      </w:pPr>
      <w:r w:rsidRPr="007955BB">
        <w:rPr>
          <w:rFonts w:eastAsia="Calibri" w:cs="Sylfaen"/>
          <w:b w:val="0"/>
          <w:lang w:val="hy-AM"/>
        </w:rPr>
        <w:t>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հիմք ընդունելով սույն փաստաթղթի 1.5 «ՄԱԿՐՈՏՆՏԵՍԱԿԱՆ ԿԱՆԽԱՏԵՍՈՒՄՆԵՐԻ ՌԻՍԿԵՐԸ» բաժնում ներկայացված իրական ՀՆԱ-ի աճի կանխատեսման հավանականությունների բաշխումները՝ կիրառելով երկրորդ ամենահավանական միջակայքի ստորին կետի և կենտրոնական կանխատեսման միջև տարբերությունը: Այս մոտեցմամբ, որպես ռիսկ է դիտարկվել ՀՆԱ իրական աճի կանխատեսված մակարդակից 3.0 տոկոսային կետով ավելի ցածր մակարդակի ձևավորումը:</w:t>
      </w:r>
    </w:p>
    <w:p w:rsidR="00FE673E" w:rsidRDefault="00FE673E" w:rsidP="00FE673E">
      <w:pPr>
        <w:spacing w:before="0" w:line="276" w:lineRule="auto"/>
        <w:contextualSpacing w:val="0"/>
        <w:rPr>
          <w:rFonts w:cs="Sylfaen"/>
          <w:b w:val="0"/>
          <w:lang w:val="hy-AM"/>
        </w:rPr>
      </w:pPr>
      <w:r w:rsidRPr="007955BB">
        <w:rPr>
          <w:rFonts w:cs="Sylfaen"/>
          <w:b w:val="0"/>
          <w:lang w:val="hy-AM"/>
        </w:rPr>
        <w:t>Արդյունքում, ՀՆԱ նվազման ռիսկի ազդեցությունը հարկային եկամուտների վրա 2023 թվականի համար գնահատվում է 24.7 մլրդ ՀՀ դրամ ֆինանսական պահանջի ավելացման ուղղությամբ:</w:t>
      </w:r>
    </w:p>
    <w:p w:rsidR="00FE673E" w:rsidRDefault="00FE673E" w:rsidP="00FE673E">
      <w:pPr>
        <w:spacing w:before="0" w:line="276" w:lineRule="auto"/>
        <w:contextualSpacing w:val="0"/>
        <w:rPr>
          <w:rFonts w:cs="Sylfaen"/>
          <w:b w:val="0"/>
          <w:lang w:val="hy-AM"/>
        </w:rPr>
      </w:pPr>
    </w:p>
    <w:p w:rsidR="00FE673E" w:rsidRPr="007955BB" w:rsidRDefault="00FE673E" w:rsidP="00FE673E">
      <w:pPr>
        <w:spacing w:before="0" w:line="276" w:lineRule="auto"/>
        <w:contextualSpacing w:val="0"/>
        <w:rPr>
          <w:rFonts w:cs="Sylfaen"/>
          <w:b w:val="0"/>
          <w:lang w:val="hy-AM"/>
        </w:rPr>
      </w:pPr>
    </w:p>
    <w:p w:rsidR="00FE673E" w:rsidRPr="007955BB" w:rsidRDefault="00FE673E" w:rsidP="00FE673E">
      <w:pPr>
        <w:spacing w:before="0" w:line="276" w:lineRule="auto"/>
        <w:ind w:firstLine="562"/>
        <w:contextualSpacing w:val="0"/>
        <w:rPr>
          <w:rFonts w:cs="Sylfaen"/>
          <w:lang w:val="hy-AM"/>
        </w:rPr>
      </w:pPr>
      <w:r w:rsidRPr="007955BB">
        <w:rPr>
          <w:rFonts w:cs="Sylfaen"/>
          <w:lang w:val="hy-AM"/>
        </w:rPr>
        <w:lastRenderedPageBreak/>
        <w:t>2. Ենթադրություններից շեղումների ռիսկ</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ՄԺԾԾ հիմքում դրվող կանխատեսումները կառուցվում են որոշակի ենթադրու</w:t>
      </w:r>
      <w:r w:rsidRPr="007955BB">
        <w:rPr>
          <w:rFonts w:cs="Sylfaen"/>
          <w:b w:val="0"/>
          <w:lang w:val="hy-AM"/>
        </w:rPr>
        <w:softHyphen/>
        <w:t>թյու</w:t>
      </w:r>
      <w:r w:rsidRPr="007955BB">
        <w:rPr>
          <w:rFonts w:cs="Sylfaen"/>
          <w:b w:val="0"/>
          <w:lang w:val="hy-AM"/>
        </w:rPr>
        <w:softHyphen/>
        <w:t xml:space="preserve">նների հիման վրա, որոնք էլ իրենց հերթին կախված են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ՀՀ կառավարության և ՀՀ ԿԲ-ի կառավարման դաշտից դուրս ի հայտ եկող երևույթների հետ (օրինակ` նավթի համաշխարհային գների հնարավոր փոփոխությունները): </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Ենթադրություններից շեղումների ռիսկ է նաև ԵԱՏՄ անդամ պետությունների տնտեսական զարգացումները: Միաժամանակ, ՀՀ պետական բյուջեի հարկային եկամուտներում մաքսա</w:t>
      </w:r>
      <w:r w:rsidRPr="007955BB">
        <w:rPr>
          <w:rFonts w:cs="Sylfaen"/>
          <w:b w:val="0"/>
          <w:lang w:val="hy-AM"/>
        </w:rPr>
        <w:softHyphen/>
        <w:t>տուր</w:t>
      </w:r>
      <w:r w:rsidRPr="007955BB">
        <w:rPr>
          <w:rFonts w:cs="Sylfaen"/>
          <w:b w:val="0"/>
          <w:lang w:val="hy-AM"/>
        </w:rPr>
        <w:softHyphen/>
        <w:t>քերի մասնաբաժինը կարող է փոփոխվել նոր պետությունների ԵԱՏՄ-ին անդամակ</w:t>
      </w:r>
      <w:r w:rsidRPr="007955BB">
        <w:rPr>
          <w:rFonts w:cs="Sylfaen"/>
          <w:b w:val="0"/>
          <w:lang w:val="hy-AM"/>
        </w:rPr>
        <w:softHyphen/>
        <w:t xml:space="preserve">ցությունից: </w:t>
      </w:r>
    </w:p>
    <w:p w:rsidR="00FE673E" w:rsidRPr="007955BB" w:rsidRDefault="00FE673E" w:rsidP="00FE673E">
      <w:pPr>
        <w:spacing w:before="0" w:line="276" w:lineRule="auto"/>
        <w:ind w:firstLine="562"/>
        <w:contextualSpacing w:val="0"/>
        <w:rPr>
          <w:rFonts w:cs="Sylfaen"/>
          <w:lang w:val="hy-AM"/>
        </w:rPr>
      </w:pPr>
      <w:r w:rsidRPr="007955BB">
        <w:rPr>
          <w:rFonts w:cs="Sylfaen"/>
          <w:lang w:val="hy-AM"/>
        </w:rPr>
        <w:t>2.1. Գնաճի շեղման հնարավոր չափը</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 xml:space="preserve">Գնաճի ցուցանիշի շեղման հնարավոր չափ է դիտարկվում ՀՀ ԿԲ-ի կողմից դրամավարկային քաղաքականության ծրագրում (գնաճի հաշվետվություններում) ներկայացվող գնաճի կանխատեսման կենտրոնական արժեքից շեղման առավելագույն չափը: </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 xml:space="preserve">ՀՀ ԿԲ-ի կողմից կանխատեսվում է գնաճի աստիճանաբար նվազում, որի պայմաններում 12-ամսյա գնաճը 2023թ. դեկտեմբերին կկազմի 3.6%: Հաշվի առնելով այն, որ ՀՀ ԿԲ-ի գնաճի թիրախը կազմում է 4±1.5%՝ գնաճի կանխատեսվող արժեքից շեղման ռիսկի չափը ընդունվել է 2 տոկոսային կետ: </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Արդյունքում, 2023 թվականի համար դիտարկվել է գնաճային ռիսկի ազդեցությունը հարկային եկամուտների վրա և 2023 թվականի համար գնահատվում է 5.5 մլրդ ՀՀ դրամի լրացուցիչ հարկային եկամուտների մուտքեր:</w:t>
      </w:r>
    </w:p>
    <w:p w:rsidR="00FE673E" w:rsidRPr="007955BB" w:rsidRDefault="00FE673E" w:rsidP="00FE673E">
      <w:pPr>
        <w:spacing w:before="0" w:line="276" w:lineRule="auto"/>
        <w:ind w:firstLine="562"/>
        <w:contextualSpacing w:val="0"/>
        <w:rPr>
          <w:rFonts w:cs="Sylfaen"/>
          <w:lang w:val="hy-AM"/>
        </w:rPr>
      </w:pPr>
      <w:r w:rsidRPr="007955BB">
        <w:rPr>
          <w:rFonts w:cs="Sylfaen"/>
          <w:lang w:val="hy-AM"/>
        </w:rPr>
        <w:t>2.2. Փոխարժեքի շեղման հնարավոր չափը</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ՀՀ ԿԲ-ն և ՀՀ ՖՆ-ն փոխարժեքի կանխա</w:t>
      </w:r>
      <w:r w:rsidRPr="007955BB">
        <w:rPr>
          <w:rFonts w:cs="Sylfaen"/>
          <w:b w:val="0"/>
          <w:lang w:val="hy-AM"/>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պետական բյուջեի ցուցանիշների կանխատեսումների հիմքում դրվում է փոխարժեքի անփոփոխ (որոշակի պահի դրությամբ) մակարդակ: Սակայն փոխարժեքի տատա</w:t>
      </w:r>
      <w:r w:rsidRPr="007955BB">
        <w:rPr>
          <w:rFonts w:cs="Sylfaen"/>
          <w:b w:val="0"/>
          <w:lang w:val="hy-AM"/>
        </w:rPr>
        <w:softHyphen/>
        <w:t>նում</w:t>
      </w:r>
      <w:r w:rsidRPr="007955BB">
        <w:rPr>
          <w:rFonts w:cs="Sylfaen"/>
          <w:b w:val="0"/>
          <w:lang w:val="hy-AM"/>
        </w:rPr>
        <w:softHyphen/>
        <w:t>ները կազդեն ներմուծումից ՀՀ պետական բյուջե մուտքագրվող հարկային եկամուտների վրա:</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Հաշվի առնելով այն հանգամանքը, որ ներկայումս ռուս-ուկրաինական հակամարտության սրման հետևանքներով պայմանավորված դեպի ՀՀ արտարժույթի ներհոսիքի պատճառով ՀՀ դրամը էականորեն արևորվել է, առկա են ռիսկեր, որ արտարժույթիր ներհոսքի դադարման, կամ հակառակ պրոցեսի դեպքում, ՀՀ դրամը նորից կարժեզրկվի՝ վերականգնելով մինչև ռուս-ուկրաինական հակամարտության սկիզբը եղած մակարդակի հեմեմատ արժևորման չափի մոտ կեսը: Դա համապատասխանում է նաև ՀՀ դրամի փոխարժեքի պատմական տատանողականությանը՝ որը կազմում է շուրջ 5.8 տոկոս:</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Արդյունքում, փոխարժեքի 5.8 տոկոսով արժեզրկման ռիսկի դրսևորման դեպքում, այլ հավասար պայմաններում, 2023 թվականին կարելի է ապահովել հարկային եկամուտների 20.7 մլրդ ՀՀ դրամ լրացուցիչ մուտք:</w:t>
      </w:r>
    </w:p>
    <w:p w:rsidR="00FE673E" w:rsidRPr="007955BB" w:rsidRDefault="00FE673E" w:rsidP="00FE673E">
      <w:pPr>
        <w:spacing w:before="0" w:line="276" w:lineRule="auto"/>
        <w:ind w:firstLine="562"/>
        <w:contextualSpacing w:val="0"/>
        <w:rPr>
          <w:rFonts w:cs="Sylfaen"/>
          <w:lang w:val="hy-AM"/>
        </w:rPr>
      </w:pPr>
      <w:r w:rsidRPr="007955BB">
        <w:rPr>
          <w:rFonts w:cs="Sylfaen"/>
          <w:lang w:val="hy-AM"/>
        </w:rPr>
        <w:lastRenderedPageBreak/>
        <w:t>2.3. Ներմուծման գծով ռիսկի հնարավոր չափը</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պետական բյուջեում ներմուծման գծով կանխատեսումների շեղման միջին բացարձակ չափը սահմանվում է 10.2%-ի միջակայքում, ինչն էլ հաշվի է առնվել այս գործոնի ազդեցությունը գնահատելու համար: 2023 թվականի համար ծրագրվածից 10.2% պակաս ներմուծման ռիսկի դրսևորման պայմաններում հարկային եկամուտների վրա ազդեցությունը գնահատվում է 21.3 մլրդ ՀՀ դրամ` ֆինանսական պահանջի ավելացման ուղղությամբ:</w:t>
      </w:r>
    </w:p>
    <w:p w:rsidR="00FE673E" w:rsidRPr="007955BB" w:rsidRDefault="00FE673E" w:rsidP="00FE673E">
      <w:pPr>
        <w:spacing w:before="0" w:line="276" w:lineRule="auto"/>
        <w:ind w:firstLine="562"/>
        <w:contextualSpacing w:val="0"/>
        <w:rPr>
          <w:rFonts w:cs="Sylfaen"/>
          <w:b w:val="0"/>
          <w:lang w:val="hy-AM"/>
        </w:rPr>
      </w:pPr>
      <w:r w:rsidRPr="007955BB">
        <w:rPr>
          <w:rFonts w:cs="Sylfaen"/>
          <w:b w:val="0"/>
          <w:lang w:val="hy-AM"/>
        </w:rPr>
        <w:t>Ամփոփելով վերը նկարագրված կանխատեսումների ռիսկի և ենթադրություններից շեղումների ռիսկի գնահատականները, միջնաժամկետ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rsidR="00FE673E" w:rsidRPr="007955BB" w:rsidRDefault="00FE673E" w:rsidP="00F77CAF">
      <w:pPr>
        <w:pStyle w:val="Caption"/>
        <w:rPr>
          <w:b/>
          <w:lang w:val="hy-AM"/>
        </w:rPr>
      </w:pPr>
      <w:bookmarkStart w:id="137" w:name="_Toc83928954"/>
      <w:bookmarkStart w:id="138" w:name="_Toc120805275"/>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16</w:t>
      </w:r>
      <w:r w:rsidRPr="007955BB">
        <w:fldChar w:fldCharType="end"/>
      </w:r>
      <w:r w:rsidRPr="007955BB">
        <w:rPr>
          <w:noProof/>
          <w:lang w:val="hy-AM"/>
        </w:rPr>
        <w:t>.</w:t>
      </w:r>
      <w:r w:rsidRPr="007955BB">
        <w:rPr>
          <w:lang w:val="hy-AM"/>
        </w:rPr>
        <w:t xml:space="preserve"> </w:t>
      </w:r>
      <w:r w:rsidRPr="007955BB">
        <w:rPr>
          <w:sz w:val="20"/>
          <w:szCs w:val="20"/>
          <w:lang w:val="hy-AM"/>
        </w:rPr>
        <w:t>Հարկային եկամուտների վրա մակրոտնտեսական կանխատեսումների և ենթադրությունների ռիսկերի ազդեցություն</w:t>
      </w:r>
      <w:r w:rsidRPr="007955BB">
        <w:rPr>
          <w:sz w:val="20"/>
          <w:szCs w:val="20"/>
          <w:vertAlign w:val="superscript"/>
        </w:rPr>
        <w:footnoteReference w:id="17"/>
      </w:r>
      <w:bookmarkEnd w:id="137"/>
      <w:bookmarkEnd w:id="138"/>
    </w:p>
    <w:tbl>
      <w:tblPr>
        <w:tblW w:w="9630" w:type="dxa"/>
        <w:tblInd w:w="85" w:type="dxa"/>
        <w:tblLook w:val="04A0" w:firstRow="1" w:lastRow="0" w:firstColumn="1" w:lastColumn="0" w:noHBand="0" w:noVBand="1"/>
      </w:tblPr>
      <w:tblGrid>
        <w:gridCol w:w="5760"/>
        <w:gridCol w:w="3870"/>
      </w:tblGrid>
      <w:tr w:rsidR="00FE673E" w:rsidRPr="000C4EB4" w:rsidTr="00B70D89">
        <w:trPr>
          <w:trHeight w:val="675"/>
        </w:trPr>
        <w:tc>
          <w:tcPr>
            <w:tcW w:w="5760" w:type="dxa"/>
            <w:vMerge w:val="restart"/>
            <w:tcBorders>
              <w:top w:val="single" w:sz="4" w:space="0" w:color="4F81BD"/>
              <w:left w:val="single" w:sz="4" w:space="0" w:color="4F81BD"/>
              <w:bottom w:val="single" w:sz="4" w:space="0" w:color="4F81BD"/>
              <w:right w:val="single" w:sz="4" w:space="0" w:color="4F81BD"/>
            </w:tcBorders>
            <w:shd w:val="clear" w:color="000000" w:fill="95B3D7"/>
            <w:vAlign w:val="center"/>
            <w:hideMark/>
          </w:tcPr>
          <w:p w:rsidR="00FE673E" w:rsidRPr="007955BB" w:rsidRDefault="00FE673E" w:rsidP="00B70D89">
            <w:pPr>
              <w:spacing w:after="12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Ռիսկի տեսակը</w:t>
            </w:r>
          </w:p>
        </w:tc>
        <w:tc>
          <w:tcPr>
            <w:tcW w:w="3870" w:type="dxa"/>
            <w:vMerge w:val="restart"/>
            <w:tcBorders>
              <w:top w:val="single" w:sz="4" w:space="0" w:color="4F81BD"/>
              <w:left w:val="single" w:sz="4" w:space="0" w:color="4F81BD"/>
              <w:bottom w:val="single" w:sz="4" w:space="0" w:color="4F81BD"/>
              <w:right w:val="single" w:sz="4" w:space="0" w:color="4F81BD"/>
            </w:tcBorders>
            <w:shd w:val="clear" w:color="000000" w:fill="95B3D7"/>
            <w:vAlign w:val="center"/>
            <w:hideMark/>
          </w:tcPr>
          <w:p w:rsidR="00FE673E" w:rsidRPr="007955BB" w:rsidRDefault="00FE673E" w:rsidP="00B70D89">
            <w:pPr>
              <w:spacing w:after="12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Ազդեցության գնահատականը, մլրդ ՀՀ դրամ</w:t>
            </w:r>
          </w:p>
        </w:tc>
      </w:tr>
      <w:tr w:rsidR="00FE673E" w:rsidRPr="000C4EB4" w:rsidTr="00B70D89">
        <w:trPr>
          <w:trHeight w:val="542"/>
        </w:trPr>
        <w:tc>
          <w:tcPr>
            <w:tcW w:w="5760" w:type="dxa"/>
            <w:vMerge/>
            <w:tcBorders>
              <w:top w:val="single" w:sz="4" w:space="0" w:color="4F81BD"/>
              <w:left w:val="single" w:sz="4" w:space="0" w:color="4F81BD"/>
              <w:bottom w:val="single" w:sz="4" w:space="0" w:color="4F81BD"/>
              <w:right w:val="single" w:sz="4" w:space="0" w:color="4F81BD"/>
            </w:tcBorders>
            <w:vAlign w:val="center"/>
            <w:hideMark/>
          </w:tcPr>
          <w:p w:rsidR="00FE673E" w:rsidRPr="007955BB" w:rsidRDefault="00FE673E" w:rsidP="00B70D89">
            <w:pPr>
              <w:spacing w:after="120" w:line="240" w:lineRule="auto"/>
              <w:ind w:firstLine="0"/>
              <w:contextualSpacing w:val="0"/>
              <w:jc w:val="left"/>
              <w:rPr>
                <w:rFonts w:cs="Calibri"/>
                <w:bCs/>
                <w:color w:val="FFFFFF"/>
                <w:szCs w:val="22"/>
                <w:lang w:val="en-US" w:eastAsia="en-US"/>
              </w:rPr>
            </w:pPr>
          </w:p>
        </w:tc>
        <w:tc>
          <w:tcPr>
            <w:tcW w:w="3870" w:type="dxa"/>
            <w:vMerge/>
            <w:tcBorders>
              <w:top w:val="single" w:sz="4" w:space="0" w:color="4F81BD"/>
              <w:left w:val="single" w:sz="4" w:space="0" w:color="4F81BD"/>
              <w:bottom w:val="single" w:sz="4" w:space="0" w:color="4F81BD"/>
              <w:right w:val="single" w:sz="4" w:space="0" w:color="4F81BD"/>
            </w:tcBorders>
            <w:vAlign w:val="center"/>
            <w:hideMark/>
          </w:tcPr>
          <w:p w:rsidR="00FE673E" w:rsidRPr="007955BB" w:rsidRDefault="00FE673E" w:rsidP="00B70D89">
            <w:pPr>
              <w:spacing w:after="120" w:line="240" w:lineRule="auto"/>
              <w:ind w:firstLine="0"/>
              <w:contextualSpacing w:val="0"/>
              <w:jc w:val="left"/>
              <w:rPr>
                <w:rFonts w:cs="Calibri"/>
                <w:bCs/>
                <w:color w:val="FFFFFF"/>
                <w:szCs w:val="22"/>
                <w:lang w:val="en-US" w:eastAsia="en-US"/>
              </w:rPr>
            </w:pPr>
          </w:p>
        </w:tc>
      </w:tr>
      <w:tr w:rsidR="00FE673E" w:rsidRPr="007955BB" w:rsidTr="00B70D89">
        <w:trPr>
          <w:trHeight w:val="152"/>
        </w:trPr>
        <w:tc>
          <w:tcPr>
            <w:tcW w:w="5760" w:type="dxa"/>
            <w:tcBorders>
              <w:top w:val="nil"/>
              <w:left w:val="single" w:sz="4" w:space="0" w:color="4F81BD"/>
              <w:bottom w:val="single" w:sz="4" w:space="0" w:color="4F81BD"/>
              <w:right w:val="single" w:sz="4" w:space="0" w:color="4F81BD"/>
            </w:tcBorders>
            <w:shd w:val="clear" w:color="000000" w:fill="95B3D7"/>
            <w:vAlign w:val="center"/>
            <w:hideMark/>
          </w:tcPr>
          <w:p w:rsidR="00FE673E" w:rsidRPr="007955BB" w:rsidRDefault="00FE673E" w:rsidP="00B70D89">
            <w:pPr>
              <w:spacing w:after="120" w:line="240" w:lineRule="auto"/>
              <w:ind w:firstLine="0"/>
              <w:contextualSpacing w:val="0"/>
              <w:jc w:val="center"/>
              <w:rPr>
                <w:rFonts w:ascii="Calibri" w:hAnsi="Calibri" w:cs="Calibri"/>
                <w:bCs/>
                <w:color w:val="FFFFFF"/>
                <w:szCs w:val="22"/>
                <w:lang w:val="en-US" w:eastAsia="en-US"/>
              </w:rPr>
            </w:pPr>
            <w:r w:rsidRPr="007955BB">
              <w:rPr>
                <w:rFonts w:ascii="Calibri" w:hAnsi="Calibri" w:cs="Calibri"/>
                <w:bCs/>
                <w:color w:val="FFFFFF"/>
                <w:szCs w:val="22"/>
                <w:lang w:val="en-US" w:eastAsia="en-US"/>
              </w:rPr>
              <w:t> </w:t>
            </w:r>
          </w:p>
        </w:tc>
        <w:tc>
          <w:tcPr>
            <w:tcW w:w="3870" w:type="dxa"/>
            <w:tcBorders>
              <w:top w:val="nil"/>
              <w:left w:val="nil"/>
              <w:bottom w:val="single" w:sz="4" w:space="0" w:color="4F81BD"/>
              <w:right w:val="nil"/>
            </w:tcBorders>
            <w:shd w:val="clear" w:color="000000" w:fill="95B3D7"/>
            <w:vAlign w:val="center"/>
            <w:hideMark/>
          </w:tcPr>
          <w:p w:rsidR="00FE673E" w:rsidRPr="007955BB" w:rsidRDefault="00FE673E" w:rsidP="00B70D89">
            <w:pPr>
              <w:spacing w:after="12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2023</w:t>
            </w:r>
          </w:p>
        </w:tc>
      </w:tr>
      <w:tr w:rsidR="00FE673E" w:rsidRPr="007955BB" w:rsidTr="00B70D89">
        <w:trPr>
          <w:trHeight w:val="330"/>
        </w:trPr>
        <w:tc>
          <w:tcPr>
            <w:tcW w:w="5760" w:type="dxa"/>
            <w:tcBorders>
              <w:top w:val="nil"/>
              <w:left w:val="single" w:sz="4" w:space="0" w:color="4F81BD"/>
              <w:bottom w:val="single" w:sz="4" w:space="0" w:color="4F81BD"/>
              <w:right w:val="single" w:sz="4" w:space="0" w:color="auto"/>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Cs/>
                <w:color w:val="000000"/>
                <w:szCs w:val="22"/>
                <w:lang w:eastAsia="en-US"/>
              </w:rPr>
            </w:pPr>
            <w:r w:rsidRPr="007955BB">
              <w:rPr>
                <w:rFonts w:cs="Calibri"/>
                <w:bCs/>
                <w:color w:val="000000"/>
                <w:szCs w:val="22"/>
                <w:lang w:val="en-US" w:eastAsia="en-US"/>
              </w:rPr>
              <w:t>Ռիսկերի</w:t>
            </w:r>
            <w:r w:rsidRPr="007955BB">
              <w:rPr>
                <w:rFonts w:cs="Calibri"/>
                <w:bCs/>
                <w:color w:val="000000"/>
                <w:szCs w:val="22"/>
                <w:lang w:eastAsia="en-US"/>
              </w:rPr>
              <w:t xml:space="preserve"> </w:t>
            </w:r>
            <w:r w:rsidRPr="007955BB">
              <w:rPr>
                <w:rFonts w:cs="Calibri"/>
                <w:bCs/>
                <w:color w:val="000000"/>
                <w:szCs w:val="22"/>
                <w:lang w:val="en-US" w:eastAsia="en-US"/>
              </w:rPr>
              <w:t>առանձին</w:t>
            </w:r>
            <w:r w:rsidRPr="007955BB">
              <w:rPr>
                <w:rFonts w:cs="Calibri"/>
                <w:bCs/>
                <w:color w:val="000000"/>
                <w:szCs w:val="22"/>
                <w:lang w:eastAsia="en-US"/>
              </w:rPr>
              <w:t xml:space="preserve"> </w:t>
            </w:r>
            <w:r w:rsidRPr="007955BB">
              <w:rPr>
                <w:rFonts w:cs="Calibri"/>
                <w:bCs/>
                <w:color w:val="000000"/>
                <w:szCs w:val="22"/>
                <w:lang w:val="en-US" w:eastAsia="en-US"/>
              </w:rPr>
              <w:t>հանդես</w:t>
            </w:r>
            <w:r w:rsidRPr="007955BB">
              <w:rPr>
                <w:rFonts w:cs="Calibri"/>
                <w:bCs/>
                <w:color w:val="000000"/>
                <w:szCs w:val="22"/>
                <w:lang w:eastAsia="en-US"/>
              </w:rPr>
              <w:t xml:space="preserve"> </w:t>
            </w:r>
            <w:r w:rsidRPr="007955BB">
              <w:rPr>
                <w:rFonts w:cs="Calibri"/>
                <w:bCs/>
                <w:color w:val="000000"/>
                <w:szCs w:val="22"/>
                <w:lang w:val="en-US" w:eastAsia="en-US"/>
              </w:rPr>
              <w:t>գալու</w:t>
            </w:r>
            <w:r w:rsidRPr="007955BB">
              <w:rPr>
                <w:rFonts w:cs="Calibri"/>
                <w:bCs/>
                <w:color w:val="000000"/>
                <w:szCs w:val="22"/>
                <w:lang w:eastAsia="en-US"/>
              </w:rPr>
              <w:t xml:space="preserve"> </w:t>
            </w:r>
            <w:r w:rsidRPr="007955BB">
              <w:rPr>
                <w:rFonts w:cs="Calibri"/>
                <w:bCs/>
                <w:color w:val="000000"/>
                <w:szCs w:val="22"/>
                <w:lang w:val="en-US" w:eastAsia="en-US"/>
              </w:rPr>
              <w:t>պայմաններում</w:t>
            </w:r>
          </w:p>
        </w:tc>
        <w:tc>
          <w:tcPr>
            <w:tcW w:w="3870" w:type="dxa"/>
            <w:tcBorders>
              <w:top w:val="nil"/>
              <w:left w:val="nil"/>
              <w:bottom w:val="single" w:sz="4" w:space="0" w:color="4F81BD"/>
              <w:right w:val="single" w:sz="4" w:space="0" w:color="auto"/>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Cs/>
                <w:color w:val="000000"/>
                <w:szCs w:val="22"/>
                <w:lang w:eastAsia="en-US"/>
              </w:rPr>
            </w:pPr>
            <w:r w:rsidRPr="007955BB">
              <w:rPr>
                <w:rFonts w:ascii="Calibri" w:hAnsi="Calibri" w:cs="Calibri"/>
                <w:bCs/>
                <w:color w:val="000000"/>
                <w:szCs w:val="22"/>
                <w:lang w:val="en-US" w:eastAsia="en-US"/>
              </w:rPr>
              <w:t> </w:t>
            </w:r>
          </w:p>
        </w:tc>
      </w:tr>
      <w:tr w:rsidR="00FE673E" w:rsidRPr="007955BB" w:rsidTr="00B70D89">
        <w:trPr>
          <w:trHeight w:val="701"/>
        </w:trPr>
        <w:tc>
          <w:tcPr>
            <w:tcW w:w="5760" w:type="dxa"/>
            <w:tcBorders>
              <w:top w:val="nil"/>
              <w:left w:val="single" w:sz="4" w:space="0" w:color="4F81BD"/>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1. </w:t>
            </w:r>
            <w:r w:rsidRPr="007955BB">
              <w:rPr>
                <w:rFonts w:cs="Calibri"/>
                <w:b w:val="0"/>
                <w:color w:val="000000"/>
                <w:szCs w:val="22"/>
                <w:lang w:val="en-US" w:eastAsia="en-US"/>
              </w:rPr>
              <w:t>Կանխատեսվածից</w:t>
            </w:r>
            <w:r w:rsidRPr="007955BB">
              <w:rPr>
                <w:rFonts w:cs="Calibri"/>
                <w:b w:val="0"/>
                <w:color w:val="000000"/>
                <w:szCs w:val="22"/>
                <w:lang w:eastAsia="en-US"/>
              </w:rPr>
              <w:t xml:space="preserve"> 3.0 </w:t>
            </w:r>
            <w:r w:rsidRPr="007955BB">
              <w:rPr>
                <w:rFonts w:cs="Calibri"/>
                <w:b w:val="0"/>
                <w:color w:val="000000"/>
                <w:szCs w:val="22"/>
                <w:lang w:val="en-US" w:eastAsia="en-US"/>
              </w:rPr>
              <w:t>տոկոսային</w:t>
            </w:r>
            <w:r w:rsidRPr="007955BB">
              <w:rPr>
                <w:rFonts w:cs="Calibri"/>
                <w:b w:val="0"/>
                <w:color w:val="000000"/>
                <w:szCs w:val="22"/>
                <w:lang w:eastAsia="en-US"/>
              </w:rPr>
              <w:t xml:space="preserve"> </w:t>
            </w:r>
            <w:r w:rsidRPr="007955BB">
              <w:rPr>
                <w:rFonts w:cs="Calibri"/>
                <w:b w:val="0"/>
                <w:color w:val="000000"/>
                <w:szCs w:val="22"/>
                <w:lang w:val="en-US" w:eastAsia="en-US"/>
              </w:rPr>
              <w:t>կետով</w:t>
            </w:r>
            <w:r w:rsidRPr="007955BB">
              <w:rPr>
                <w:rFonts w:cs="Calibri"/>
                <w:b w:val="0"/>
                <w:color w:val="000000"/>
                <w:szCs w:val="22"/>
                <w:lang w:eastAsia="en-US"/>
              </w:rPr>
              <w:t xml:space="preserve"> </w:t>
            </w:r>
            <w:r w:rsidRPr="007955BB">
              <w:rPr>
                <w:rFonts w:cs="Calibri"/>
                <w:b w:val="0"/>
                <w:color w:val="000000"/>
                <w:szCs w:val="22"/>
                <w:lang w:val="en-US" w:eastAsia="en-US"/>
              </w:rPr>
              <w:t>ավելի</w:t>
            </w:r>
            <w:r w:rsidRPr="007955BB">
              <w:rPr>
                <w:rFonts w:cs="Calibri"/>
                <w:b w:val="0"/>
                <w:color w:val="000000"/>
                <w:szCs w:val="22"/>
                <w:lang w:eastAsia="en-US"/>
              </w:rPr>
              <w:t xml:space="preserve"> </w:t>
            </w:r>
            <w:r w:rsidRPr="007955BB">
              <w:rPr>
                <w:rFonts w:cs="Calibri"/>
                <w:b w:val="0"/>
                <w:color w:val="000000"/>
                <w:szCs w:val="22"/>
                <w:lang w:val="en-US" w:eastAsia="en-US"/>
              </w:rPr>
              <w:t>ցածր</w:t>
            </w:r>
            <w:r w:rsidRPr="007955BB">
              <w:rPr>
                <w:rFonts w:cs="Calibri"/>
                <w:b w:val="0"/>
                <w:color w:val="000000"/>
                <w:szCs w:val="22"/>
                <w:lang w:eastAsia="en-US"/>
              </w:rPr>
              <w:t xml:space="preserve"> </w:t>
            </w:r>
            <w:r w:rsidRPr="007955BB">
              <w:rPr>
                <w:rFonts w:cs="Calibri"/>
                <w:b w:val="0"/>
                <w:color w:val="000000"/>
                <w:szCs w:val="22"/>
                <w:lang w:val="en-US" w:eastAsia="en-US"/>
              </w:rPr>
              <w:t>իրական</w:t>
            </w:r>
            <w:r w:rsidRPr="007955BB">
              <w:rPr>
                <w:rFonts w:cs="Calibri"/>
                <w:b w:val="0"/>
                <w:color w:val="000000"/>
                <w:szCs w:val="22"/>
                <w:lang w:eastAsia="en-US"/>
              </w:rPr>
              <w:t xml:space="preserve"> </w:t>
            </w:r>
            <w:r w:rsidRPr="007955BB">
              <w:rPr>
                <w:rFonts w:cs="Calibri"/>
                <w:b w:val="0"/>
                <w:color w:val="000000"/>
                <w:szCs w:val="22"/>
                <w:lang w:val="en-US" w:eastAsia="en-US"/>
              </w:rPr>
              <w:t>ՀՆԱ</w:t>
            </w:r>
            <w:r w:rsidRPr="007955BB">
              <w:rPr>
                <w:rFonts w:cs="Calibri"/>
                <w:b w:val="0"/>
                <w:color w:val="000000"/>
                <w:szCs w:val="22"/>
                <w:lang w:eastAsia="en-US"/>
              </w:rPr>
              <w:t>-</w:t>
            </w:r>
            <w:r w:rsidRPr="007955BB">
              <w:rPr>
                <w:rFonts w:cs="Calibri"/>
                <w:b w:val="0"/>
                <w:color w:val="000000"/>
                <w:szCs w:val="22"/>
                <w:lang w:val="en-US" w:eastAsia="en-US"/>
              </w:rPr>
              <w:t>ի</w:t>
            </w:r>
            <w:r w:rsidRPr="007955BB">
              <w:rPr>
                <w:rFonts w:cs="Calibri"/>
                <w:b w:val="0"/>
                <w:color w:val="000000"/>
                <w:szCs w:val="22"/>
                <w:lang w:eastAsia="en-US"/>
              </w:rPr>
              <w:t xml:space="preserve"> </w:t>
            </w:r>
            <w:r w:rsidRPr="007955BB">
              <w:rPr>
                <w:rFonts w:cs="Calibri"/>
                <w:b w:val="0"/>
                <w:color w:val="000000"/>
                <w:szCs w:val="22"/>
                <w:lang w:val="en-US" w:eastAsia="en-US"/>
              </w:rPr>
              <w:t>աճ</w:t>
            </w:r>
          </w:p>
        </w:tc>
        <w:tc>
          <w:tcPr>
            <w:tcW w:w="3870" w:type="dxa"/>
            <w:tcBorders>
              <w:top w:val="nil"/>
              <w:left w:val="nil"/>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-24.7</w:t>
            </w:r>
          </w:p>
        </w:tc>
      </w:tr>
      <w:tr w:rsidR="00FE673E" w:rsidRPr="007955BB" w:rsidTr="00B70D89">
        <w:trPr>
          <w:trHeight w:val="330"/>
        </w:trPr>
        <w:tc>
          <w:tcPr>
            <w:tcW w:w="5760" w:type="dxa"/>
            <w:tcBorders>
              <w:top w:val="nil"/>
              <w:left w:val="single" w:sz="4" w:space="0" w:color="4F81BD"/>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2. 2.0 </w:t>
            </w:r>
            <w:r w:rsidRPr="007955BB">
              <w:rPr>
                <w:rFonts w:cs="Calibri"/>
                <w:b w:val="0"/>
                <w:color w:val="000000"/>
                <w:szCs w:val="22"/>
                <w:lang w:val="en-US" w:eastAsia="en-US"/>
              </w:rPr>
              <w:t>տոկոսային</w:t>
            </w:r>
            <w:r w:rsidRPr="007955BB">
              <w:rPr>
                <w:rFonts w:cs="Calibri"/>
                <w:b w:val="0"/>
                <w:color w:val="000000"/>
                <w:szCs w:val="22"/>
                <w:lang w:eastAsia="en-US"/>
              </w:rPr>
              <w:t xml:space="preserve"> </w:t>
            </w:r>
            <w:r w:rsidRPr="007955BB">
              <w:rPr>
                <w:rFonts w:cs="Calibri"/>
                <w:b w:val="0"/>
                <w:color w:val="000000"/>
                <w:szCs w:val="22"/>
                <w:lang w:val="en-US" w:eastAsia="en-US"/>
              </w:rPr>
              <w:t>կետով</w:t>
            </w:r>
            <w:r w:rsidRPr="007955BB">
              <w:rPr>
                <w:rFonts w:cs="Calibri"/>
                <w:b w:val="0"/>
                <w:color w:val="000000"/>
                <w:szCs w:val="22"/>
                <w:lang w:eastAsia="en-US"/>
              </w:rPr>
              <w:t xml:space="preserve"> </w:t>
            </w:r>
            <w:r w:rsidRPr="007955BB">
              <w:rPr>
                <w:rFonts w:cs="Calibri"/>
                <w:b w:val="0"/>
                <w:color w:val="000000"/>
                <w:szCs w:val="22"/>
                <w:lang w:val="en-US" w:eastAsia="en-US"/>
              </w:rPr>
              <w:t>ավելի</w:t>
            </w:r>
            <w:r w:rsidRPr="007955BB">
              <w:rPr>
                <w:rFonts w:cs="Calibri"/>
                <w:b w:val="0"/>
                <w:color w:val="000000"/>
                <w:szCs w:val="22"/>
                <w:lang w:eastAsia="en-US"/>
              </w:rPr>
              <w:t xml:space="preserve"> </w:t>
            </w:r>
            <w:r w:rsidRPr="007955BB">
              <w:rPr>
                <w:rFonts w:cs="Calibri"/>
                <w:b w:val="0"/>
                <w:color w:val="000000"/>
                <w:szCs w:val="22"/>
                <w:lang w:val="en-US" w:eastAsia="en-US"/>
              </w:rPr>
              <w:t>բարձր</w:t>
            </w:r>
            <w:r w:rsidRPr="007955BB">
              <w:rPr>
                <w:rFonts w:cs="Calibri"/>
                <w:b w:val="0"/>
                <w:color w:val="000000"/>
                <w:szCs w:val="22"/>
                <w:lang w:eastAsia="en-US"/>
              </w:rPr>
              <w:t xml:space="preserve"> </w:t>
            </w:r>
            <w:r w:rsidRPr="007955BB">
              <w:rPr>
                <w:rFonts w:cs="Calibri"/>
                <w:b w:val="0"/>
                <w:color w:val="000000"/>
                <w:szCs w:val="22"/>
                <w:lang w:val="en-US" w:eastAsia="en-US"/>
              </w:rPr>
              <w:t>գնաճի</w:t>
            </w:r>
            <w:r w:rsidRPr="007955BB">
              <w:rPr>
                <w:rFonts w:cs="Calibri"/>
                <w:b w:val="0"/>
                <w:color w:val="000000"/>
                <w:szCs w:val="22"/>
                <w:lang w:eastAsia="en-US"/>
              </w:rPr>
              <w:t xml:space="preserve"> </w:t>
            </w:r>
            <w:r w:rsidRPr="007955BB">
              <w:rPr>
                <w:rFonts w:cs="Calibri"/>
                <w:b w:val="0"/>
                <w:color w:val="000000"/>
                <w:szCs w:val="22"/>
                <w:lang w:val="en-US" w:eastAsia="en-US"/>
              </w:rPr>
              <w:t>ռիսկ</w:t>
            </w:r>
          </w:p>
        </w:tc>
        <w:tc>
          <w:tcPr>
            <w:tcW w:w="3870" w:type="dxa"/>
            <w:tcBorders>
              <w:top w:val="nil"/>
              <w:left w:val="nil"/>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5.5</w:t>
            </w:r>
          </w:p>
        </w:tc>
      </w:tr>
      <w:tr w:rsidR="00FE673E" w:rsidRPr="007955BB" w:rsidTr="00B70D89">
        <w:trPr>
          <w:trHeight w:val="660"/>
        </w:trPr>
        <w:tc>
          <w:tcPr>
            <w:tcW w:w="5760" w:type="dxa"/>
            <w:tcBorders>
              <w:top w:val="nil"/>
              <w:left w:val="single" w:sz="4" w:space="0" w:color="4F81BD"/>
              <w:bottom w:val="nil"/>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3. </w:t>
            </w:r>
            <w:r w:rsidRPr="007955BB">
              <w:rPr>
                <w:rFonts w:cs="Calibri"/>
                <w:b w:val="0"/>
                <w:color w:val="000000"/>
                <w:szCs w:val="22"/>
                <w:lang w:val="en-US" w:eastAsia="en-US"/>
              </w:rPr>
              <w:t>Փոխարժեքի</w:t>
            </w:r>
            <w:r w:rsidRPr="007955BB">
              <w:rPr>
                <w:rFonts w:cs="Calibri"/>
                <w:b w:val="0"/>
                <w:color w:val="000000"/>
                <w:szCs w:val="22"/>
                <w:lang w:eastAsia="en-US"/>
              </w:rPr>
              <w:t xml:space="preserve"> </w:t>
            </w:r>
            <w:r w:rsidRPr="007955BB">
              <w:rPr>
                <w:rFonts w:cs="Calibri"/>
                <w:b w:val="0"/>
                <w:color w:val="000000"/>
                <w:szCs w:val="22"/>
                <w:lang w:val="en-US" w:eastAsia="en-US"/>
              </w:rPr>
              <w:t>առավելագույնը</w:t>
            </w:r>
            <w:r w:rsidRPr="007955BB">
              <w:rPr>
                <w:rFonts w:cs="Calibri"/>
                <w:b w:val="0"/>
                <w:color w:val="000000"/>
                <w:szCs w:val="22"/>
                <w:lang w:eastAsia="en-US"/>
              </w:rPr>
              <w:t xml:space="preserve"> 5.8 </w:t>
            </w:r>
            <w:r w:rsidRPr="007955BB">
              <w:rPr>
                <w:rFonts w:cs="Calibri"/>
                <w:b w:val="0"/>
                <w:color w:val="000000"/>
                <w:szCs w:val="22"/>
                <w:lang w:val="en-US" w:eastAsia="en-US"/>
              </w:rPr>
              <w:t>տոկոսով</w:t>
            </w:r>
            <w:r w:rsidRPr="007955BB">
              <w:rPr>
                <w:rFonts w:cs="Calibri"/>
                <w:b w:val="0"/>
                <w:color w:val="000000"/>
                <w:szCs w:val="22"/>
                <w:lang w:eastAsia="en-US"/>
              </w:rPr>
              <w:t xml:space="preserve"> </w:t>
            </w:r>
            <w:r w:rsidRPr="007955BB">
              <w:rPr>
                <w:rFonts w:cs="Calibri"/>
                <w:b w:val="0"/>
                <w:color w:val="000000"/>
                <w:szCs w:val="22"/>
                <w:lang w:val="en-US" w:eastAsia="en-US"/>
              </w:rPr>
              <w:t>արժեզրկման</w:t>
            </w:r>
            <w:r w:rsidRPr="007955BB">
              <w:rPr>
                <w:rFonts w:cs="Calibri"/>
                <w:b w:val="0"/>
                <w:color w:val="000000"/>
                <w:szCs w:val="22"/>
                <w:lang w:eastAsia="en-US"/>
              </w:rPr>
              <w:t xml:space="preserve"> </w:t>
            </w:r>
            <w:r w:rsidRPr="007955BB">
              <w:rPr>
                <w:rFonts w:cs="Calibri"/>
                <w:b w:val="0"/>
                <w:color w:val="000000"/>
                <w:szCs w:val="22"/>
                <w:lang w:val="en-US" w:eastAsia="en-US"/>
              </w:rPr>
              <w:t>ռիսկ</w:t>
            </w:r>
          </w:p>
        </w:tc>
        <w:tc>
          <w:tcPr>
            <w:tcW w:w="3870" w:type="dxa"/>
            <w:tcBorders>
              <w:top w:val="nil"/>
              <w:left w:val="nil"/>
              <w:bottom w:val="nil"/>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20.7</w:t>
            </w:r>
          </w:p>
        </w:tc>
      </w:tr>
      <w:tr w:rsidR="00FE673E" w:rsidRPr="007955BB" w:rsidTr="00B70D89">
        <w:trPr>
          <w:trHeight w:val="330"/>
        </w:trPr>
        <w:tc>
          <w:tcPr>
            <w:tcW w:w="576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 w:val="0"/>
                <w:color w:val="000000"/>
                <w:szCs w:val="22"/>
                <w:lang w:eastAsia="en-US"/>
              </w:rPr>
            </w:pPr>
            <w:r w:rsidRPr="007955BB">
              <w:rPr>
                <w:rFonts w:cs="Calibri"/>
                <w:b w:val="0"/>
                <w:color w:val="000000"/>
                <w:szCs w:val="22"/>
                <w:lang w:eastAsia="en-US"/>
              </w:rPr>
              <w:t xml:space="preserve">4. </w:t>
            </w:r>
            <w:r w:rsidRPr="007955BB">
              <w:rPr>
                <w:rFonts w:cs="Calibri"/>
                <w:b w:val="0"/>
                <w:color w:val="000000"/>
                <w:szCs w:val="22"/>
                <w:lang w:val="en-US" w:eastAsia="en-US"/>
              </w:rPr>
              <w:t>Ներմուծման</w:t>
            </w:r>
            <w:r w:rsidRPr="007955BB">
              <w:rPr>
                <w:rFonts w:cs="Calibri"/>
                <w:b w:val="0"/>
                <w:color w:val="000000"/>
                <w:szCs w:val="22"/>
                <w:lang w:eastAsia="en-US"/>
              </w:rPr>
              <w:t xml:space="preserve"> 10.2 </w:t>
            </w:r>
            <w:r w:rsidRPr="007955BB">
              <w:rPr>
                <w:rFonts w:cs="Calibri"/>
                <w:b w:val="0"/>
                <w:color w:val="000000"/>
                <w:szCs w:val="22"/>
                <w:lang w:val="en-US" w:eastAsia="en-US"/>
              </w:rPr>
              <w:t>տոկոսով</w:t>
            </w:r>
            <w:r w:rsidRPr="007955BB">
              <w:rPr>
                <w:rFonts w:cs="Calibri"/>
                <w:b w:val="0"/>
                <w:color w:val="000000"/>
                <w:szCs w:val="22"/>
                <w:lang w:eastAsia="en-US"/>
              </w:rPr>
              <w:t xml:space="preserve"> </w:t>
            </w:r>
            <w:r w:rsidRPr="007955BB">
              <w:rPr>
                <w:rFonts w:cs="Calibri"/>
                <w:b w:val="0"/>
                <w:color w:val="000000"/>
                <w:szCs w:val="22"/>
                <w:lang w:val="en-US" w:eastAsia="en-US"/>
              </w:rPr>
              <w:t>նվազման</w:t>
            </w:r>
            <w:r w:rsidRPr="007955BB">
              <w:rPr>
                <w:rFonts w:cs="Calibri"/>
                <w:b w:val="0"/>
                <w:color w:val="000000"/>
                <w:szCs w:val="22"/>
                <w:lang w:eastAsia="en-US"/>
              </w:rPr>
              <w:t xml:space="preserve"> </w:t>
            </w:r>
            <w:r w:rsidRPr="007955BB">
              <w:rPr>
                <w:rFonts w:cs="Calibri"/>
                <w:b w:val="0"/>
                <w:color w:val="000000"/>
                <w:szCs w:val="22"/>
                <w:lang w:val="en-US" w:eastAsia="en-US"/>
              </w:rPr>
              <w:t>ռիսկ</w:t>
            </w:r>
          </w:p>
        </w:tc>
        <w:tc>
          <w:tcPr>
            <w:tcW w:w="3870" w:type="dxa"/>
            <w:tcBorders>
              <w:top w:val="single" w:sz="4" w:space="0" w:color="4F81BD"/>
              <w:left w:val="nil"/>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 w:val="0"/>
                <w:color w:val="000000"/>
                <w:szCs w:val="22"/>
                <w:lang w:eastAsia="en-US"/>
              </w:rPr>
            </w:pPr>
            <w:r w:rsidRPr="007955BB">
              <w:rPr>
                <w:rFonts w:cs="Calibri"/>
                <w:b w:val="0"/>
                <w:color w:val="000000"/>
                <w:szCs w:val="22"/>
                <w:lang w:eastAsia="en-US"/>
              </w:rPr>
              <w:t>-21.3</w:t>
            </w:r>
          </w:p>
        </w:tc>
      </w:tr>
      <w:tr w:rsidR="00FE673E" w:rsidRPr="007955BB" w:rsidTr="00B70D89">
        <w:trPr>
          <w:trHeight w:val="660"/>
        </w:trPr>
        <w:tc>
          <w:tcPr>
            <w:tcW w:w="5760" w:type="dxa"/>
            <w:tcBorders>
              <w:top w:val="nil"/>
              <w:left w:val="single" w:sz="4" w:space="0" w:color="4F81BD"/>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left"/>
              <w:rPr>
                <w:rFonts w:cs="Calibri"/>
                <w:bCs/>
                <w:color w:val="000000"/>
                <w:szCs w:val="22"/>
                <w:lang w:eastAsia="en-US"/>
              </w:rPr>
            </w:pPr>
            <w:r w:rsidRPr="007955BB">
              <w:rPr>
                <w:rFonts w:cs="Calibri"/>
                <w:bCs/>
                <w:color w:val="000000"/>
                <w:szCs w:val="22"/>
                <w:lang w:val="en-US" w:eastAsia="en-US"/>
              </w:rPr>
              <w:t>Վերոնշյալ</w:t>
            </w:r>
            <w:r w:rsidRPr="007955BB">
              <w:rPr>
                <w:rFonts w:cs="Calibri"/>
                <w:bCs/>
                <w:color w:val="000000"/>
                <w:szCs w:val="22"/>
                <w:lang w:eastAsia="en-US"/>
              </w:rPr>
              <w:t xml:space="preserve"> </w:t>
            </w:r>
            <w:r w:rsidRPr="007955BB">
              <w:rPr>
                <w:rFonts w:cs="Calibri"/>
                <w:bCs/>
                <w:color w:val="000000"/>
                <w:szCs w:val="22"/>
                <w:lang w:val="en-US" w:eastAsia="en-US"/>
              </w:rPr>
              <w:t>ռիսկերի</w:t>
            </w:r>
            <w:r w:rsidRPr="007955BB">
              <w:rPr>
                <w:rFonts w:cs="Calibri"/>
                <w:bCs/>
                <w:color w:val="000000"/>
                <w:szCs w:val="22"/>
                <w:lang w:eastAsia="en-US"/>
              </w:rPr>
              <w:t xml:space="preserve"> </w:t>
            </w:r>
            <w:r w:rsidRPr="007955BB">
              <w:rPr>
                <w:rFonts w:cs="Calibri"/>
                <w:bCs/>
                <w:color w:val="000000"/>
                <w:szCs w:val="22"/>
                <w:lang w:val="en-US" w:eastAsia="en-US"/>
              </w:rPr>
              <w:t>միաժամանակյա</w:t>
            </w:r>
            <w:r w:rsidRPr="007955BB">
              <w:rPr>
                <w:rFonts w:cs="Calibri"/>
                <w:bCs/>
                <w:color w:val="000000"/>
                <w:szCs w:val="22"/>
                <w:lang w:eastAsia="en-US"/>
              </w:rPr>
              <w:t xml:space="preserve"> </w:t>
            </w:r>
            <w:r w:rsidRPr="007955BB">
              <w:rPr>
                <w:rFonts w:cs="Calibri"/>
                <w:bCs/>
                <w:color w:val="000000"/>
                <w:szCs w:val="22"/>
                <w:lang w:val="en-US" w:eastAsia="en-US"/>
              </w:rPr>
              <w:t>հանդես</w:t>
            </w:r>
            <w:r w:rsidRPr="007955BB">
              <w:rPr>
                <w:rFonts w:cs="Calibri"/>
                <w:bCs/>
                <w:color w:val="000000"/>
                <w:szCs w:val="22"/>
                <w:lang w:eastAsia="en-US"/>
              </w:rPr>
              <w:t xml:space="preserve"> </w:t>
            </w:r>
            <w:r w:rsidRPr="007955BB">
              <w:rPr>
                <w:rFonts w:cs="Calibri"/>
                <w:bCs/>
                <w:color w:val="000000"/>
                <w:szCs w:val="22"/>
                <w:lang w:val="en-US" w:eastAsia="en-US"/>
              </w:rPr>
              <w:t>գալու</w:t>
            </w:r>
            <w:r w:rsidRPr="007955BB">
              <w:rPr>
                <w:rFonts w:cs="Calibri"/>
                <w:bCs/>
                <w:color w:val="000000"/>
                <w:szCs w:val="22"/>
                <w:lang w:eastAsia="en-US"/>
              </w:rPr>
              <w:t xml:space="preserve"> </w:t>
            </w:r>
            <w:r w:rsidRPr="007955BB">
              <w:rPr>
                <w:rFonts w:cs="Calibri"/>
                <w:bCs/>
                <w:color w:val="000000"/>
                <w:szCs w:val="22"/>
                <w:lang w:val="en-US" w:eastAsia="en-US"/>
              </w:rPr>
              <w:t>պայմաններում</w:t>
            </w:r>
          </w:p>
        </w:tc>
        <w:tc>
          <w:tcPr>
            <w:tcW w:w="3870" w:type="dxa"/>
            <w:tcBorders>
              <w:top w:val="nil"/>
              <w:left w:val="nil"/>
              <w:bottom w:val="single" w:sz="4" w:space="0" w:color="4F81BD"/>
              <w:right w:val="single" w:sz="4" w:space="0" w:color="4F81BD"/>
            </w:tcBorders>
            <w:shd w:val="clear" w:color="auto" w:fill="auto"/>
            <w:vAlign w:val="center"/>
            <w:hideMark/>
          </w:tcPr>
          <w:p w:rsidR="00FE673E" w:rsidRPr="007955BB" w:rsidRDefault="00FE673E" w:rsidP="00B70D89">
            <w:pPr>
              <w:spacing w:after="120" w:line="240" w:lineRule="auto"/>
              <w:ind w:firstLine="0"/>
              <w:contextualSpacing w:val="0"/>
              <w:jc w:val="center"/>
              <w:rPr>
                <w:rFonts w:cs="Calibri"/>
                <w:bCs/>
                <w:color w:val="000000"/>
                <w:szCs w:val="22"/>
                <w:lang w:val="en-US" w:eastAsia="en-US"/>
              </w:rPr>
            </w:pPr>
            <w:r w:rsidRPr="007955BB">
              <w:rPr>
                <w:rFonts w:cs="Calibri"/>
                <w:bCs/>
                <w:color w:val="000000"/>
                <w:szCs w:val="22"/>
                <w:lang w:eastAsia="en-US"/>
              </w:rPr>
              <w:t>-</w:t>
            </w:r>
            <w:r w:rsidRPr="007955BB">
              <w:rPr>
                <w:rFonts w:cs="Calibri"/>
                <w:bCs/>
                <w:color w:val="000000"/>
                <w:szCs w:val="22"/>
                <w:lang w:val="en-US" w:eastAsia="en-US"/>
              </w:rPr>
              <w:t>22.5</w:t>
            </w:r>
          </w:p>
        </w:tc>
      </w:tr>
    </w:tbl>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lastRenderedPageBreak/>
        <w:t xml:space="preserve">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2023 թվականին կկազմի շուրջ </w:t>
      </w:r>
      <w:r w:rsidRPr="007955BB">
        <w:rPr>
          <w:rFonts w:cs="Sylfaen"/>
          <w:b w:val="0"/>
        </w:rPr>
        <w:t>22.5</w:t>
      </w:r>
      <w:r w:rsidRPr="007955BB">
        <w:rPr>
          <w:rFonts w:cs="Sylfaen"/>
          <w:b w:val="0"/>
          <w:lang w:val="hy-AM"/>
        </w:rPr>
        <w:t xml:space="preserve"> մլրդ ՀՀ դրամ: </w:t>
      </w:r>
    </w:p>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rsidR="00FE673E" w:rsidRPr="007955BB" w:rsidRDefault="00FE673E" w:rsidP="00FE673E">
      <w:pPr>
        <w:pStyle w:val="Caption"/>
        <w:spacing w:after="120" w:line="240" w:lineRule="auto"/>
        <w:contextualSpacing w:val="0"/>
        <w:rPr>
          <w:b/>
          <w:lang w:val="hy-AM"/>
        </w:rPr>
      </w:pPr>
      <w:bookmarkStart w:id="139" w:name="_Toc83928955"/>
      <w:bookmarkStart w:id="140" w:name="_Toc120805276"/>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17</w:t>
      </w:r>
      <w:r w:rsidRPr="007955BB">
        <w:fldChar w:fldCharType="end"/>
      </w:r>
      <w:r w:rsidRPr="007955BB">
        <w:rPr>
          <w:noProof/>
          <w:lang w:val="hy-AM"/>
        </w:rPr>
        <w:t>.</w:t>
      </w:r>
      <w:r w:rsidRPr="007955BB">
        <w:rPr>
          <w:lang w:val="hy-AM"/>
        </w:rPr>
        <w:t xml:space="preserve"> </w:t>
      </w:r>
      <w:r w:rsidRPr="007955BB">
        <w:rPr>
          <w:sz w:val="20"/>
          <w:szCs w:val="20"/>
          <w:lang w:val="hy-AM"/>
        </w:rPr>
        <w:t>Հարկային եկամուտների զգայունությունը հիմնական տնտեսական գործոնների նկատմամբ, տոկոս</w:t>
      </w:r>
      <w:bookmarkEnd w:id="139"/>
      <w:bookmarkEnd w:id="140"/>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9"/>
        <w:gridCol w:w="1398"/>
        <w:gridCol w:w="1138"/>
        <w:gridCol w:w="1435"/>
        <w:gridCol w:w="1568"/>
      </w:tblGrid>
      <w:tr w:rsidR="00FE673E" w:rsidRPr="007955BB" w:rsidTr="00B70D89">
        <w:trPr>
          <w:trHeight w:val="476"/>
          <w:jc w:val="center"/>
        </w:trPr>
        <w:tc>
          <w:tcPr>
            <w:tcW w:w="3659" w:type="dxa"/>
            <w:shd w:val="clear" w:color="auto" w:fill="4F81BD" w:themeFill="accent1"/>
            <w:noWrap/>
            <w:vAlign w:val="bottom"/>
            <w:hideMark/>
          </w:tcPr>
          <w:p w:rsidR="00FE673E" w:rsidRPr="007955BB" w:rsidRDefault="00FE673E" w:rsidP="00B70D89">
            <w:pPr>
              <w:spacing w:after="120" w:line="240" w:lineRule="auto"/>
              <w:ind w:firstLine="0"/>
              <w:contextualSpacing w:val="0"/>
              <w:rPr>
                <w:b w:val="0"/>
                <w:color w:val="FFFFFF" w:themeColor="background1"/>
                <w:lang w:val="hy-AM"/>
              </w:rPr>
            </w:pPr>
            <w:r w:rsidRPr="007955BB">
              <w:rPr>
                <w:rFonts w:ascii="Calibri" w:hAnsi="Calibri" w:cs="Calibri"/>
                <w:b w:val="0"/>
                <w:color w:val="FFFFFF" w:themeColor="background1"/>
                <w:lang w:val="hy-AM"/>
              </w:rPr>
              <w:t> </w:t>
            </w:r>
          </w:p>
        </w:tc>
        <w:tc>
          <w:tcPr>
            <w:tcW w:w="1398" w:type="dxa"/>
            <w:shd w:val="clear" w:color="auto" w:fill="4F81BD" w:themeFill="accent1"/>
            <w:noWrap/>
            <w:vAlign w:val="bottom"/>
            <w:hideMark/>
          </w:tcPr>
          <w:p w:rsidR="00FE673E" w:rsidRPr="007955BB" w:rsidRDefault="00FE673E" w:rsidP="00B70D89">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ՀՆԱ</w:t>
            </w:r>
          </w:p>
        </w:tc>
        <w:tc>
          <w:tcPr>
            <w:tcW w:w="1138" w:type="dxa"/>
            <w:shd w:val="clear" w:color="auto" w:fill="4F81BD" w:themeFill="accent1"/>
            <w:noWrap/>
            <w:vAlign w:val="bottom"/>
            <w:hideMark/>
          </w:tcPr>
          <w:p w:rsidR="00FE673E" w:rsidRPr="007955BB" w:rsidRDefault="00FE673E" w:rsidP="00B70D89">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Գնաճ</w:t>
            </w:r>
          </w:p>
        </w:tc>
        <w:tc>
          <w:tcPr>
            <w:tcW w:w="1435" w:type="dxa"/>
            <w:shd w:val="clear" w:color="auto" w:fill="4F81BD" w:themeFill="accent1"/>
            <w:noWrap/>
            <w:vAlign w:val="bottom"/>
            <w:hideMark/>
          </w:tcPr>
          <w:p w:rsidR="00FE673E" w:rsidRPr="007955BB" w:rsidRDefault="00FE673E" w:rsidP="00B70D89">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Փոխարժեք</w:t>
            </w:r>
          </w:p>
        </w:tc>
        <w:tc>
          <w:tcPr>
            <w:tcW w:w="1568" w:type="dxa"/>
            <w:shd w:val="clear" w:color="auto" w:fill="4F81BD" w:themeFill="accent1"/>
            <w:noWrap/>
            <w:vAlign w:val="bottom"/>
            <w:hideMark/>
          </w:tcPr>
          <w:p w:rsidR="00FE673E" w:rsidRPr="007955BB" w:rsidRDefault="00FE673E" w:rsidP="00B70D89">
            <w:pPr>
              <w:spacing w:after="120" w:line="240" w:lineRule="auto"/>
              <w:ind w:firstLine="0"/>
              <w:contextualSpacing w:val="0"/>
              <w:jc w:val="center"/>
              <w:rPr>
                <w:b w:val="0"/>
                <w:color w:val="FFFFFF" w:themeColor="background1"/>
                <w:lang w:val="hy-AM"/>
              </w:rPr>
            </w:pPr>
            <w:r w:rsidRPr="007955BB">
              <w:rPr>
                <w:rFonts w:cs="Sylfaen"/>
                <w:b w:val="0"/>
                <w:color w:val="FFFFFF" w:themeColor="background1"/>
                <w:lang w:val="hy-AM"/>
              </w:rPr>
              <w:t>Ներմուծ</w:t>
            </w:r>
            <w:r w:rsidRPr="007955BB">
              <w:rPr>
                <w:b w:val="0"/>
                <w:color w:val="FFFFFF" w:themeColor="background1"/>
                <w:lang w:val="hy-AM"/>
              </w:rPr>
              <w:t>ում</w:t>
            </w:r>
          </w:p>
        </w:tc>
      </w:tr>
      <w:tr w:rsidR="00FE673E" w:rsidRPr="007955BB" w:rsidTr="00B70D89">
        <w:trPr>
          <w:trHeight w:val="476"/>
          <w:jc w:val="center"/>
        </w:trPr>
        <w:tc>
          <w:tcPr>
            <w:tcW w:w="3659" w:type="dxa"/>
            <w:noWrap/>
            <w:vAlign w:val="bottom"/>
            <w:hideMark/>
          </w:tcPr>
          <w:p w:rsidR="00FE673E" w:rsidRPr="007955BB" w:rsidRDefault="00FE673E" w:rsidP="00B70D89">
            <w:pPr>
              <w:spacing w:after="120" w:line="240" w:lineRule="auto"/>
              <w:ind w:firstLine="0"/>
              <w:contextualSpacing w:val="0"/>
              <w:rPr>
                <w:b w:val="0"/>
                <w:lang w:val="hy-AM"/>
              </w:rPr>
            </w:pPr>
            <w:r w:rsidRPr="007955BB">
              <w:rPr>
                <w:rFonts w:cs="Sylfaen"/>
                <w:b w:val="0"/>
                <w:lang w:val="hy-AM"/>
              </w:rPr>
              <w:t>Միջին տարեկան ազդեցություն</w:t>
            </w:r>
          </w:p>
        </w:tc>
        <w:tc>
          <w:tcPr>
            <w:tcW w:w="1398" w:type="dxa"/>
            <w:shd w:val="clear" w:color="auto" w:fill="auto"/>
            <w:noWrap/>
            <w:vAlign w:val="bottom"/>
            <w:hideMark/>
          </w:tcPr>
          <w:p w:rsidR="00FE673E" w:rsidRPr="007955BB" w:rsidRDefault="00FE673E" w:rsidP="00B70D89">
            <w:pPr>
              <w:spacing w:after="120" w:line="240" w:lineRule="auto"/>
              <w:ind w:firstLine="0"/>
              <w:contextualSpacing w:val="0"/>
              <w:jc w:val="right"/>
              <w:rPr>
                <w:rFonts w:cs="Calibri"/>
                <w:b w:val="0"/>
                <w:lang w:val="hy-AM"/>
              </w:rPr>
            </w:pPr>
            <w:r w:rsidRPr="007955BB">
              <w:rPr>
                <w:rFonts w:cs="Calibri"/>
                <w:b w:val="0"/>
                <w:color w:val="000000"/>
                <w:szCs w:val="22"/>
              </w:rPr>
              <w:t>0.24</w:t>
            </w:r>
          </w:p>
        </w:tc>
        <w:tc>
          <w:tcPr>
            <w:tcW w:w="1138" w:type="dxa"/>
            <w:shd w:val="clear" w:color="auto" w:fill="auto"/>
            <w:noWrap/>
            <w:vAlign w:val="bottom"/>
            <w:hideMark/>
          </w:tcPr>
          <w:p w:rsidR="00FE673E" w:rsidRPr="007955BB" w:rsidRDefault="00FE673E" w:rsidP="00B70D89">
            <w:pPr>
              <w:spacing w:after="120" w:line="240" w:lineRule="auto"/>
              <w:ind w:firstLine="0"/>
              <w:contextualSpacing w:val="0"/>
              <w:jc w:val="right"/>
              <w:rPr>
                <w:rFonts w:cs="Calibri"/>
                <w:b w:val="0"/>
                <w:lang w:val="hy-AM"/>
              </w:rPr>
            </w:pPr>
            <w:r w:rsidRPr="007955BB">
              <w:rPr>
                <w:rFonts w:cs="Calibri"/>
                <w:b w:val="0"/>
                <w:color w:val="000000"/>
                <w:szCs w:val="22"/>
              </w:rPr>
              <w:t>0.11</w:t>
            </w:r>
          </w:p>
        </w:tc>
        <w:tc>
          <w:tcPr>
            <w:tcW w:w="1435" w:type="dxa"/>
            <w:shd w:val="clear" w:color="auto" w:fill="auto"/>
            <w:noWrap/>
            <w:vAlign w:val="bottom"/>
            <w:hideMark/>
          </w:tcPr>
          <w:p w:rsidR="00FE673E" w:rsidRPr="007955BB" w:rsidRDefault="00FE673E" w:rsidP="00B70D89">
            <w:pPr>
              <w:spacing w:after="120" w:line="240" w:lineRule="auto"/>
              <w:ind w:firstLine="0"/>
              <w:contextualSpacing w:val="0"/>
              <w:jc w:val="right"/>
              <w:rPr>
                <w:rFonts w:cs="Calibri"/>
                <w:b w:val="0"/>
                <w:lang w:val="hy-AM"/>
              </w:rPr>
            </w:pPr>
            <w:r w:rsidRPr="007955BB">
              <w:rPr>
                <w:rFonts w:cs="Calibri"/>
                <w:b w:val="0"/>
                <w:color w:val="000000"/>
                <w:szCs w:val="22"/>
              </w:rPr>
              <w:t>0.16</w:t>
            </w:r>
          </w:p>
        </w:tc>
        <w:tc>
          <w:tcPr>
            <w:tcW w:w="1568" w:type="dxa"/>
            <w:shd w:val="clear" w:color="auto" w:fill="auto"/>
            <w:noWrap/>
            <w:vAlign w:val="bottom"/>
            <w:hideMark/>
          </w:tcPr>
          <w:p w:rsidR="00FE673E" w:rsidRPr="007955BB" w:rsidRDefault="00FE673E" w:rsidP="00B70D89">
            <w:pPr>
              <w:spacing w:after="120" w:line="240" w:lineRule="auto"/>
              <w:ind w:firstLine="0"/>
              <w:contextualSpacing w:val="0"/>
              <w:jc w:val="right"/>
              <w:rPr>
                <w:rFonts w:cs="Calibri"/>
                <w:b w:val="0"/>
                <w:lang w:val="hy-AM"/>
              </w:rPr>
            </w:pPr>
            <w:r w:rsidRPr="007955BB">
              <w:rPr>
                <w:rFonts w:cs="Calibri"/>
                <w:b w:val="0"/>
                <w:color w:val="000000"/>
                <w:szCs w:val="22"/>
              </w:rPr>
              <w:t>0.05</w:t>
            </w:r>
          </w:p>
        </w:tc>
      </w:tr>
    </w:tbl>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Ինչպես երևում է աղյուսակից, հարկերի հավաքագրման առումով առավել էական գործոններ են հանդիսանում ՀՆԱ-ի և փոխարժեքի փոփոխությունները:</w:t>
      </w:r>
    </w:p>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(տես` Գծապատկեր 2.1 և Աղյուսակ 2</w:t>
      </w:r>
      <w:r w:rsidRPr="00625305">
        <w:rPr>
          <w:rFonts w:cs="Sylfaen"/>
          <w:b w:val="0"/>
          <w:lang w:val="hy-AM"/>
        </w:rPr>
        <w:t>1</w:t>
      </w:r>
      <w:r w:rsidRPr="007955BB">
        <w:rPr>
          <w:rFonts w:cs="Sylfaen"/>
          <w:b w:val="0"/>
          <w:lang w:val="hy-AM"/>
        </w:rPr>
        <w:t>)</w:t>
      </w:r>
      <w:r w:rsidRPr="007955BB">
        <w:rPr>
          <w:rStyle w:val="FootnoteReference"/>
          <w:rFonts w:cs="Sylfaen"/>
          <w:b w:val="0"/>
          <w:lang w:val="hy-AM"/>
        </w:rPr>
        <w:footnoteReference w:id="18"/>
      </w:r>
      <w:r w:rsidRPr="007955BB">
        <w:rPr>
          <w:rFonts w:cs="Sylfaen"/>
          <w:b w:val="0"/>
          <w:lang w:val="hy-AM"/>
        </w:rPr>
        <w:t>: Հավանականային բաշխման գրաֆիկի կառուցման ժամանակ օգտագործվել է աղյուսակ 1</w:t>
      </w:r>
      <w:r w:rsidRPr="00625305">
        <w:rPr>
          <w:rFonts w:cs="Sylfaen"/>
          <w:b w:val="0"/>
          <w:lang w:val="hy-AM"/>
        </w:rPr>
        <w:t>9</w:t>
      </w:r>
      <w:r w:rsidRPr="007955BB">
        <w:rPr>
          <w:rFonts w:cs="Sylfaen"/>
          <w:b w:val="0"/>
          <w:lang w:val="hy-AM"/>
        </w:rPr>
        <w:t>-ում գնահատված ամբողջական ռիսկերի միաժամանակյա հանդես գալու պայմաններում ի հայտ եկող բացասական ռիսկերը:</w:t>
      </w:r>
    </w:p>
    <w:p w:rsidR="00FE673E" w:rsidRPr="007955BB" w:rsidRDefault="00FE673E" w:rsidP="00FE673E">
      <w:pPr>
        <w:pStyle w:val="Caption"/>
        <w:spacing w:after="120" w:line="240" w:lineRule="auto"/>
        <w:contextualSpacing w:val="0"/>
        <w:rPr>
          <w:rFonts w:eastAsia="Calibri"/>
          <w:i/>
          <w:sz w:val="20"/>
          <w:szCs w:val="20"/>
          <w:lang w:val="hy-AM" w:eastAsia="en-US"/>
        </w:rPr>
      </w:pPr>
      <w:r w:rsidRPr="007955BB">
        <w:rPr>
          <w:rFonts w:eastAsia="Calibri"/>
          <w:i/>
          <w:sz w:val="20"/>
          <w:szCs w:val="20"/>
          <w:lang w:val="hy-AM" w:eastAsia="en-US"/>
        </w:rPr>
        <w:t>Գծապատկեր 2.1. Հարկային եկամուտների տարեկան աճի տեմպերի կանխատեսումների հավանականային բաշխումը</w:t>
      </w:r>
      <w:r w:rsidRPr="007955BB">
        <w:rPr>
          <w:rFonts w:eastAsia="Calibri"/>
          <w:i/>
          <w:sz w:val="20"/>
          <w:szCs w:val="20"/>
          <w:vertAlign w:val="superscript"/>
          <w:lang w:val="hy-AM" w:eastAsia="en-US"/>
        </w:rPr>
        <w:footnoteReference w:id="19"/>
      </w:r>
      <w:r w:rsidRPr="007955BB">
        <w:rPr>
          <w:rFonts w:eastAsia="Calibri"/>
          <w:i/>
          <w:sz w:val="20"/>
          <w:szCs w:val="20"/>
          <w:lang w:val="hy-AM" w:eastAsia="en-US"/>
        </w:rPr>
        <w:t>, տոկոս</w:t>
      </w:r>
    </w:p>
    <w:p w:rsidR="00FE673E" w:rsidRPr="007955BB" w:rsidRDefault="00FE673E" w:rsidP="00FE673E">
      <w:pPr>
        <w:tabs>
          <w:tab w:val="left" w:pos="90"/>
        </w:tabs>
        <w:spacing w:after="120" w:line="276" w:lineRule="auto"/>
        <w:ind w:firstLine="0"/>
        <w:contextualSpacing w:val="0"/>
        <w:jc w:val="center"/>
        <w:rPr>
          <w:b w:val="0"/>
          <w:i/>
          <w:u w:val="single"/>
          <w:lang w:val="hy-AM"/>
        </w:rPr>
      </w:pPr>
      <w:r w:rsidRPr="007955BB">
        <w:rPr>
          <w:noProof/>
          <w:lang w:val="en-US" w:eastAsia="en-US"/>
        </w:rPr>
        <w:drawing>
          <wp:inline distT="0" distB="0" distL="0" distR="0" wp14:anchorId="0C9B5AF9" wp14:editId="3EFDAA65">
            <wp:extent cx="5553075" cy="21336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E673E" w:rsidRDefault="00FE673E" w:rsidP="00FE673E">
      <w:pPr>
        <w:spacing w:after="120" w:line="276" w:lineRule="auto"/>
        <w:ind w:firstLine="720"/>
        <w:contextualSpacing w:val="0"/>
        <w:rPr>
          <w:rFonts w:cs="Sylfaen"/>
          <w:b w:val="0"/>
          <w:lang w:val="hy-AM"/>
        </w:rPr>
      </w:pPr>
      <w:r w:rsidRPr="007955BB">
        <w:rPr>
          <w:rFonts w:cs="Sylfaen"/>
          <w:b w:val="0"/>
          <w:lang w:val="hy-AM"/>
        </w:rPr>
        <w:lastRenderedPageBreak/>
        <w:t xml:space="preserve">Կանխատեսումների բաշխման հավանականություններն առավել պարզորոշ երևում են ստորև բերվող աղյուսակում: </w:t>
      </w:r>
    </w:p>
    <w:p w:rsidR="00FE673E" w:rsidRDefault="00FE673E" w:rsidP="00FE673E">
      <w:pPr>
        <w:spacing w:after="120" w:line="276" w:lineRule="auto"/>
        <w:ind w:firstLine="720"/>
        <w:contextualSpacing w:val="0"/>
        <w:rPr>
          <w:rFonts w:cs="Sylfaen"/>
          <w:b w:val="0"/>
          <w:lang w:val="hy-AM"/>
        </w:rPr>
      </w:pPr>
    </w:p>
    <w:p w:rsidR="00FE673E" w:rsidRPr="007955BB" w:rsidRDefault="00FE673E" w:rsidP="00FE673E">
      <w:pPr>
        <w:pStyle w:val="Caption"/>
        <w:spacing w:after="120"/>
        <w:ind w:firstLine="360"/>
        <w:contextualSpacing w:val="0"/>
        <w:rPr>
          <w:rFonts w:eastAsia="Calibri"/>
          <w:i/>
          <w:sz w:val="20"/>
          <w:szCs w:val="20"/>
          <w:lang w:val="hy-AM" w:eastAsia="en-US"/>
        </w:rPr>
      </w:pPr>
      <w:bookmarkStart w:id="141" w:name="_Toc83928956"/>
      <w:r w:rsidRPr="007955BB">
        <w:rPr>
          <w:rFonts w:cs="Sylfaen"/>
          <w:bCs w:val="0"/>
          <w:color w:val="auto"/>
          <w:sz w:val="22"/>
          <w:szCs w:val="24"/>
          <w:lang w:val="hy-AM"/>
        </w:rPr>
        <w:t xml:space="preserve"> </w:t>
      </w:r>
      <w:bookmarkStart w:id="142" w:name="_Toc120805277"/>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18</w:t>
      </w:r>
      <w:r w:rsidRPr="007955BB">
        <w:fldChar w:fldCharType="end"/>
      </w:r>
      <w:r w:rsidRPr="007955BB">
        <w:rPr>
          <w:lang w:val="hy-AM"/>
        </w:rPr>
        <w:t>.</w:t>
      </w:r>
      <w:r w:rsidRPr="007955BB">
        <w:rPr>
          <w:rFonts w:eastAsia="Calibri"/>
          <w:i/>
          <w:sz w:val="20"/>
          <w:szCs w:val="20"/>
          <w:lang w:val="hy-AM" w:eastAsia="en-US"/>
        </w:rPr>
        <w:t xml:space="preserve"> Հարկային եկամուտների կանխատեսումների հավանականային բաշխումը</w:t>
      </w:r>
      <w:bookmarkEnd w:id="141"/>
      <w:bookmarkEnd w:id="142"/>
    </w:p>
    <w:tbl>
      <w:tblPr>
        <w:tblW w:w="8195" w:type="dxa"/>
        <w:tblInd w:w="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1189"/>
        <w:gridCol w:w="1157"/>
        <w:gridCol w:w="1157"/>
        <w:gridCol w:w="1658"/>
      </w:tblGrid>
      <w:tr w:rsidR="00FE673E" w:rsidRPr="000C4EB4" w:rsidTr="00B70D89">
        <w:trPr>
          <w:trHeight w:val="1162"/>
        </w:trPr>
        <w:tc>
          <w:tcPr>
            <w:tcW w:w="3034" w:type="dxa"/>
            <w:shd w:val="clear" w:color="000000" w:fill="4472C4"/>
            <w:vAlign w:val="center"/>
            <w:hideMark/>
          </w:tcPr>
          <w:p w:rsidR="00FE673E" w:rsidRPr="007955BB" w:rsidRDefault="00FE673E" w:rsidP="00B70D89">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Հարկային եկամուտների աճի միջակայքը</w:t>
            </w:r>
          </w:p>
        </w:tc>
        <w:tc>
          <w:tcPr>
            <w:tcW w:w="5161" w:type="dxa"/>
            <w:gridSpan w:val="4"/>
            <w:shd w:val="clear" w:color="000000" w:fill="4472C4"/>
            <w:vAlign w:val="center"/>
            <w:hideMark/>
          </w:tcPr>
          <w:p w:rsidR="00FE673E" w:rsidRPr="007955BB" w:rsidRDefault="00FE673E" w:rsidP="00B70D89">
            <w:pPr>
              <w:spacing w:before="0" w:line="240" w:lineRule="auto"/>
              <w:ind w:firstLine="0"/>
              <w:contextualSpacing w:val="0"/>
              <w:jc w:val="center"/>
              <w:rPr>
                <w:rFonts w:cs="Calibri"/>
                <w:b w:val="0"/>
                <w:color w:val="FFFFFF"/>
                <w:szCs w:val="22"/>
                <w:lang w:val="en-US" w:eastAsia="en-US"/>
              </w:rPr>
            </w:pPr>
            <w:r w:rsidRPr="007955BB">
              <w:rPr>
                <w:rFonts w:cs="Calibri"/>
                <w:b w:val="0"/>
                <w:color w:val="FFFFFF"/>
                <w:szCs w:val="22"/>
                <w:lang w:val="en-US" w:eastAsia="en-US"/>
              </w:rPr>
              <w:t>Հարկային եկամուտների աճի` տվյալ  միջակայքում ձևավորվելու հավանականությունը</w:t>
            </w:r>
          </w:p>
        </w:tc>
      </w:tr>
      <w:tr w:rsidR="00FE673E" w:rsidRPr="007955BB" w:rsidTr="00B70D89">
        <w:trPr>
          <w:trHeight w:val="172"/>
        </w:trPr>
        <w:tc>
          <w:tcPr>
            <w:tcW w:w="3034" w:type="dxa"/>
            <w:shd w:val="clear" w:color="000000" w:fill="4472C4"/>
            <w:vAlign w:val="center"/>
            <w:hideMark/>
          </w:tcPr>
          <w:p w:rsidR="00FE673E" w:rsidRPr="007955BB" w:rsidRDefault="00FE673E" w:rsidP="00B70D89">
            <w:pPr>
              <w:spacing w:before="0" w:line="240" w:lineRule="auto"/>
              <w:ind w:firstLine="0"/>
              <w:contextualSpacing w:val="0"/>
              <w:jc w:val="center"/>
              <w:rPr>
                <w:rFonts w:ascii="Calibri" w:hAnsi="Calibri" w:cs="Calibri"/>
                <w:bCs/>
                <w:color w:val="FFFFFF"/>
                <w:szCs w:val="22"/>
                <w:lang w:val="en-US" w:eastAsia="en-US"/>
              </w:rPr>
            </w:pPr>
            <w:r w:rsidRPr="007955BB">
              <w:rPr>
                <w:rFonts w:ascii="Calibri" w:hAnsi="Calibri" w:cs="Calibri"/>
                <w:bCs/>
                <w:color w:val="FFFFFF"/>
                <w:szCs w:val="22"/>
                <w:lang w:val="en-US" w:eastAsia="en-US"/>
              </w:rPr>
              <w:t> </w:t>
            </w:r>
          </w:p>
        </w:tc>
        <w:tc>
          <w:tcPr>
            <w:tcW w:w="5161" w:type="dxa"/>
            <w:gridSpan w:val="4"/>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2023</w:t>
            </w:r>
          </w:p>
        </w:tc>
      </w:tr>
      <w:tr w:rsidR="00FE673E" w:rsidRPr="007955BB" w:rsidTr="00B70D89">
        <w:trPr>
          <w:trHeight w:val="165"/>
        </w:trPr>
        <w:tc>
          <w:tcPr>
            <w:tcW w:w="3034" w:type="dxa"/>
            <w:shd w:val="clear" w:color="000000" w:fill="4472C4"/>
            <w:vAlign w:val="center"/>
            <w:hideMark/>
          </w:tcPr>
          <w:p w:rsidR="00FE673E" w:rsidRPr="007955BB" w:rsidRDefault="00FE673E" w:rsidP="00B70D89">
            <w:pPr>
              <w:spacing w:before="0" w:line="240" w:lineRule="auto"/>
              <w:ind w:firstLine="0"/>
              <w:contextualSpacing w:val="0"/>
              <w:jc w:val="center"/>
              <w:rPr>
                <w:rFonts w:ascii="Calibri" w:hAnsi="Calibri" w:cs="Calibri"/>
                <w:bCs/>
                <w:color w:val="FFFFFF"/>
                <w:szCs w:val="22"/>
                <w:lang w:val="en-US" w:eastAsia="en-US"/>
              </w:rPr>
            </w:pPr>
            <w:r w:rsidRPr="007955BB">
              <w:rPr>
                <w:rFonts w:ascii="Calibri" w:hAnsi="Calibri" w:cs="Calibri"/>
                <w:bCs/>
                <w:color w:val="FFFFFF"/>
                <w:szCs w:val="22"/>
                <w:lang w:val="en-US" w:eastAsia="en-US"/>
              </w:rPr>
              <w:t> </w:t>
            </w:r>
          </w:p>
        </w:tc>
        <w:tc>
          <w:tcPr>
            <w:tcW w:w="1189" w:type="dxa"/>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1</w:t>
            </w:r>
          </w:p>
        </w:tc>
        <w:tc>
          <w:tcPr>
            <w:tcW w:w="1157" w:type="dxa"/>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2</w:t>
            </w:r>
          </w:p>
        </w:tc>
        <w:tc>
          <w:tcPr>
            <w:tcW w:w="1157" w:type="dxa"/>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3</w:t>
            </w:r>
          </w:p>
        </w:tc>
        <w:tc>
          <w:tcPr>
            <w:tcW w:w="1658" w:type="dxa"/>
            <w:shd w:val="clear" w:color="000000" w:fill="4472C4"/>
            <w:noWrap/>
            <w:vAlign w:val="center"/>
            <w:hideMark/>
          </w:tcPr>
          <w:p w:rsidR="00FE673E" w:rsidRPr="007955BB" w:rsidRDefault="00FE673E" w:rsidP="00B70D89">
            <w:pPr>
              <w:spacing w:before="0" w:line="240" w:lineRule="auto"/>
              <w:ind w:firstLine="0"/>
              <w:contextualSpacing w:val="0"/>
              <w:jc w:val="center"/>
              <w:rPr>
                <w:rFonts w:cs="Calibri"/>
                <w:bCs/>
                <w:color w:val="FFFFFF"/>
                <w:szCs w:val="22"/>
                <w:lang w:val="en-US" w:eastAsia="en-US"/>
              </w:rPr>
            </w:pPr>
            <w:r w:rsidRPr="007955BB">
              <w:rPr>
                <w:rFonts w:cs="Calibri"/>
                <w:bCs/>
                <w:color w:val="FFFFFF"/>
                <w:szCs w:val="22"/>
                <w:lang w:val="en-US" w:eastAsia="en-US"/>
              </w:rPr>
              <w:t>4</w:t>
            </w:r>
          </w:p>
        </w:tc>
      </w:tr>
      <w:tr w:rsidR="00FE673E" w:rsidRPr="007955BB" w:rsidTr="00B70D89">
        <w:trPr>
          <w:trHeight w:val="172"/>
        </w:trPr>
        <w:tc>
          <w:tcPr>
            <w:tcW w:w="3034"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8-13 տոկոս</w:t>
            </w:r>
          </w:p>
        </w:tc>
        <w:tc>
          <w:tcPr>
            <w:tcW w:w="1189"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0.04</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0.16</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0.22</w:t>
            </w:r>
          </w:p>
        </w:tc>
        <w:tc>
          <w:tcPr>
            <w:tcW w:w="1658"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0.34</w:t>
            </w:r>
          </w:p>
        </w:tc>
      </w:tr>
      <w:tr w:rsidR="00FE673E" w:rsidRPr="007955BB" w:rsidTr="00B70D89">
        <w:trPr>
          <w:trHeight w:val="172"/>
        </w:trPr>
        <w:tc>
          <w:tcPr>
            <w:tcW w:w="3034"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13-18 տոկոս</w:t>
            </w:r>
          </w:p>
        </w:tc>
        <w:tc>
          <w:tcPr>
            <w:tcW w:w="1189"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0.49</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0.67</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0.67</w:t>
            </w:r>
          </w:p>
        </w:tc>
        <w:tc>
          <w:tcPr>
            <w:tcW w:w="1658"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i/>
                <w:iCs/>
                <w:color w:val="000000"/>
                <w:szCs w:val="22"/>
                <w:u w:val="single"/>
                <w:lang w:val="en-US" w:eastAsia="en-US"/>
              </w:rPr>
            </w:pPr>
            <w:r w:rsidRPr="007955BB">
              <w:rPr>
                <w:rFonts w:cs="Calibri"/>
                <w:bCs/>
                <w:i/>
                <w:iCs/>
                <w:color w:val="000000"/>
                <w:szCs w:val="22"/>
                <w:u w:val="single"/>
                <w:lang w:val="en-US" w:eastAsia="en-US"/>
              </w:rPr>
              <w:t>0.60</w:t>
            </w:r>
          </w:p>
        </w:tc>
      </w:tr>
      <w:tr w:rsidR="00FE673E" w:rsidRPr="007955BB" w:rsidTr="00B70D89">
        <w:trPr>
          <w:trHeight w:val="172"/>
        </w:trPr>
        <w:tc>
          <w:tcPr>
            <w:tcW w:w="3034"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Cs/>
                <w:color w:val="000000"/>
                <w:szCs w:val="22"/>
                <w:lang w:val="en-US" w:eastAsia="en-US"/>
              </w:rPr>
            </w:pPr>
            <w:r w:rsidRPr="007955BB">
              <w:rPr>
                <w:rFonts w:cs="Calibri"/>
                <w:bCs/>
                <w:color w:val="000000"/>
                <w:szCs w:val="22"/>
                <w:lang w:val="en-US" w:eastAsia="en-US"/>
              </w:rPr>
              <w:t>18-23 տոկոս</w:t>
            </w:r>
          </w:p>
        </w:tc>
        <w:tc>
          <w:tcPr>
            <w:tcW w:w="1189"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0.47</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0.16</w:t>
            </w:r>
          </w:p>
        </w:tc>
        <w:tc>
          <w:tcPr>
            <w:tcW w:w="1157"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0.10</w:t>
            </w:r>
          </w:p>
        </w:tc>
        <w:tc>
          <w:tcPr>
            <w:tcW w:w="1658" w:type="dxa"/>
            <w:shd w:val="clear" w:color="auto" w:fill="auto"/>
            <w:noWrap/>
            <w:vAlign w:val="center"/>
            <w:hideMark/>
          </w:tcPr>
          <w:p w:rsidR="00FE673E" w:rsidRPr="007955BB" w:rsidRDefault="00FE673E" w:rsidP="00B70D89">
            <w:pPr>
              <w:spacing w:before="0" w:line="240" w:lineRule="auto"/>
              <w:ind w:firstLine="0"/>
              <w:contextualSpacing w:val="0"/>
              <w:jc w:val="center"/>
              <w:rPr>
                <w:rFonts w:cs="Calibri"/>
                <w:b w:val="0"/>
                <w:color w:val="000000"/>
                <w:szCs w:val="22"/>
                <w:lang w:val="en-US" w:eastAsia="en-US"/>
              </w:rPr>
            </w:pPr>
            <w:r w:rsidRPr="007955BB">
              <w:rPr>
                <w:rFonts w:cs="Calibri"/>
                <w:b w:val="0"/>
                <w:color w:val="000000"/>
                <w:szCs w:val="22"/>
                <w:lang w:val="en-US" w:eastAsia="en-US"/>
              </w:rPr>
              <w:t>0.04</w:t>
            </w:r>
          </w:p>
        </w:tc>
      </w:tr>
    </w:tbl>
    <w:p w:rsidR="00FE673E" w:rsidRPr="007955BB" w:rsidRDefault="00FE673E" w:rsidP="00FE673E">
      <w:pPr>
        <w:spacing w:after="120" w:line="276" w:lineRule="auto"/>
        <w:contextualSpacing w:val="0"/>
        <w:rPr>
          <w:rFonts w:cs="Sylfaen"/>
          <w:b w:val="0"/>
          <w:lang w:val="hy-AM"/>
        </w:rPr>
      </w:pPr>
      <w:r>
        <w:rPr>
          <w:rFonts w:cs="Sylfaen"/>
          <w:b w:val="0"/>
          <w:lang w:val="hy-AM"/>
        </w:rPr>
        <w:t>Աղյուսակ 20</w:t>
      </w:r>
      <w:r w:rsidRPr="007955BB">
        <w:rPr>
          <w:rFonts w:cs="Sylfaen"/>
          <w:b w:val="0"/>
          <w:lang w:val="hy-AM"/>
        </w:rPr>
        <w:t xml:space="preserve">-ի առաջին սյունը ներկայացնում է հարկային եկամուտների աճի միջակայքերը, իսկ 2-ից 5-րդ սյուները` նշված միջակայքերից յուրաքանչյուրում այդ աճի ձևավորվելու հավանականությունները` ըստ եռամսյակային կանխատեսումների: Համաձայն գնահատականների, 2023 թվականին </w:t>
      </w:r>
      <w:r w:rsidRPr="007955BB">
        <w:rPr>
          <w:rFonts w:cs="Sylfaen"/>
          <w:b w:val="0"/>
        </w:rPr>
        <w:t>13-</w:t>
      </w:r>
      <w:r w:rsidRPr="007955BB">
        <w:rPr>
          <w:rFonts w:cs="Sylfaen"/>
          <w:b w:val="0"/>
          <w:lang w:val="hy-AM"/>
        </w:rPr>
        <w:t xml:space="preserve">18% միջակայքում գտնվելու հավանականություններն ամենաբարձրն են, (Գծապատկեր 2.1-ում այն մուգ կարմիր է, իսկ Աղյուսակ </w:t>
      </w:r>
      <w:r w:rsidRPr="00625305">
        <w:rPr>
          <w:rFonts w:cs="Sylfaen"/>
          <w:b w:val="0"/>
        </w:rPr>
        <w:t>20</w:t>
      </w:r>
      <w:r w:rsidRPr="007955BB">
        <w:rPr>
          <w:rFonts w:cs="Sylfaen"/>
          <w:b w:val="0"/>
          <w:lang w:val="hy-AM"/>
        </w:rPr>
        <w:t xml:space="preserve">-ում՝ հոծ նշումով): </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lang w:val="hy-AM"/>
        </w:rPr>
      </w:pPr>
      <w:r w:rsidRPr="007955BB">
        <w:rPr>
          <w:rFonts w:cs="Sylfaen"/>
          <w:lang w:val="hy-AM"/>
        </w:rPr>
        <w:t xml:space="preserve">Ներդիր </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lang w:val="hy-AM"/>
        </w:rPr>
      </w:pPr>
      <w:r w:rsidRPr="007955BB">
        <w:rPr>
          <w:rFonts w:cs="Sylfaen"/>
          <w:lang w:val="hy-AM"/>
        </w:rPr>
        <w:t>Իրական ՀՆԱ-ի և հարկային եկամուտների կանխատեսումների հավանականային բաշխման գծապատկերի կառուցումը</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 xml:space="preserve">Իրական ՀՆԱ-ի </w:t>
      </w:r>
      <w:r w:rsidRPr="007955BB">
        <w:rPr>
          <w:b w:val="0"/>
          <w:lang w:val="hy-AM"/>
        </w:rPr>
        <w:t xml:space="preserve">և հարկային եկամուտների կանխատեսումների </w:t>
      </w:r>
      <w:r w:rsidRPr="007955BB">
        <w:rPr>
          <w:rFonts w:cs="Sylfaen"/>
          <w:b w:val="0"/>
          <w:lang w:val="hy-AM"/>
        </w:rPr>
        <w:t>հավանականային</w:t>
      </w:r>
      <w:r w:rsidRPr="007955BB">
        <w:rPr>
          <w:b w:val="0"/>
          <w:lang w:val="hy-AM"/>
        </w:rPr>
        <w:t xml:space="preserve"> բ</w:t>
      </w:r>
      <w:r w:rsidRPr="007955BB">
        <w:rPr>
          <w:rFonts w:cs="Sylfaen"/>
          <w:b w:val="0"/>
          <w:lang w:val="hy-AM"/>
        </w:rPr>
        <w:t xml:space="preserve">աշխումը ներկայացնող գծապատկերները ցույց </w:t>
      </w:r>
      <w:r w:rsidRPr="007955BB">
        <w:rPr>
          <w:b w:val="0"/>
          <w:lang w:val="hy-AM"/>
        </w:rPr>
        <w:t xml:space="preserve">են </w:t>
      </w:r>
      <w:r w:rsidRPr="007955BB">
        <w:rPr>
          <w:rFonts w:cs="Sylfaen"/>
          <w:b w:val="0"/>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7955BB">
        <w:rPr>
          <w:b w:val="0"/>
          <w:lang w:val="hy-AM"/>
        </w:rPr>
        <w:t>:</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b w:val="0"/>
          <w:lang w:val="hy-AM"/>
        </w:rPr>
      </w:pPr>
      <w:r w:rsidRPr="007955BB">
        <w:rPr>
          <w:rFonts w:cs="Sylfaen"/>
          <w:b w:val="0"/>
          <w:lang w:val="hy-AM"/>
        </w:rPr>
        <w:t>Կանխատեսումների հավանականային բաշխման գծապատկերի կառուցման անհրաժեշտությունը պայմանավորված է նրանով</w:t>
      </w:r>
      <w:r w:rsidRPr="007955BB">
        <w:rPr>
          <w:b w:val="0"/>
          <w:lang w:val="hy-AM"/>
        </w:rPr>
        <w:t xml:space="preserve">, </w:t>
      </w:r>
      <w:r w:rsidRPr="007955BB">
        <w:rPr>
          <w:rFonts w:cs="Sylfaen"/>
          <w:b w:val="0"/>
          <w:lang w:val="hy-AM"/>
        </w:rPr>
        <w:t>որ բոլոր կանխատեսումները ինչ</w:t>
      </w:r>
      <w:r w:rsidRPr="007955BB">
        <w:rPr>
          <w:b w:val="0"/>
          <w:lang w:val="hy-AM"/>
        </w:rPr>
        <w:t>-</w:t>
      </w:r>
      <w:r w:rsidRPr="007955BB">
        <w:rPr>
          <w:rFonts w:cs="Sylfaen"/>
          <w:b w:val="0"/>
          <w:lang w:val="hy-AM"/>
        </w:rPr>
        <w:t>որ չափով անորոշ են</w:t>
      </w:r>
      <w:r w:rsidRPr="007955BB">
        <w:rPr>
          <w:b w:val="0"/>
          <w:lang w:val="hy-AM"/>
        </w:rPr>
        <w:t xml:space="preserve">: </w:t>
      </w:r>
      <w:r w:rsidRPr="007955BB">
        <w:rPr>
          <w:rFonts w:cs="Sylfaen"/>
          <w:b w:val="0"/>
          <w:lang w:val="hy-AM"/>
        </w:rPr>
        <w:t>Կարևոր է հաշվի առնել ոչ միայն կոնկրետ կանխատեսված արժեքները</w:t>
      </w:r>
      <w:r w:rsidRPr="007955BB">
        <w:rPr>
          <w:b w:val="0"/>
          <w:lang w:val="hy-AM"/>
        </w:rPr>
        <w:t xml:space="preserve">, </w:t>
      </w:r>
      <w:r w:rsidRPr="007955BB">
        <w:rPr>
          <w:rFonts w:cs="Sylfaen"/>
          <w:b w:val="0"/>
          <w:lang w:val="hy-AM"/>
        </w:rPr>
        <w:t>այլ նաև բոլոր այն</w:t>
      </w:r>
      <w:r w:rsidRPr="007955BB">
        <w:rPr>
          <w:b w:val="0"/>
          <w:lang w:val="hy-AM"/>
        </w:rPr>
        <w:t xml:space="preserve"> վերոնշյալ </w:t>
      </w:r>
      <w:r w:rsidRPr="007955BB">
        <w:rPr>
          <w:rFonts w:cs="Sylfaen"/>
          <w:b w:val="0"/>
          <w:lang w:val="hy-AM"/>
        </w:rPr>
        <w:t>ռիսկերը</w:t>
      </w:r>
      <w:r w:rsidRPr="007955BB">
        <w:rPr>
          <w:b w:val="0"/>
          <w:lang w:val="hy-AM"/>
        </w:rPr>
        <w:t xml:space="preserve">, </w:t>
      </w:r>
      <w:r w:rsidRPr="007955BB">
        <w:rPr>
          <w:rFonts w:cs="Sylfaen"/>
          <w:b w:val="0"/>
          <w:lang w:val="hy-AM"/>
        </w:rPr>
        <w:t>որոնց արդյունքում կարող են շեղումներ առաջանալ իրական ՀՆԱ-ի կանխատեսումների և հարկերի կանխատեսումների կենտրոնական արժեքներից</w:t>
      </w:r>
      <w:r w:rsidRPr="007955BB">
        <w:rPr>
          <w:b w:val="0"/>
          <w:lang w:val="hy-AM"/>
        </w:rPr>
        <w:t xml:space="preserve">: </w:t>
      </w:r>
      <w:r w:rsidRPr="007955BB">
        <w:rPr>
          <w:rFonts w:cs="Sylfaen"/>
          <w:b w:val="0"/>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7955BB">
        <w:rPr>
          <w:b w:val="0"/>
          <w:lang w:val="hy-AM"/>
        </w:rPr>
        <w:t xml:space="preserve"> դրանց </w:t>
      </w:r>
      <w:r w:rsidRPr="007955BB">
        <w:rPr>
          <w:rFonts w:cs="Sylfaen"/>
          <w:b w:val="0"/>
          <w:lang w:val="hy-AM"/>
        </w:rPr>
        <w:t>աղբյուրների վերաբերյալ</w:t>
      </w:r>
      <w:r w:rsidRPr="007955BB">
        <w:rPr>
          <w:b w:val="0"/>
          <w:lang w:val="hy-AM"/>
        </w:rPr>
        <w:t xml:space="preserve">: </w:t>
      </w:r>
      <w:r w:rsidRPr="007955BB">
        <w:rPr>
          <w:rFonts w:cs="Sylfaen"/>
          <w:b w:val="0"/>
          <w:lang w:val="hy-AM"/>
        </w:rPr>
        <w:t>Այդ պատճառով կարևորվում է որոշակի վստահության միջակայքի կառուցման խնդիրը</w:t>
      </w:r>
      <w:r w:rsidRPr="007955BB">
        <w:rPr>
          <w:b w:val="0"/>
          <w:lang w:val="hy-AM"/>
        </w:rPr>
        <w:t xml:space="preserve">, </w:t>
      </w:r>
      <w:r w:rsidRPr="007955BB">
        <w:rPr>
          <w:rFonts w:cs="Sylfaen"/>
          <w:b w:val="0"/>
          <w:lang w:val="hy-AM"/>
        </w:rPr>
        <w:t>որը թույլ կտա գնահատել իրադարձությունների զարգացման հավանական ընթացքը</w:t>
      </w:r>
      <w:r w:rsidRPr="007955BB">
        <w:rPr>
          <w:b w:val="0"/>
          <w:lang w:val="hy-AM"/>
        </w:rPr>
        <w:t xml:space="preserve">: Իրական ՀՆԱ-ի և հարկերի կանխատեսումների հավանականային բաշխման ներկայացված գծապատկերները հիմնվում են </w:t>
      </w:r>
      <w:r w:rsidRPr="007955BB">
        <w:rPr>
          <w:rFonts w:cs="Sylfaen"/>
          <w:b w:val="0"/>
          <w:lang w:val="hy-AM"/>
        </w:rPr>
        <w:t>Անգլիայի բանկի կողմից մշակված մեթոդաբանության վրա և հաշվի է առնում</w:t>
      </w:r>
      <w:r w:rsidRPr="007955BB">
        <w:rPr>
          <w:b w:val="0"/>
          <w:lang w:val="hy-AM"/>
        </w:rPr>
        <w:t xml:space="preserve"> կանխատեսումների հավանականային բաշխման </w:t>
      </w:r>
      <w:r w:rsidRPr="007955BB">
        <w:rPr>
          <w:rFonts w:cs="Sylfaen"/>
          <w:b w:val="0"/>
          <w:lang w:val="hy-AM"/>
        </w:rPr>
        <w:t>ասիմետրիկության առկայությունը</w:t>
      </w:r>
      <w:r w:rsidRPr="007955BB">
        <w:rPr>
          <w:b w:val="0"/>
          <w:lang w:val="hy-AM"/>
        </w:rPr>
        <w:t xml:space="preserve">: </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Հայաստանի համար իրական ՀՆԱ-ի և հարկերի աճի կանխատեսումների բաշխման գծապատկերները կառուցվել են երեք չափորոշիչների հիման վրա.</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rFonts w:cs="Sylfaen"/>
          <w:b w:val="0"/>
          <w:lang w:val="hy-AM"/>
        </w:rPr>
      </w:pPr>
      <w:r w:rsidRPr="007955BB">
        <w:rPr>
          <w:b w:val="0"/>
          <w:lang w:val="hy-AM"/>
        </w:rPr>
        <w:lastRenderedPageBreak/>
        <w:t xml:space="preserve">1. </w:t>
      </w:r>
      <w:r w:rsidRPr="007955BB">
        <w:rPr>
          <w:rFonts w:cs="Sylfaen"/>
          <w:b w:val="0"/>
          <w:lang w:val="hy-AM"/>
        </w:rPr>
        <w:t xml:space="preserve">կենտրոնական արժեքները, </w:t>
      </w:r>
      <w:r w:rsidRPr="007955BB">
        <w:rPr>
          <w:b w:val="0"/>
          <w:lang w:val="hy-AM"/>
        </w:rPr>
        <w:t xml:space="preserve">2. </w:t>
      </w:r>
      <w:r w:rsidRPr="007955BB">
        <w:rPr>
          <w:rFonts w:cs="Sylfaen"/>
          <w:b w:val="0"/>
          <w:lang w:val="hy-AM"/>
        </w:rPr>
        <w:t>անորոշության չափը</w:t>
      </w:r>
      <w:r w:rsidRPr="007955BB">
        <w:rPr>
          <w:b w:val="0"/>
          <w:lang w:val="hy-AM"/>
        </w:rPr>
        <w:t xml:space="preserve"> (</w:t>
      </w:r>
      <w:r w:rsidRPr="007955BB">
        <w:rPr>
          <w:rFonts w:cs="Sylfaen"/>
          <w:b w:val="0"/>
          <w:lang w:val="hy-AM"/>
        </w:rPr>
        <w:t>դիսպերսիան</w:t>
      </w:r>
      <w:r w:rsidRPr="007955BB">
        <w:rPr>
          <w:b w:val="0"/>
          <w:lang w:val="hy-AM"/>
        </w:rPr>
        <w:t>),</w:t>
      </w:r>
      <w:r w:rsidRPr="007955BB">
        <w:rPr>
          <w:rFonts w:cs="Sylfaen"/>
          <w:b w:val="0"/>
          <w:lang w:val="hy-AM"/>
        </w:rPr>
        <w:t xml:space="preserve"> որը ստանալու համար հիմք են հանդիսացել փաստացի պատմական շարքերի կանխատեսումային սխալները և </w:t>
      </w:r>
      <w:r w:rsidRPr="007955BB">
        <w:rPr>
          <w:b w:val="0"/>
          <w:lang w:val="hy-AM"/>
        </w:rPr>
        <w:t xml:space="preserve">3. </w:t>
      </w:r>
      <w:r w:rsidRPr="007955BB">
        <w:rPr>
          <w:rFonts w:cs="Sylfaen"/>
          <w:b w:val="0"/>
          <w:lang w:val="hy-AM"/>
        </w:rPr>
        <w:t>ռիսկերի հարաբերական հաշվեկշիռը՝ անհամաչափության գործակցի գնահատման նպատակով:</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Ունենալով կանխատեսված</w:t>
      </w:r>
      <w:r w:rsidRPr="007955BB">
        <w:rPr>
          <w:b w:val="0"/>
          <w:lang w:val="hy-AM"/>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2023թվականի համար (տես` Գծապատկեր 2.1):</w:t>
      </w:r>
    </w:p>
    <w:p w:rsidR="00FE673E" w:rsidRPr="007955BB" w:rsidRDefault="00FE673E" w:rsidP="00FE673E">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contextualSpacing w:val="0"/>
        <w:rPr>
          <w:b w:val="0"/>
          <w:lang w:val="hy-AM"/>
        </w:rPr>
      </w:pPr>
      <w:r w:rsidRPr="007955BB">
        <w:rPr>
          <w:rFonts w:cs="Sylfaen"/>
          <w:b w:val="0"/>
          <w:lang w:val="hy-AM"/>
        </w:rPr>
        <w:t>ՀՆԱ-ի և հարկերի կանխատեսման գծապատկերներում կենտրոնական մուգ</w:t>
      </w:r>
      <w:r w:rsidRPr="007955BB">
        <w:rPr>
          <w:b w:val="0"/>
          <w:lang w:val="hy-AM"/>
        </w:rPr>
        <w:t xml:space="preserve"> (</w:t>
      </w:r>
      <w:r w:rsidRPr="007955BB">
        <w:rPr>
          <w:rFonts w:cs="Sylfaen"/>
          <w:b w:val="0"/>
          <w:lang w:val="hy-AM"/>
        </w:rPr>
        <w:t>կարմիր)</w:t>
      </w:r>
      <w:r w:rsidRPr="007955BB">
        <w:rPr>
          <w:b w:val="0"/>
          <w:lang w:val="hy-AM"/>
        </w:rPr>
        <w:t xml:space="preserve"> ավելի նեղ </w:t>
      </w:r>
      <w:r w:rsidRPr="007955BB">
        <w:rPr>
          <w:rFonts w:cs="Sylfaen"/>
          <w:b w:val="0"/>
          <w:lang w:val="hy-AM"/>
        </w:rPr>
        <w:t>միջակայքը ներառում է նաև</w:t>
      </w:r>
      <w:r w:rsidRPr="007955BB">
        <w:rPr>
          <w:b w:val="0"/>
          <w:lang w:val="hy-AM"/>
        </w:rPr>
        <w:t xml:space="preserve"> կանխատեսման </w:t>
      </w:r>
      <w:r w:rsidRPr="007955BB">
        <w:rPr>
          <w:rFonts w:cs="Sylfaen"/>
          <w:b w:val="0"/>
          <w:lang w:val="hy-AM"/>
        </w:rPr>
        <w:t>կենտրոնական սցենարը</w:t>
      </w:r>
      <w:r w:rsidRPr="007955BB">
        <w:rPr>
          <w:b w:val="0"/>
          <w:lang w:val="hy-AM"/>
        </w:rPr>
        <w:t xml:space="preserve"> (</w:t>
      </w:r>
      <w:r w:rsidRPr="007955BB">
        <w:rPr>
          <w:rFonts w:cs="Sylfaen"/>
          <w:b w:val="0"/>
          <w:lang w:val="hy-AM"/>
        </w:rPr>
        <w:t>կանխատեսված արժեքները</w:t>
      </w:r>
      <w:r w:rsidRPr="007955BB">
        <w:rPr>
          <w:b w:val="0"/>
          <w:lang w:val="hy-AM"/>
        </w:rPr>
        <w:t>):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w:t>
      </w:r>
    </w:p>
    <w:p w:rsidR="00FE673E" w:rsidRPr="007955BB" w:rsidRDefault="00FE673E" w:rsidP="00FE673E">
      <w:pPr>
        <w:spacing w:after="120" w:line="276" w:lineRule="auto"/>
        <w:ind w:firstLine="0"/>
        <w:contextualSpacing w:val="0"/>
        <w:rPr>
          <w:sz w:val="24"/>
          <w:lang w:val="hy-AM"/>
        </w:rPr>
      </w:pPr>
      <w:r w:rsidRPr="007955BB">
        <w:rPr>
          <w:sz w:val="24"/>
          <w:lang w:val="hy-AM"/>
        </w:rPr>
        <w:t>2.2. Պետական բյուջեի վրա մակրոտնտեսական ցուցանիշների կանխատեսվածից շեղման ռիսկերի ազդեցության ընդհանուր գնահատականը և դրանց մեղմման հնարավորությունները</w:t>
      </w:r>
    </w:p>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rsidR="00FE673E" w:rsidRPr="007955BB" w:rsidRDefault="00FE673E" w:rsidP="00FE673E">
      <w:pPr>
        <w:pStyle w:val="Caption"/>
        <w:spacing w:after="120" w:line="240" w:lineRule="auto"/>
        <w:contextualSpacing w:val="0"/>
        <w:rPr>
          <w:b/>
        </w:rPr>
      </w:pPr>
      <w:bookmarkStart w:id="143" w:name="_Toc83928957"/>
      <w:bookmarkStart w:id="144" w:name="_Toc120805278"/>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19</w:t>
      </w:r>
      <w:r w:rsidRPr="007955BB">
        <w:fldChar w:fldCharType="end"/>
      </w:r>
      <w:r w:rsidRPr="007955BB">
        <w:rPr>
          <w:lang w:val="hy-AM"/>
        </w:rPr>
        <w:t xml:space="preserve">. </w:t>
      </w:r>
      <w:r w:rsidRPr="007955BB">
        <w:rPr>
          <w:sz w:val="20"/>
          <w:szCs w:val="20"/>
          <w:lang w:val="hy-AM"/>
        </w:rPr>
        <w:t>ՀՀ պետական բյուջեի հարկային եկամուտների և ծախսերի, ինչպես նաև այլ հոսքերի գծով ռիսկերի ընդհանուր ազդեցությունը</w:t>
      </w:r>
      <w:r w:rsidRPr="007955BB">
        <w:rPr>
          <w:sz w:val="20"/>
          <w:szCs w:val="20"/>
          <w:vertAlign w:val="superscript"/>
        </w:rPr>
        <w:footnoteReference w:id="20"/>
      </w:r>
      <w:r w:rsidRPr="007955BB">
        <w:rPr>
          <w:sz w:val="20"/>
          <w:szCs w:val="20"/>
          <w:lang w:val="hy-AM"/>
        </w:rPr>
        <w:t xml:space="preserve">. </w:t>
      </w:r>
      <w:r w:rsidRPr="007955BB">
        <w:rPr>
          <w:sz w:val="20"/>
          <w:szCs w:val="20"/>
        </w:rPr>
        <w:t>(ֆինանսավորման պահանջ` - պահանջի մեծացում, + պահանջի նվազում), մլրդ ՀՀ դրամ</w:t>
      </w:r>
      <w:bookmarkEnd w:id="143"/>
      <w:bookmarkEnd w:id="144"/>
      <w:r w:rsidRPr="007955BB">
        <w:t xml:space="preserve"> </w:t>
      </w:r>
    </w:p>
    <w:tbl>
      <w:tblPr>
        <w:tblW w:w="80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2740"/>
      </w:tblGrid>
      <w:tr w:rsidR="00FE673E" w:rsidRPr="007955BB" w:rsidTr="00B70D89">
        <w:trPr>
          <w:trHeight w:val="705"/>
        </w:trPr>
        <w:tc>
          <w:tcPr>
            <w:tcW w:w="5260" w:type="dxa"/>
            <w:vMerge w:val="restart"/>
            <w:shd w:val="clear" w:color="000000" w:fill="95B3D7"/>
            <w:vAlign w:val="center"/>
            <w:hideMark/>
          </w:tcPr>
          <w:p w:rsidR="00FE673E" w:rsidRPr="007955BB" w:rsidRDefault="00FE673E" w:rsidP="00B70D89">
            <w:pPr>
              <w:spacing w:before="0" w:line="240" w:lineRule="auto"/>
              <w:ind w:firstLine="0"/>
              <w:contextualSpacing w:val="0"/>
              <w:jc w:val="center"/>
              <w:rPr>
                <w:bCs/>
                <w:color w:val="FFFFFF"/>
                <w:szCs w:val="22"/>
                <w:lang w:val="en-US" w:eastAsia="en-US"/>
              </w:rPr>
            </w:pPr>
            <w:r w:rsidRPr="007955BB">
              <w:rPr>
                <w:bCs/>
                <w:color w:val="FFFFFF"/>
                <w:szCs w:val="22"/>
                <w:lang w:val="en-US" w:eastAsia="en-US"/>
              </w:rPr>
              <w:t>Մակրոտնտեսական ցուցանիշների կանխատեսվող ռիսկեր</w:t>
            </w:r>
          </w:p>
        </w:tc>
        <w:tc>
          <w:tcPr>
            <w:tcW w:w="2740" w:type="dxa"/>
            <w:vMerge w:val="restart"/>
            <w:shd w:val="clear" w:color="000000" w:fill="95B3D7"/>
            <w:vAlign w:val="center"/>
            <w:hideMark/>
          </w:tcPr>
          <w:p w:rsidR="00FE673E" w:rsidRPr="007955BB" w:rsidRDefault="00FE673E" w:rsidP="00B70D89">
            <w:pPr>
              <w:spacing w:before="0" w:line="240" w:lineRule="auto"/>
              <w:ind w:firstLine="0"/>
              <w:contextualSpacing w:val="0"/>
              <w:jc w:val="center"/>
              <w:rPr>
                <w:bCs/>
                <w:color w:val="FFFFFF"/>
                <w:szCs w:val="22"/>
                <w:lang w:val="en-US" w:eastAsia="en-US"/>
              </w:rPr>
            </w:pPr>
            <w:r w:rsidRPr="007955BB">
              <w:rPr>
                <w:bCs/>
                <w:color w:val="FFFFFF"/>
                <w:szCs w:val="22"/>
                <w:lang w:val="en-US" w:eastAsia="en-US"/>
              </w:rPr>
              <w:t>2023</w:t>
            </w:r>
          </w:p>
        </w:tc>
      </w:tr>
      <w:tr w:rsidR="00FE673E" w:rsidRPr="007955BB" w:rsidTr="00B70D89">
        <w:trPr>
          <w:trHeight w:val="302"/>
        </w:trPr>
        <w:tc>
          <w:tcPr>
            <w:tcW w:w="5260" w:type="dxa"/>
            <w:vMerge/>
            <w:vAlign w:val="center"/>
            <w:hideMark/>
          </w:tcPr>
          <w:p w:rsidR="00FE673E" w:rsidRPr="007955BB" w:rsidRDefault="00FE673E" w:rsidP="00B70D89">
            <w:pPr>
              <w:spacing w:before="0" w:line="240" w:lineRule="auto"/>
              <w:ind w:firstLine="0"/>
              <w:contextualSpacing w:val="0"/>
              <w:jc w:val="left"/>
              <w:rPr>
                <w:bCs/>
                <w:color w:val="FFFFFF"/>
                <w:szCs w:val="22"/>
                <w:lang w:val="en-US" w:eastAsia="en-US"/>
              </w:rPr>
            </w:pPr>
          </w:p>
        </w:tc>
        <w:tc>
          <w:tcPr>
            <w:tcW w:w="2740" w:type="dxa"/>
            <w:vMerge/>
            <w:vAlign w:val="center"/>
            <w:hideMark/>
          </w:tcPr>
          <w:p w:rsidR="00FE673E" w:rsidRPr="007955BB" w:rsidRDefault="00FE673E" w:rsidP="00B70D89">
            <w:pPr>
              <w:spacing w:before="0" w:line="240" w:lineRule="auto"/>
              <w:ind w:firstLine="0"/>
              <w:contextualSpacing w:val="0"/>
              <w:jc w:val="left"/>
              <w:rPr>
                <w:bCs/>
                <w:color w:val="FFFFFF"/>
                <w:szCs w:val="22"/>
                <w:lang w:val="en-US" w:eastAsia="en-US"/>
              </w:rPr>
            </w:pPr>
          </w:p>
        </w:tc>
      </w:tr>
      <w:tr w:rsidR="00FE673E" w:rsidRPr="007955BB" w:rsidTr="00B70D89">
        <w:trPr>
          <w:trHeight w:val="66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 w:val="0"/>
                <w:color w:val="000000"/>
                <w:szCs w:val="22"/>
                <w:lang w:eastAsia="en-US"/>
              </w:rPr>
            </w:pPr>
            <w:r w:rsidRPr="007955BB">
              <w:rPr>
                <w:b w:val="0"/>
                <w:color w:val="000000"/>
                <w:szCs w:val="22"/>
                <w:lang w:eastAsia="en-US"/>
              </w:rPr>
              <w:t xml:space="preserve">1. </w:t>
            </w:r>
            <w:r w:rsidRPr="007955BB">
              <w:rPr>
                <w:b w:val="0"/>
                <w:color w:val="000000"/>
                <w:szCs w:val="22"/>
                <w:lang w:val="en-US" w:eastAsia="en-US"/>
              </w:rPr>
              <w:t>Կանխատեսվածից</w:t>
            </w:r>
            <w:r w:rsidRPr="007955BB">
              <w:rPr>
                <w:b w:val="0"/>
                <w:color w:val="000000"/>
                <w:szCs w:val="22"/>
                <w:lang w:eastAsia="en-US"/>
              </w:rPr>
              <w:t xml:space="preserve"> 3.0 </w:t>
            </w:r>
            <w:r w:rsidRPr="007955BB">
              <w:rPr>
                <w:b w:val="0"/>
                <w:color w:val="000000"/>
                <w:szCs w:val="22"/>
                <w:lang w:val="en-US" w:eastAsia="en-US"/>
              </w:rPr>
              <w:t>տոկոսային</w:t>
            </w:r>
            <w:r w:rsidRPr="007955BB">
              <w:rPr>
                <w:b w:val="0"/>
                <w:color w:val="000000"/>
                <w:szCs w:val="22"/>
                <w:lang w:eastAsia="en-US"/>
              </w:rPr>
              <w:t xml:space="preserve"> </w:t>
            </w:r>
            <w:r w:rsidRPr="007955BB">
              <w:rPr>
                <w:b w:val="0"/>
                <w:color w:val="000000"/>
                <w:szCs w:val="22"/>
                <w:lang w:val="en-US" w:eastAsia="en-US"/>
              </w:rPr>
              <w:t>կետով</w:t>
            </w:r>
            <w:r w:rsidRPr="007955BB">
              <w:rPr>
                <w:b w:val="0"/>
                <w:color w:val="000000"/>
                <w:szCs w:val="22"/>
                <w:lang w:eastAsia="en-US"/>
              </w:rPr>
              <w:t xml:space="preserve"> </w:t>
            </w:r>
            <w:r w:rsidRPr="007955BB">
              <w:rPr>
                <w:b w:val="0"/>
                <w:color w:val="000000"/>
                <w:szCs w:val="22"/>
                <w:lang w:val="en-US" w:eastAsia="en-US"/>
              </w:rPr>
              <w:t>ավելի</w:t>
            </w:r>
            <w:r w:rsidRPr="007955BB">
              <w:rPr>
                <w:b w:val="0"/>
                <w:color w:val="000000"/>
                <w:szCs w:val="22"/>
                <w:lang w:eastAsia="en-US"/>
              </w:rPr>
              <w:t xml:space="preserve"> </w:t>
            </w:r>
            <w:r w:rsidRPr="007955BB">
              <w:rPr>
                <w:b w:val="0"/>
                <w:color w:val="000000"/>
                <w:szCs w:val="22"/>
                <w:lang w:val="en-US" w:eastAsia="en-US"/>
              </w:rPr>
              <w:t>ցածր</w:t>
            </w:r>
            <w:r w:rsidRPr="007955BB">
              <w:rPr>
                <w:b w:val="0"/>
                <w:color w:val="000000"/>
                <w:szCs w:val="22"/>
                <w:lang w:eastAsia="en-US"/>
              </w:rPr>
              <w:t xml:space="preserve"> </w:t>
            </w:r>
            <w:r w:rsidRPr="007955BB">
              <w:rPr>
                <w:b w:val="0"/>
                <w:color w:val="000000"/>
                <w:szCs w:val="22"/>
                <w:lang w:val="en-US" w:eastAsia="en-US"/>
              </w:rPr>
              <w:t>իրական</w:t>
            </w:r>
            <w:r w:rsidRPr="007955BB">
              <w:rPr>
                <w:b w:val="0"/>
                <w:color w:val="000000"/>
                <w:szCs w:val="22"/>
                <w:lang w:eastAsia="en-US"/>
              </w:rPr>
              <w:t xml:space="preserve"> </w:t>
            </w:r>
            <w:r w:rsidRPr="007955BB">
              <w:rPr>
                <w:b w:val="0"/>
                <w:color w:val="000000"/>
                <w:szCs w:val="22"/>
                <w:lang w:val="en-US" w:eastAsia="en-US"/>
              </w:rPr>
              <w:t>ՀՆԱ</w:t>
            </w:r>
            <w:r w:rsidRPr="007955BB">
              <w:rPr>
                <w:b w:val="0"/>
                <w:color w:val="000000"/>
                <w:szCs w:val="22"/>
                <w:lang w:eastAsia="en-US"/>
              </w:rPr>
              <w:t>-</w:t>
            </w:r>
            <w:r w:rsidRPr="007955BB">
              <w:rPr>
                <w:b w:val="0"/>
                <w:color w:val="000000"/>
                <w:szCs w:val="22"/>
                <w:lang w:val="en-US" w:eastAsia="en-US"/>
              </w:rPr>
              <w:t>ի</w:t>
            </w:r>
            <w:r w:rsidRPr="007955BB">
              <w:rPr>
                <w:b w:val="0"/>
                <w:color w:val="000000"/>
                <w:szCs w:val="22"/>
                <w:lang w:eastAsia="en-US"/>
              </w:rPr>
              <w:t xml:space="preserve"> </w:t>
            </w:r>
            <w:r w:rsidRPr="007955BB">
              <w:rPr>
                <w:b w:val="0"/>
                <w:color w:val="000000"/>
                <w:szCs w:val="22"/>
                <w:lang w:val="en-US" w:eastAsia="en-US"/>
              </w:rPr>
              <w:t>աճ</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-24.7</w:t>
            </w:r>
          </w:p>
        </w:tc>
      </w:tr>
      <w:tr w:rsidR="00FE673E" w:rsidRPr="007955BB" w:rsidTr="00B70D89">
        <w:trPr>
          <w:trHeight w:val="66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 w:val="0"/>
                <w:color w:val="000000"/>
                <w:szCs w:val="22"/>
                <w:lang w:eastAsia="en-US"/>
              </w:rPr>
            </w:pPr>
            <w:r w:rsidRPr="007955BB">
              <w:rPr>
                <w:b w:val="0"/>
                <w:color w:val="000000"/>
                <w:szCs w:val="22"/>
                <w:lang w:eastAsia="en-US"/>
              </w:rPr>
              <w:t xml:space="preserve">2. 2.0 </w:t>
            </w:r>
            <w:r w:rsidRPr="007955BB">
              <w:rPr>
                <w:b w:val="0"/>
                <w:color w:val="000000"/>
                <w:szCs w:val="22"/>
                <w:lang w:val="en-US" w:eastAsia="en-US"/>
              </w:rPr>
              <w:t>տոկոսային</w:t>
            </w:r>
            <w:r w:rsidRPr="007955BB">
              <w:rPr>
                <w:b w:val="0"/>
                <w:color w:val="000000"/>
                <w:szCs w:val="22"/>
                <w:lang w:eastAsia="en-US"/>
              </w:rPr>
              <w:t xml:space="preserve"> </w:t>
            </w:r>
            <w:r w:rsidRPr="007955BB">
              <w:rPr>
                <w:b w:val="0"/>
                <w:color w:val="000000"/>
                <w:szCs w:val="22"/>
                <w:lang w:val="en-US" w:eastAsia="en-US"/>
              </w:rPr>
              <w:t>կետով</w:t>
            </w:r>
            <w:r w:rsidRPr="007955BB">
              <w:rPr>
                <w:b w:val="0"/>
                <w:color w:val="000000"/>
                <w:szCs w:val="22"/>
                <w:lang w:eastAsia="en-US"/>
              </w:rPr>
              <w:t xml:space="preserve"> </w:t>
            </w:r>
            <w:r w:rsidRPr="007955BB">
              <w:rPr>
                <w:b w:val="0"/>
                <w:color w:val="000000"/>
                <w:szCs w:val="22"/>
                <w:lang w:val="en-US" w:eastAsia="en-US"/>
              </w:rPr>
              <w:t>ավելի</w:t>
            </w:r>
            <w:r w:rsidRPr="007955BB">
              <w:rPr>
                <w:b w:val="0"/>
                <w:color w:val="000000"/>
                <w:szCs w:val="22"/>
                <w:lang w:eastAsia="en-US"/>
              </w:rPr>
              <w:t xml:space="preserve"> </w:t>
            </w:r>
            <w:r w:rsidRPr="007955BB">
              <w:rPr>
                <w:b w:val="0"/>
                <w:color w:val="000000"/>
                <w:szCs w:val="22"/>
                <w:lang w:val="en-US" w:eastAsia="en-US"/>
              </w:rPr>
              <w:t>բարձր</w:t>
            </w:r>
            <w:r w:rsidRPr="007955BB">
              <w:rPr>
                <w:b w:val="0"/>
                <w:color w:val="000000"/>
                <w:szCs w:val="22"/>
                <w:lang w:eastAsia="en-US"/>
              </w:rPr>
              <w:t xml:space="preserve"> </w:t>
            </w:r>
            <w:r w:rsidRPr="007955BB">
              <w:rPr>
                <w:b w:val="0"/>
                <w:color w:val="000000"/>
                <w:szCs w:val="22"/>
                <w:lang w:val="en-US" w:eastAsia="en-US"/>
              </w:rPr>
              <w:t>գնաճի</w:t>
            </w:r>
            <w:r w:rsidRPr="007955BB">
              <w:rPr>
                <w:b w:val="0"/>
                <w:color w:val="000000"/>
                <w:szCs w:val="22"/>
                <w:lang w:eastAsia="en-US"/>
              </w:rPr>
              <w:t xml:space="preserve"> </w:t>
            </w:r>
            <w:r w:rsidRPr="007955BB">
              <w:rPr>
                <w:b w:val="0"/>
                <w:color w:val="000000"/>
                <w:szCs w:val="22"/>
                <w:lang w:val="en-US" w:eastAsia="en-US"/>
              </w:rPr>
              <w:t>ռիսկ</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-9.4</w:t>
            </w:r>
          </w:p>
        </w:tc>
      </w:tr>
      <w:tr w:rsidR="00FE673E" w:rsidRPr="007955BB" w:rsidTr="00B70D89">
        <w:trPr>
          <w:trHeight w:val="66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 w:val="0"/>
                <w:color w:val="000000"/>
                <w:szCs w:val="22"/>
                <w:lang w:eastAsia="en-US"/>
              </w:rPr>
            </w:pPr>
            <w:r w:rsidRPr="007955BB">
              <w:rPr>
                <w:b w:val="0"/>
                <w:color w:val="000000"/>
                <w:szCs w:val="22"/>
                <w:lang w:eastAsia="en-US"/>
              </w:rPr>
              <w:t xml:space="preserve">3. </w:t>
            </w:r>
            <w:r w:rsidRPr="007955BB">
              <w:rPr>
                <w:b w:val="0"/>
                <w:color w:val="000000"/>
                <w:szCs w:val="22"/>
                <w:lang w:val="en-US" w:eastAsia="en-US"/>
              </w:rPr>
              <w:t>Փոխարժեքի</w:t>
            </w:r>
            <w:r w:rsidRPr="007955BB">
              <w:rPr>
                <w:b w:val="0"/>
                <w:color w:val="000000"/>
                <w:szCs w:val="22"/>
                <w:lang w:eastAsia="en-US"/>
              </w:rPr>
              <w:t xml:space="preserve"> </w:t>
            </w:r>
            <w:r w:rsidRPr="007955BB">
              <w:rPr>
                <w:b w:val="0"/>
                <w:color w:val="000000"/>
                <w:szCs w:val="22"/>
                <w:lang w:val="en-US" w:eastAsia="en-US"/>
              </w:rPr>
              <w:t>առավելագույնը</w:t>
            </w:r>
            <w:r w:rsidRPr="007955BB">
              <w:rPr>
                <w:b w:val="0"/>
                <w:color w:val="000000"/>
                <w:szCs w:val="22"/>
                <w:lang w:eastAsia="en-US"/>
              </w:rPr>
              <w:t xml:space="preserve"> 5.8 </w:t>
            </w:r>
            <w:r w:rsidRPr="007955BB">
              <w:rPr>
                <w:b w:val="0"/>
                <w:color w:val="000000"/>
                <w:szCs w:val="22"/>
                <w:lang w:val="en-US" w:eastAsia="en-US"/>
              </w:rPr>
              <w:t>տոկոսով</w:t>
            </w:r>
            <w:r w:rsidRPr="007955BB">
              <w:rPr>
                <w:b w:val="0"/>
                <w:color w:val="000000"/>
                <w:szCs w:val="22"/>
                <w:lang w:eastAsia="en-US"/>
              </w:rPr>
              <w:t xml:space="preserve"> </w:t>
            </w:r>
            <w:r w:rsidRPr="007955BB">
              <w:rPr>
                <w:b w:val="0"/>
                <w:color w:val="000000"/>
                <w:szCs w:val="22"/>
                <w:lang w:val="en-US" w:eastAsia="en-US"/>
              </w:rPr>
              <w:t>արժեզրկման</w:t>
            </w:r>
            <w:r w:rsidRPr="007955BB">
              <w:rPr>
                <w:b w:val="0"/>
                <w:color w:val="000000"/>
                <w:szCs w:val="22"/>
                <w:lang w:eastAsia="en-US"/>
              </w:rPr>
              <w:t xml:space="preserve"> </w:t>
            </w:r>
            <w:r w:rsidRPr="007955BB">
              <w:rPr>
                <w:b w:val="0"/>
                <w:color w:val="000000"/>
                <w:szCs w:val="22"/>
                <w:lang w:val="en-US" w:eastAsia="en-US"/>
              </w:rPr>
              <w:t>ռիսկ</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14.9</w:t>
            </w:r>
          </w:p>
        </w:tc>
      </w:tr>
      <w:tr w:rsidR="00FE673E" w:rsidRPr="007955BB" w:rsidTr="00B70D89">
        <w:trPr>
          <w:trHeight w:val="33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 w:val="0"/>
                <w:color w:val="000000"/>
                <w:szCs w:val="22"/>
                <w:lang w:val="en-US" w:eastAsia="en-US"/>
              </w:rPr>
            </w:pPr>
            <w:r w:rsidRPr="007955BB">
              <w:rPr>
                <w:b w:val="0"/>
                <w:color w:val="000000"/>
                <w:szCs w:val="22"/>
                <w:lang w:val="en-US" w:eastAsia="en-US"/>
              </w:rPr>
              <w:t>4. Ներմուծման 10.2 տոկոսով նվազման ռիսկ</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 w:val="0"/>
                <w:color w:val="000000"/>
                <w:szCs w:val="22"/>
                <w:lang w:val="en-US" w:eastAsia="en-US"/>
              </w:rPr>
            </w:pPr>
            <w:r w:rsidRPr="007955BB">
              <w:rPr>
                <w:b w:val="0"/>
                <w:color w:val="000000"/>
                <w:szCs w:val="22"/>
                <w:lang w:val="en-US" w:eastAsia="en-US"/>
              </w:rPr>
              <w:t>-21.3</w:t>
            </w:r>
          </w:p>
        </w:tc>
      </w:tr>
      <w:tr w:rsidR="00FE673E" w:rsidRPr="007955BB" w:rsidTr="00B70D89">
        <w:trPr>
          <w:trHeight w:val="330"/>
        </w:trPr>
        <w:tc>
          <w:tcPr>
            <w:tcW w:w="5260" w:type="dxa"/>
            <w:shd w:val="clear" w:color="auto" w:fill="auto"/>
            <w:vAlign w:val="center"/>
            <w:hideMark/>
          </w:tcPr>
          <w:p w:rsidR="00FE673E" w:rsidRPr="007955BB" w:rsidRDefault="00FE673E" w:rsidP="00B70D89">
            <w:pPr>
              <w:spacing w:before="0" w:line="240" w:lineRule="auto"/>
              <w:ind w:firstLine="0"/>
              <w:contextualSpacing w:val="0"/>
              <w:jc w:val="left"/>
              <w:rPr>
                <w:bCs/>
                <w:color w:val="000000"/>
                <w:szCs w:val="22"/>
                <w:lang w:val="en-US" w:eastAsia="en-US"/>
              </w:rPr>
            </w:pPr>
            <w:r w:rsidRPr="007955BB">
              <w:rPr>
                <w:bCs/>
                <w:color w:val="000000"/>
                <w:szCs w:val="22"/>
                <w:lang w:val="en-US" w:eastAsia="en-US"/>
              </w:rPr>
              <w:t>Ընդամենը</w:t>
            </w:r>
          </w:p>
        </w:tc>
        <w:tc>
          <w:tcPr>
            <w:tcW w:w="2740" w:type="dxa"/>
            <w:shd w:val="clear" w:color="auto" w:fill="auto"/>
            <w:vAlign w:val="center"/>
            <w:hideMark/>
          </w:tcPr>
          <w:p w:rsidR="00FE673E" w:rsidRPr="007955BB" w:rsidRDefault="00FE673E" w:rsidP="00B70D89">
            <w:pPr>
              <w:spacing w:before="0" w:line="240" w:lineRule="auto"/>
              <w:ind w:firstLine="0"/>
              <w:contextualSpacing w:val="0"/>
              <w:jc w:val="center"/>
              <w:rPr>
                <w:bCs/>
                <w:color w:val="000000"/>
                <w:szCs w:val="22"/>
                <w:lang w:val="en-US" w:eastAsia="en-US"/>
              </w:rPr>
            </w:pPr>
            <w:r w:rsidRPr="007955BB">
              <w:rPr>
                <w:bCs/>
                <w:color w:val="000000"/>
                <w:szCs w:val="22"/>
                <w:lang w:val="en-US" w:eastAsia="en-US"/>
              </w:rPr>
              <w:t>-40.5</w:t>
            </w:r>
          </w:p>
        </w:tc>
      </w:tr>
    </w:tbl>
    <w:p w:rsidR="00FE673E" w:rsidRPr="007955BB" w:rsidRDefault="00FE673E" w:rsidP="00FE673E">
      <w:pPr>
        <w:spacing w:after="120" w:line="276" w:lineRule="auto"/>
        <w:ind w:firstLine="720"/>
        <w:contextualSpacing w:val="0"/>
        <w:rPr>
          <w:rFonts w:cs="Sylfaen"/>
          <w:b w:val="0"/>
          <w:lang w:val="hy-AM"/>
        </w:rPr>
      </w:pPr>
      <w:r w:rsidRPr="007955BB">
        <w:rPr>
          <w:rFonts w:cs="Sylfaen"/>
          <w:b w:val="0"/>
          <w:lang w:val="hy-AM"/>
        </w:rPr>
        <w:t>Աղյուսակ 2</w:t>
      </w:r>
      <w:r w:rsidRPr="00625305">
        <w:rPr>
          <w:rFonts w:cs="Sylfaen"/>
          <w:b w:val="0"/>
        </w:rPr>
        <w:t>1</w:t>
      </w:r>
      <w:r w:rsidRPr="007955BB">
        <w:rPr>
          <w:rFonts w:cs="Sylfaen"/>
          <w:b w:val="0"/>
          <w:lang w:val="hy-AM"/>
        </w:rPr>
        <w:t xml:space="preserve">-ում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w:t>
      </w:r>
      <w:r w:rsidRPr="007955BB">
        <w:rPr>
          <w:rFonts w:cs="Sylfaen"/>
          <w:b w:val="0"/>
          <w:lang w:val="hy-AM"/>
        </w:rPr>
        <w:lastRenderedPageBreak/>
        <w:t xml:space="preserve">համապատասխանաբար կփոփոխվեն նաև պետական բյուջեի ծախսերը` ավելացման ուղղությամբ: </w:t>
      </w:r>
    </w:p>
    <w:p w:rsidR="00FE673E" w:rsidRPr="007955BB" w:rsidRDefault="00FE673E" w:rsidP="00FE673E">
      <w:pPr>
        <w:spacing w:after="120" w:line="276" w:lineRule="auto"/>
        <w:ind w:firstLine="720"/>
        <w:contextualSpacing w:val="0"/>
        <w:rPr>
          <w:b w:val="0"/>
          <w:lang w:val="hy-AM"/>
        </w:rPr>
      </w:pPr>
      <w:r w:rsidRPr="007955BB">
        <w:rPr>
          <w:rFonts w:cs="Sylfaen"/>
          <w:b w:val="0"/>
          <w:lang w:val="hy-AM"/>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2023 թվականին ՀՀ պետական բյուջեի դեֆիցիտի լրացուցիչ ֆինանսավորման պահանջը կկազմի շուրջ 40.5 մլրդ ՀՀ դրամ կամ ՀՆԱ-ի 0.4%-ը: </w:t>
      </w:r>
    </w:p>
    <w:p w:rsidR="00FE673E" w:rsidRPr="007955BB" w:rsidRDefault="00FE673E" w:rsidP="00FE673E">
      <w:pPr>
        <w:spacing w:before="0" w:line="240" w:lineRule="auto"/>
        <w:ind w:firstLine="0"/>
        <w:contextualSpacing w:val="0"/>
        <w:jc w:val="left"/>
        <w:rPr>
          <w:rFonts w:eastAsia="Calibri"/>
          <w:b w:val="0"/>
          <w:szCs w:val="22"/>
          <w:lang w:val="hy-AM" w:eastAsia="en-US"/>
        </w:rPr>
      </w:pPr>
      <w:r w:rsidRPr="007955BB">
        <w:rPr>
          <w:rFonts w:eastAsia="Calibri"/>
          <w:b w:val="0"/>
          <w:szCs w:val="22"/>
          <w:lang w:val="hy-AM" w:eastAsia="en-US"/>
        </w:rPr>
        <w:br w:type="page"/>
      </w:r>
    </w:p>
    <w:p w:rsidR="00BE2F9F" w:rsidRPr="007955BB" w:rsidRDefault="00BE2F9F" w:rsidP="00BE2F9F">
      <w:pPr>
        <w:keepNext/>
        <w:keepLines/>
        <w:spacing w:before="0" w:line="312" w:lineRule="auto"/>
        <w:ind w:firstLine="0"/>
        <w:jc w:val="left"/>
        <w:outlineLvl w:val="2"/>
        <w:rPr>
          <w:szCs w:val="22"/>
          <w:lang w:val="hy-AM" w:eastAsia="en-US"/>
        </w:rPr>
      </w:pPr>
      <w:bookmarkStart w:id="145" w:name="_Toc120805255"/>
      <w:bookmarkStart w:id="146" w:name="_Toc165901417"/>
      <w:r w:rsidRPr="007955BB">
        <w:rPr>
          <w:szCs w:val="22"/>
          <w:lang w:val="hy-AM" w:eastAsia="en-US"/>
        </w:rPr>
        <w:lastRenderedPageBreak/>
        <w:t>3. ԱՅԼ ԿԱՌՈՒՅՑՆԵՐԻ ԿՈՂՄԻՑ ՀՀ ՏՆՏԵՍԱԿԱՆ ԱՃԻ ԿԱՆԽԱՏԵՍՈՒՄՆԵՐԻ ՀԵՏ ՀԱՄԵՄԱՏԱԿԱՆ</w:t>
      </w:r>
      <w:bookmarkEnd w:id="133"/>
      <w:bookmarkEnd w:id="134"/>
      <w:bookmarkEnd w:id="145"/>
      <w:bookmarkEnd w:id="146"/>
    </w:p>
    <w:p w:rsidR="007D69AE" w:rsidRPr="007955BB" w:rsidRDefault="007D69AE" w:rsidP="007D69AE">
      <w:pPr>
        <w:spacing w:before="40" w:after="60" w:line="276" w:lineRule="auto"/>
        <w:ind w:firstLine="360"/>
        <w:rPr>
          <w:rFonts w:cs="Sylfaen"/>
          <w:b w:val="0"/>
          <w:bCs/>
          <w:szCs w:val="22"/>
          <w:lang w:val="hy-AM"/>
        </w:rPr>
      </w:pPr>
      <w:r w:rsidRPr="007955BB">
        <w:rPr>
          <w:rFonts w:cs="Sylfaen"/>
          <w:bCs/>
          <w:szCs w:val="22"/>
          <w:u w:val="single"/>
          <w:lang w:val="hy-AM"/>
        </w:rPr>
        <w:t>Կանխատեսումներ։</w:t>
      </w:r>
      <w:r w:rsidRPr="007955BB">
        <w:rPr>
          <w:rFonts w:cs="Sylfaen"/>
          <w:bCs/>
          <w:szCs w:val="22"/>
          <w:lang w:val="hy-AM"/>
        </w:rPr>
        <w:t xml:space="preserve"> </w:t>
      </w:r>
      <w:r w:rsidRPr="007955BB">
        <w:rPr>
          <w:rFonts w:cs="Sylfaen"/>
          <w:b w:val="0"/>
          <w:bCs/>
          <w:szCs w:val="22"/>
          <w:lang w:val="hy-AM"/>
        </w:rPr>
        <w:t>Աղյուսակ 2</w:t>
      </w:r>
      <w:r w:rsidRPr="009228F2">
        <w:rPr>
          <w:rFonts w:cs="Sylfaen"/>
          <w:b w:val="0"/>
          <w:bCs/>
          <w:szCs w:val="22"/>
          <w:lang w:val="hy-AM"/>
        </w:rPr>
        <w:t>2</w:t>
      </w:r>
      <w:r w:rsidRPr="007955BB">
        <w:rPr>
          <w:rFonts w:cs="Sylfaen"/>
          <w:b w:val="0"/>
          <w:bCs/>
          <w:szCs w:val="22"/>
          <w:lang w:val="hy-AM"/>
        </w:rPr>
        <w:t xml:space="preserve">-ում ներկայացված է ՀՀ </w:t>
      </w:r>
      <w:r>
        <w:rPr>
          <w:rFonts w:cs="Sylfaen"/>
          <w:b w:val="0"/>
          <w:bCs/>
          <w:szCs w:val="22"/>
          <w:lang w:val="hy-AM"/>
        </w:rPr>
        <w:t>ՖՆ</w:t>
      </w:r>
      <w:r w:rsidRPr="007955BB">
        <w:rPr>
          <w:rFonts w:cs="Sylfaen"/>
          <w:b w:val="0"/>
          <w:bCs/>
          <w:szCs w:val="22"/>
          <w:lang w:val="hy-AM"/>
        </w:rPr>
        <w:t xml:space="preserve"> և այլ կառույցների կողմից ՀՀ տնտեսական աճի 2022-2023թթ. կանխատեսումների համեմատականը: Նշված կառույցներից մի մասի կողմից 2022թ. ՀՀ տնտեսական աճի կանխատեսումները տարվա ընթացքում վերանայվել են աճի ուղղությամբ: Այսպես` Ֆիթչ վարկանիշային կազմակերպությունը 2022թ. ՀՆԱ կանխատեսվող ցուցանիշը սեպտեմբեր ամսին բարձրացրել է 5.1 տոկոսային կետով՝ կանխատեսելով 6</w:t>
      </w:r>
      <w:r w:rsidRPr="007955BB">
        <w:rPr>
          <w:rFonts w:ascii="Cambria Math" w:hAnsi="Cambria Math" w:cs="Cambria Math"/>
          <w:b w:val="0"/>
          <w:bCs/>
          <w:szCs w:val="22"/>
          <w:lang w:val="hy-AM"/>
        </w:rPr>
        <w:t>․</w:t>
      </w:r>
      <w:r w:rsidRPr="007955BB">
        <w:rPr>
          <w:rFonts w:cs="Sylfaen"/>
          <w:b w:val="0"/>
          <w:bCs/>
          <w:szCs w:val="22"/>
          <w:lang w:val="hy-AM"/>
        </w:rPr>
        <w:t xml:space="preserve">4% տնտեսական աճ: </w:t>
      </w:r>
      <w:r>
        <w:rPr>
          <w:rFonts w:cs="Sylfaen"/>
          <w:b w:val="0"/>
          <w:bCs/>
          <w:szCs w:val="22"/>
          <w:lang w:val="hy-AM"/>
        </w:rPr>
        <w:t>ԱՄՀ-</w:t>
      </w:r>
      <w:r w:rsidRPr="007955BB">
        <w:rPr>
          <w:rFonts w:cs="Sylfaen"/>
          <w:b w:val="0"/>
          <w:bCs/>
          <w:szCs w:val="22"/>
          <w:lang w:val="hy-AM"/>
        </w:rPr>
        <w:t>ը հունիսին ևս բարձրացրել է տնտեսական աճի կանխատեսումը 3.5 տոկոսային կետով՝ սահմանելով 5.0%: Սակայն Համաշխարհային բանկը հունիսին վերանայել է իր կանխատեսումները դեպի ներքև` կանխատեսելով 3</w:t>
      </w:r>
      <w:r w:rsidRPr="007955BB">
        <w:rPr>
          <w:rFonts w:ascii="Cambria Math" w:hAnsi="Cambria Math" w:cs="Cambria Math"/>
          <w:b w:val="0"/>
          <w:bCs/>
          <w:szCs w:val="22"/>
          <w:lang w:val="hy-AM"/>
        </w:rPr>
        <w:t>․</w:t>
      </w:r>
      <w:r w:rsidRPr="007955BB">
        <w:rPr>
          <w:rFonts w:cs="Sylfaen"/>
          <w:b w:val="0"/>
          <w:bCs/>
          <w:szCs w:val="22"/>
          <w:lang w:val="hy-AM"/>
        </w:rPr>
        <w:t xml:space="preserve">5% </w:t>
      </w:r>
      <w:r w:rsidRPr="007955BB">
        <w:rPr>
          <w:rFonts w:cs="GHEA Grapalat"/>
          <w:b w:val="0"/>
          <w:bCs/>
          <w:szCs w:val="22"/>
          <w:lang w:val="hy-AM"/>
        </w:rPr>
        <w:t>տնտեսական</w:t>
      </w:r>
      <w:r w:rsidRPr="007955BB">
        <w:rPr>
          <w:rFonts w:cs="Sylfaen"/>
          <w:b w:val="0"/>
          <w:bCs/>
          <w:szCs w:val="22"/>
          <w:lang w:val="hy-AM"/>
        </w:rPr>
        <w:t xml:space="preserve"> </w:t>
      </w:r>
      <w:r w:rsidRPr="007955BB">
        <w:rPr>
          <w:rFonts w:cs="GHEA Grapalat"/>
          <w:b w:val="0"/>
          <w:bCs/>
          <w:szCs w:val="22"/>
          <w:lang w:val="hy-AM"/>
        </w:rPr>
        <w:t>աճ</w:t>
      </w:r>
      <w:r w:rsidRPr="007955BB">
        <w:rPr>
          <w:rFonts w:cs="Sylfaen"/>
          <w:b w:val="0"/>
          <w:bCs/>
          <w:szCs w:val="22"/>
          <w:lang w:val="hy-AM"/>
        </w:rPr>
        <w:t>: 2022թ. ՀՀ տնտեսական աճի ավելի բարձր կանխատեսումները պայմանավորված են ՀՀ տնտեսության վերջին զարգացումներով:</w:t>
      </w:r>
    </w:p>
    <w:p w:rsidR="007D69AE" w:rsidRPr="007955BB" w:rsidRDefault="007D69AE" w:rsidP="007D69AE">
      <w:pPr>
        <w:pStyle w:val="Caption"/>
        <w:rPr>
          <w:rFonts w:cs="Sylfaen"/>
          <w:bCs w:val="0"/>
          <w:i/>
          <w:color w:val="auto"/>
          <w:sz w:val="20"/>
          <w:szCs w:val="20"/>
          <w:lang w:val="hy-AM"/>
        </w:rPr>
      </w:pPr>
      <w:bookmarkStart w:id="147" w:name="_Toc120805279"/>
      <w:r w:rsidRPr="007955BB">
        <w:rPr>
          <w:lang w:val="hy-AM"/>
        </w:rPr>
        <w:t xml:space="preserve">Աղյուսակ </w:t>
      </w:r>
      <w:r w:rsidRPr="007955BB">
        <w:fldChar w:fldCharType="begin"/>
      </w:r>
      <w:r w:rsidRPr="007955BB">
        <w:rPr>
          <w:lang w:val="hy-AM"/>
        </w:rPr>
        <w:instrText xml:space="preserve"> SEQ Աղյուսակ \* ARABIC </w:instrText>
      </w:r>
      <w:r w:rsidRPr="007955BB">
        <w:fldChar w:fldCharType="separate"/>
      </w:r>
      <w:r w:rsidR="00F77CAF">
        <w:rPr>
          <w:noProof/>
          <w:lang w:val="hy-AM"/>
        </w:rPr>
        <w:t>20</w:t>
      </w:r>
      <w:r w:rsidRPr="007955BB">
        <w:fldChar w:fldCharType="end"/>
      </w:r>
      <w:r w:rsidRPr="007955BB">
        <w:rPr>
          <w:lang w:val="hy-AM"/>
        </w:rPr>
        <w:t>.</w:t>
      </w:r>
      <w:r w:rsidRPr="007955BB">
        <w:rPr>
          <w:color w:val="auto"/>
          <w:sz w:val="20"/>
          <w:szCs w:val="20"/>
          <w:lang w:val="hy-AM"/>
        </w:rPr>
        <w:t xml:space="preserve"> </w:t>
      </w:r>
      <w:r w:rsidRPr="007955BB">
        <w:rPr>
          <w:rFonts w:eastAsia="Calibri"/>
          <w:i/>
          <w:sz w:val="20"/>
          <w:szCs w:val="20"/>
          <w:lang w:val="hy-AM" w:eastAsia="en-US"/>
        </w:rPr>
        <w:t>ՀՀ ՖՆ և այլ կառույցների կողմից ՀՀ տնտեսական աճի կանխատեսումները (%)</w:t>
      </w:r>
      <w:bookmarkEnd w:id="147"/>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1549"/>
        <w:gridCol w:w="1580"/>
      </w:tblGrid>
      <w:tr w:rsidR="007D69AE" w:rsidRPr="007955BB" w:rsidTr="00B70D89">
        <w:trPr>
          <w:trHeight w:val="206"/>
          <w:jc w:val="center"/>
        </w:trPr>
        <w:tc>
          <w:tcPr>
            <w:tcW w:w="6377" w:type="dxa"/>
            <w:tcBorders>
              <w:top w:val="single" w:sz="4" w:space="0" w:color="auto"/>
              <w:left w:val="single" w:sz="4" w:space="0" w:color="auto"/>
              <w:bottom w:val="single" w:sz="4" w:space="0" w:color="auto"/>
              <w:right w:val="single" w:sz="4" w:space="0" w:color="auto"/>
            </w:tcBorders>
            <w:shd w:val="clear" w:color="auto" w:fill="4F81BD"/>
            <w:noWrap/>
            <w:vAlign w:val="center"/>
          </w:tcPr>
          <w:p w:rsidR="007D69AE" w:rsidRPr="006648BF" w:rsidRDefault="007D69AE" w:rsidP="00B70D89">
            <w:pPr>
              <w:spacing w:before="40" w:after="60" w:line="276" w:lineRule="auto"/>
              <w:ind w:right="111" w:firstLine="0"/>
              <w:contextualSpacing w:val="0"/>
              <w:jc w:val="left"/>
              <w:rPr>
                <w:rFonts w:cs="Calibri"/>
                <w:color w:val="FFFFFF" w:themeColor="background1"/>
                <w:sz w:val="18"/>
                <w:szCs w:val="18"/>
                <w:lang w:val="it-IT" w:eastAsia="en-US"/>
              </w:rPr>
            </w:pPr>
          </w:p>
        </w:tc>
        <w:tc>
          <w:tcPr>
            <w:tcW w:w="1549"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D69AE" w:rsidRPr="006648BF" w:rsidRDefault="007D69AE" w:rsidP="00B70D89">
            <w:pPr>
              <w:spacing w:before="40" w:after="60" w:line="276" w:lineRule="auto"/>
              <w:ind w:right="111" w:firstLine="0"/>
              <w:contextualSpacing w:val="0"/>
              <w:jc w:val="center"/>
              <w:rPr>
                <w:rFonts w:cs="Calibri"/>
                <w:bCs/>
                <w:color w:val="FFFFFF" w:themeColor="background1"/>
                <w:sz w:val="18"/>
                <w:szCs w:val="18"/>
                <w:lang w:val="en-US" w:eastAsia="en-US"/>
              </w:rPr>
            </w:pPr>
            <w:r w:rsidRPr="006648BF">
              <w:rPr>
                <w:rFonts w:cs="Calibri"/>
                <w:bCs/>
                <w:color w:val="FFFFFF" w:themeColor="background1"/>
                <w:sz w:val="18"/>
                <w:szCs w:val="18"/>
                <w:lang w:val="hy-AM" w:eastAsia="en-US"/>
              </w:rPr>
              <w:t>202</w:t>
            </w:r>
            <w:r w:rsidRPr="006648BF">
              <w:rPr>
                <w:rFonts w:cs="Calibri"/>
                <w:bCs/>
                <w:color w:val="FFFFFF" w:themeColor="background1"/>
                <w:sz w:val="18"/>
                <w:szCs w:val="18"/>
                <w:lang w:val="en-US" w:eastAsia="en-US"/>
              </w:rPr>
              <w:t>2</w:t>
            </w:r>
          </w:p>
        </w:tc>
        <w:tc>
          <w:tcPr>
            <w:tcW w:w="1580"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7D69AE" w:rsidRPr="006648BF" w:rsidRDefault="007D69AE" w:rsidP="00B70D89">
            <w:pPr>
              <w:spacing w:before="40" w:after="60" w:line="276" w:lineRule="auto"/>
              <w:ind w:right="111" w:firstLine="0"/>
              <w:contextualSpacing w:val="0"/>
              <w:jc w:val="center"/>
              <w:rPr>
                <w:rFonts w:cs="Calibri"/>
                <w:bCs/>
                <w:color w:val="FFFFFF" w:themeColor="background1"/>
                <w:sz w:val="18"/>
                <w:szCs w:val="18"/>
                <w:lang w:val="en-US" w:eastAsia="en-US"/>
              </w:rPr>
            </w:pPr>
            <w:r w:rsidRPr="006648BF">
              <w:rPr>
                <w:rFonts w:cs="Calibri"/>
                <w:bCs/>
                <w:color w:val="FFFFFF" w:themeColor="background1"/>
                <w:sz w:val="18"/>
                <w:szCs w:val="18"/>
                <w:lang w:val="hy-AM" w:eastAsia="en-US"/>
              </w:rPr>
              <w:t>202</w:t>
            </w:r>
            <w:r w:rsidRPr="006648BF">
              <w:rPr>
                <w:rFonts w:cs="Calibri"/>
                <w:bCs/>
                <w:color w:val="FFFFFF" w:themeColor="background1"/>
                <w:sz w:val="18"/>
                <w:szCs w:val="18"/>
                <w:lang w:val="en-US" w:eastAsia="en-US"/>
              </w:rPr>
              <w:t>3</w:t>
            </w:r>
          </w:p>
        </w:tc>
      </w:tr>
      <w:tr w:rsidR="007D69AE" w:rsidRPr="007955BB" w:rsidTr="00B70D89">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D69AE" w:rsidRPr="007955BB" w:rsidRDefault="007D69AE" w:rsidP="00B70D89">
            <w:pPr>
              <w:spacing w:before="0" w:line="276" w:lineRule="auto"/>
              <w:ind w:right="111" w:firstLine="0"/>
              <w:contextualSpacing w:val="0"/>
              <w:jc w:val="left"/>
              <w:rPr>
                <w:rFonts w:cs="Calibri"/>
                <w:color w:val="000000"/>
                <w:sz w:val="20"/>
                <w:szCs w:val="20"/>
                <w:lang w:val="hy-AM" w:eastAsia="en-US"/>
              </w:rPr>
            </w:pPr>
            <w:r w:rsidRPr="007955BB">
              <w:rPr>
                <w:rFonts w:cs="Calibri"/>
                <w:b w:val="0"/>
                <w:color w:val="000000"/>
                <w:sz w:val="20"/>
                <w:szCs w:val="20"/>
                <w:lang w:val="hy-AM" w:eastAsia="en-US"/>
              </w:rPr>
              <w:t>ՀՀ ֆինանսների նախարարություն</w:t>
            </w:r>
            <w:r w:rsidRPr="007955BB">
              <w:rPr>
                <w:rFonts w:cs="Calibri"/>
                <w:b w:val="0"/>
                <w:color w:val="000000"/>
                <w:sz w:val="20"/>
                <w:szCs w:val="20"/>
                <w:lang w:val="en-US" w:eastAsia="en-US"/>
              </w:rPr>
              <w:t xml:space="preserve"> (2022 </w:t>
            </w:r>
            <w:r w:rsidRPr="007955BB">
              <w:rPr>
                <w:rFonts w:cs="Calibri"/>
                <w:b w:val="0"/>
                <w:color w:val="000000"/>
                <w:sz w:val="20"/>
                <w:szCs w:val="20"/>
                <w:lang w:val="hy-AM" w:eastAsia="en-US"/>
              </w:rPr>
              <w:t>սեպտեմբեր</w:t>
            </w:r>
            <w:r w:rsidRPr="007955BB">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hy-AM" w:eastAsia="en-US"/>
              </w:rPr>
            </w:pPr>
            <w:r w:rsidRPr="007955BB">
              <w:rPr>
                <w:rFonts w:cs="Calibri"/>
                <w:b w:val="0"/>
                <w:color w:val="000000"/>
                <w:sz w:val="20"/>
                <w:szCs w:val="20"/>
                <w:lang w:val="hy-AM" w:eastAsia="en-US"/>
              </w:rPr>
              <w:t>11.0</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7</w:t>
            </w:r>
            <w:r w:rsidRPr="007955BB">
              <w:rPr>
                <w:rFonts w:cs="Calibri"/>
                <w:b w:val="0"/>
                <w:color w:val="000000"/>
                <w:sz w:val="20"/>
                <w:szCs w:val="20"/>
                <w:lang w:val="hy-AM" w:eastAsia="en-US"/>
              </w:rPr>
              <w:t>.</w:t>
            </w:r>
            <w:r w:rsidRPr="007955BB">
              <w:rPr>
                <w:rFonts w:cs="Calibri"/>
                <w:b w:val="0"/>
                <w:color w:val="000000"/>
                <w:sz w:val="20"/>
                <w:szCs w:val="20"/>
                <w:lang w:val="en-US" w:eastAsia="en-US"/>
              </w:rPr>
              <w:t>0</w:t>
            </w:r>
          </w:p>
        </w:tc>
      </w:tr>
      <w:tr w:rsidR="007D69AE" w:rsidRPr="007955BB" w:rsidTr="00B70D89">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color w:val="000000"/>
                <w:sz w:val="20"/>
                <w:szCs w:val="20"/>
                <w:lang w:val="hy-AM" w:eastAsia="en-US"/>
              </w:rPr>
            </w:pPr>
            <w:r w:rsidRPr="007955BB">
              <w:rPr>
                <w:rFonts w:cs="Calibri"/>
                <w:b w:val="0"/>
                <w:color w:val="000000"/>
                <w:sz w:val="20"/>
                <w:szCs w:val="20"/>
                <w:lang w:val="hy-AM" w:eastAsia="en-US"/>
              </w:rPr>
              <w:t>ՀՀ ֆինանսների նախարարություն (202</w:t>
            </w:r>
            <w:r w:rsidRPr="007955BB">
              <w:rPr>
                <w:rFonts w:cs="Calibri"/>
                <w:b w:val="0"/>
                <w:color w:val="000000"/>
                <w:sz w:val="20"/>
                <w:szCs w:val="20"/>
                <w:lang w:val="en-US" w:eastAsia="en-US"/>
              </w:rPr>
              <w:t>2</w:t>
            </w:r>
            <w:r w:rsidRPr="007955BB">
              <w:rPr>
                <w:rFonts w:cs="Calibri"/>
                <w:b w:val="0"/>
                <w:color w:val="000000"/>
                <w:sz w:val="20"/>
                <w:szCs w:val="20"/>
                <w:lang w:val="hy-AM" w:eastAsia="en-US"/>
              </w:rPr>
              <w:t xml:space="preserve"> </w:t>
            </w:r>
            <w:r w:rsidRPr="007955BB">
              <w:rPr>
                <w:rFonts w:cs="Calibri"/>
                <w:b w:val="0"/>
                <w:color w:val="000000"/>
                <w:sz w:val="20"/>
                <w:szCs w:val="20"/>
                <w:lang w:val="en-US" w:eastAsia="en-US"/>
              </w:rPr>
              <w:t>հուլիս</w:t>
            </w:r>
            <w:r w:rsidRPr="007955BB">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7.0</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7.0</w:t>
            </w:r>
          </w:p>
        </w:tc>
      </w:tr>
      <w:tr w:rsidR="007D69AE" w:rsidRPr="007955BB" w:rsidTr="00B70D89">
        <w:trPr>
          <w:trHeight w:val="20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p>
        </w:tc>
      </w:tr>
      <w:tr w:rsidR="007D69AE" w:rsidRPr="007955BB" w:rsidTr="00B70D89">
        <w:trPr>
          <w:trHeight w:val="372"/>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color w:val="000000"/>
                <w:sz w:val="20"/>
                <w:szCs w:val="20"/>
                <w:lang w:val="hy-AM" w:eastAsia="en-US"/>
              </w:rPr>
            </w:pPr>
            <w:r w:rsidRPr="007955BB">
              <w:rPr>
                <w:rFonts w:cs="Calibri"/>
                <w:b w:val="0"/>
                <w:color w:val="000000"/>
                <w:sz w:val="20"/>
                <w:szCs w:val="20"/>
                <w:lang w:val="hy-AM" w:eastAsia="en-US"/>
              </w:rPr>
              <w:t>ՀՀ կենտրոնական բանկ (202</w:t>
            </w:r>
            <w:r w:rsidRPr="007955BB">
              <w:rPr>
                <w:rFonts w:cs="Calibri"/>
                <w:b w:val="0"/>
                <w:color w:val="000000"/>
                <w:sz w:val="20"/>
                <w:szCs w:val="20"/>
                <w:lang w:val="en-US" w:eastAsia="en-US"/>
              </w:rPr>
              <w:t>2</w:t>
            </w:r>
            <w:r w:rsidRPr="007955BB">
              <w:rPr>
                <w:rFonts w:cs="Calibri"/>
                <w:b w:val="0"/>
                <w:color w:val="000000"/>
                <w:sz w:val="20"/>
                <w:szCs w:val="20"/>
                <w:lang w:val="hy-AM" w:eastAsia="en-US"/>
              </w:rPr>
              <w:t xml:space="preserve"> 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4.9</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3.1</w:t>
            </w: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b w:val="0"/>
                <w:bCs/>
                <w:color w:val="000000"/>
                <w:sz w:val="20"/>
                <w:szCs w:val="20"/>
                <w:lang w:val="hy-AM" w:eastAsia="en-US"/>
              </w:rPr>
            </w:pPr>
            <w:r w:rsidRPr="007955BB">
              <w:rPr>
                <w:rFonts w:cs="Calibri"/>
                <w:b w:val="0"/>
                <w:color w:val="000000"/>
                <w:sz w:val="20"/>
                <w:szCs w:val="20"/>
                <w:lang w:val="hy-AM" w:eastAsia="en-US"/>
              </w:rPr>
              <w:t>Արժույթի միջազգային հիմնադրամ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5.0</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w:t>
            </w: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b w:val="0"/>
                <w:color w:val="000000"/>
                <w:sz w:val="20"/>
                <w:szCs w:val="20"/>
                <w:lang w:val="en-US" w:eastAsia="en-US"/>
              </w:rPr>
            </w:pPr>
            <w:r w:rsidRPr="007955BB">
              <w:rPr>
                <w:rFonts w:cs="Calibri"/>
                <w:b w:val="0"/>
                <w:color w:val="000000"/>
                <w:sz w:val="20"/>
                <w:szCs w:val="20"/>
                <w:lang w:val="hy-AM" w:eastAsia="en-US"/>
              </w:rPr>
              <w:t>Արժույթի միջազգային հիմնադրամ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ապրիլ)</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1.5</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4.0</w:t>
            </w: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r>
      <w:tr w:rsidR="007D69AE" w:rsidRPr="007955BB" w:rsidTr="00B70D89">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40" w:lineRule="auto"/>
              <w:ind w:right="115" w:firstLine="0"/>
              <w:contextualSpacing w:val="0"/>
              <w:jc w:val="left"/>
              <w:rPr>
                <w:rFonts w:cs="Calibri"/>
                <w:color w:val="000000"/>
                <w:sz w:val="20"/>
                <w:szCs w:val="20"/>
                <w:lang w:val="hy-AM" w:eastAsia="en-US"/>
              </w:rPr>
            </w:pPr>
            <w:r w:rsidRPr="007955BB">
              <w:rPr>
                <w:rFonts w:cs="Calibri"/>
                <w:b w:val="0"/>
                <w:color w:val="000000"/>
                <w:sz w:val="20"/>
                <w:szCs w:val="20"/>
                <w:lang w:val="en-US" w:eastAsia="en-US"/>
              </w:rPr>
              <w:t xml:space="preserve">Ֆիթչ (2022 </w:t>
            </w:r>
            <w:r w:rsidRPr="007955BB">
              <w:rPr>
                <w:rFonts w:cs="Calibri"/>
                <w:b w:val="0"/>
                <w:color w:val="000000"/>
                <w:sz w:val="20"/>
                <w:szCs w:val="20"/>
                <w:lang w:val="hy-AM" w:eastAsia="en-US"/>
              </w:rPr>
              <w:t>սեպտեմբեր</w:t>
            </w:r>
            <w:r w:rsidRPr="007955BB">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6.4</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color w:val="000000"/>
                <w:sz w:val="20"/>
                <w:szCs w:val="20"/>
                <w:lang w:val="en-US" w:eastAsia="en-US"/>
              </w:rPr>
            </w:pPr>
            <w:r w:rsidRPr="007955BB">
              <w:rPr>
                <w:rFonts w:cs="Calibri"/>
                <w:b w:val="0"/>
                <w:color w:val="000000"/>
                <w:sz w:val="20"/>
                <w:szCs w:val="20"/>
                <w:lang w:val="en-US" w:eastAsia="en-US"/>
              </w:rPr>
              <w:t>5.1</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en-US" w:eastAsia="en-US"/>
              </w:rPr>
              <w:t>Ֆիթչ (2022 մարտ)</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1.3</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4.2</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Համաշխարհային բանկ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հունիս)</w:t>
            </w:r>
          </w:p>
        </w:tc>
        <w:tc>
          <w:tcPr>
            <w:tcW w:w="1549" w:type="dxa"/>
            <w:tcBorders>
              <w:top w:val="single" w:sz="4" w:space="0" w:color="auto"/>
              <w:left w:val="single" w:sz="4" w:space="0" w:color="auto"/>
              <w:bottom w:val="single" w:sz="4" w:space="0" w:color="auto"/>
              <w:right w:val="single" w:sz="4" w:space="0" w:color="auto"/>
            </w:tcBorders>
            <w:noWrap/>
          </w:tcPr>
          <w:p w:rsidR="007D69AE" w:rsidRPr="007955BB" w:rsidRDefault="007D69AE" w:rsidP="00B70D89">
            <w:pPr>
              <w:spacing w:before="0" w:line="276" w:lineRule="auto"/>
              <w:ind w:right="111" w:firstLine="0"/>
              <w:contextualSpacing w:val="0"/>
              <w:jc w:val="center"/>
              <w:rPr>
                <w:rFonts w:cs="Calibri"/>
                <w:b w:val="0"/>
                <w:color w:val="000000"/>
                <w:sz w:val="20"/>
                <w:szCs w:val="20"/>
                <w:lang w:val="hy-AM" w:eastAsia="en-US"/>
              </w:rPr>
            </w:pPr>
            <w:r w:rsidRPr="007955BB">
              <w:rPr>
                <w:rFonts w:cs="Calibri"/>
                <w:b w:val="0"/>
                <w:color w:val="000000"/>
                <w:sz w:val="20"/>
                <w:szCs w:val="20"/>
                <w:lang w:val="en-US" w:eastAsia="en-US"/>
              </w:rPr>
              <w:t>3.5</w:t>
            </w:r>
          </w:p>
        </w:tc>
        <w:tc>
          <w:tcPr>
            <w:tcW w:w="1580" w:type="dxa"/>
            <w:tcBorders>
              <w:top w:val="single" w:sz="4" w:space="0" w:color="auto"/>
              <w:left w:val="single" w:sz="4" w:space="0" w:color="auto"/>
              <w:bottom w:val="single" w:sz="4" w:space="0" w:color="auto"/>
              <w:right w:val="single" w:sz="4" w:space="0" w:color="auto"/>
            </w:tcBorders>
            <w:noWrap/>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4.6</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Համաշխարհային բանկ (</w:t>
            </w:r>
            <w:r w:rsidRPr="007955BB">
              <w:rPr>
                <w:rFonts w:cs="Calibri"/>
                <w:b w:val="0"/>
                <w:color w:val="000000"/>
                <w:sz w:val="20"/>
                <w:szCs w:val="20"/>
                <w:lang w:val="en-US" w:eastAsia="en-US"/>
              </w:rPr>
              <w:t xml:space="preserve">2022 </w:t>
            </w:r>
            <w:r w:rsidRPr="007955BB">
              <w:rPr>
                <w:rFonts w:cs="Calibri"/>
                <w:b w:val="0"/>
                <w:color w:val="000000"/>
                <w:sz w:val="20"/>
                <w:szCs w:val="20"/>
                <w:lang w:val="hy-AM" w:eastAsia="en-US"/>
              </w:rPr>
              <w:t>հուն</w:t>
            </w:r>
            <w:r w:rsidRPr="007955BB">
              <w:rPr>
                <w:rFonts w:cs="Calibri"/>
                <w:b w:val="0"/>
                <w:color w:val="000000"/>
                <w:sz w:val="20"/>
                <w:szCs w:val="20"/>
                <w:lang w:val="en-US" w:eastAsia="en-US"/>
              </w:rPr>
              <w:t>վար</w:t>
            </w:r>
            <w:r w:rsidRPr="007955BB">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hy-AM" w:eastAsia="en-US"/>
              </w:rPr>
            </w:pPr>
            <w:r w:rsidRPr="007955BB">
              <w:rPr>
                <w:rFonts w:cs="Calibri"/>
                <w:b w:val="0"/>
                <w:color w:val="000000"/>
                <w:sz w:val="20"/>
                <w:szCs w:val="20"/>
                <w:lang w:val="en-US" w:eastAsia="en-US"/>
              </w:rPr>
              <w:t>4.8</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5.4</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hy-AM"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Մուդիս (202</w:t>
            </w:r>
            <w:r w:rsidRPr="007955BB">
              <w:rPr>
                <w:rFonts w:cs="Calibri"/>
                <w:b w:val="0"/>
                <w:color w:val="000000"/>
                <w:sz w:val="20"/>
                <w:szCs w:val="20"/>
                <w:lang w:val="en-US" w:eastAsia="en-US"/>
              </w:rPr>
              <w:t>2</w:t>
            </w:r>
            <w:r w:rsidRPr="007955BB">
              <w:rPr>
                <w:rFonts w:cs="Calibri"/>
                <w:b w:val="0"/>
                <w:color w:val="000000"/>
                <w:sz w:val="20"/>
                <w:szCs w:val="20"/>
                <w:lang w:val="hy-AM" w:eastAsia="en-US"/>
              </w:rPr>
              <w:t>թ. մարտ)</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hy-AM" w:eastAsia="en-US"/>
              </w:rPr>
              <w:t>1</w:t>
            </w:r>
            <w:r w:rsidRPr="007955BB">
              <w:rPr>
                <w:rFonts w:cs="Calibri"/>
                <w:b w:val="0"/>
                <w:color w:val="000000"/>
                <w:sz w:val="20"/>
                <w:szCs w:val="20"/>
                <w:lang w:val="en-US" w:eastAsia="en-US"/>
              </w:rPr>
              <w:t>.8</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3.0</w:t>
            </w:r>
          </w:p>
        </w:tc>
      </w:tr>
      <w:tr w:rsidR="007D69AE" w:rsidRPr="007955BB" w:rsidTr="00B70D89">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7D69AE" w:rsidRPr="007955BB" w:rsidRDefault="007D69AE" w:rsidP="00B70D89">
            <w:pPr>
              <w:spacing w:before="0" w:line="276" w:lineRule="auto"/>
              <w:ind w:right="111" w:firstLine="0"/>
              <w:contextualSpacing w:val="0"/>
              <w:jc w:val="left"/>
              <w:rPr>
                <w:rFonts w:cs="Calibri"/>
                <w:b w:val="0"/>
                <w:color w:val="000000"/>
                <w:sz w:val="20"/>
                <w:szCs w:val="20"/>
                <w:lang w:val="hy-AM" w:eastAsia="en-US"/>
              </w:rPr>
            </w:pPr>
            <w:r w:rsidRPr="007955BB">
              <w:rPr>
                <w:rFonts w:cs="Calibri"/>
                <w:b w:val="0"/>
                <w:color w:val="000000"/>
                <w:sz w:val="20"/>
                <w:szCs w:val="20"/>
                <w:lang w:val="hy-AM" w:eastAsia="en-US"/>
              </w:rPr>
              <w:t>S&amp;P (2022թ. ապրիլ)</w:t>
            </w:r>
          </w:p>
        </w:tc>
        <w:tc>
          <w:tcPr>
            <w:tcW w:w="1549"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1.3</w:t>
            </w:r>
          </w:p>
        </w:tc>
        <w:tc>
          <w:tcPr>
            <w:tcW w:w="1580" w:type="dxa"/>
            <w:tcBorders>
              <w:top w:val="single" w:sz="4" w:space="0" w:color="auto"/>
              <w:left w:val="single" w:sz="4" w:space="0" w:color="auto"/>
              <w:bottom w:val="single" w:sz="4" w:space="0" w:color="auto"/>
              <w:right w:val="single" w:sz="4" w:space="0" w:color="auto"/>
            </w:tcBorders>
            <w:noWrap/>
            <w:vAlign w:val="center"/>
          </w:tcPr>
          <w:p w:rsidR="007D69AE" w:rsidRPr="007955BB" w:rsidRDefault="007D69AE" w:rsidP="00B70D89">
            <w:pPr>
              <w:spacing w:before="0" w:line="276" w:lineRule="auto"/>
              <w:ind w:right="111" w:firstLine="0"/>
              <w:contextualSpacing w:val="0"/>
              <w:jc w:val="center"/>
              <w:rPr>
                <w:rFonts w:cs="Calibri"/>
                <w:b w:val="0"/>
                <w:color w:val="000000"/>
                <w:sz w:val="20"/>
                <w:szCs w:val="20"/>
                <w:lang w:val="en-US" w:eastAsia="en-US"/>
              </w:rPr>
            </w:pPr>
            <w:r w:rsidRPr="007955BB">
              <w:rPr>
                <w:rFonts w:cs="Calibri"/>
                <w:b w:val="0"/>
                <w:color w:val="000000"/>
                <w:sz w:val="20"/>
                <w:szCs w:val="20"/>
                <w:lang w:val="en-US" w:eastAsia="en-US"/>
              </w:rPr>
              <w:t>5.1</w:t>
            </w:r>
          </w:p>
        </w:tc>
      </w:tr>
    </w:tbl>
    <w:p w:rsidR="008B76F4" w:rsidRPr="00043545" w:rsidRDefault="007D69AE" w:rsidP="00043545">
      <w:pPr>
        <w:spacing w:before="40" w:after="60" w:line="480" w:lineRule="auto"/>
        <w:ind w:right="115" w:firstLine="0"/>
        <w:rPr>
          <w:b w:val="0"/>
          <w:bCs/>
          <w:color w:val="1F497D"/>
          <w:sz w:val="28"/>
          <w:szCs w:val="28"/>
        </w:rPr>
      </w:pPr>
      <w:r w:rsidRPr="007955BB">
        <w:rPr>
          <w:b w:val="0"/>
          <w:sz w:val="18"/>
          <w:szCs w:val="18"/>
          <w:lang w:val="hy-AM"/>
        </w:rPr>
        <w:t>Աղբյուրը՝ համապատասխան կառույցների հրապարակումներ</w:t>
      </w:r>
      <w:bookmarkEnd w:id="135"/>
      <w:bookmarkEnd w:id="136"/>
    </w:p>
    <w:sectPr w:rsidR="008B76F4" w:rsidRPr="00043545" w:rsidSect="00B3034A">
      <w:footerReference w:type="default" r:id="rId57"/>
      <w:pgSz w:w="11906" w:h="16838" w:code="9"/>
      <w:pgMar w:top="1134" w:right="101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EB4" w:rsidRDefault="000C4EB4" w:rsidP="00F52B25">
      <w:r>
        <w:separator/>
      </w:r>
    </w:p>
  </w:endnote>
  <w:endnote w:type="continuationSeparator" w:id="0">
    <w:p w:rsidR="000C4EB4" w:rsidRDefault="000C4EB4"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GHEA Grapalat">
    <w:panose1 w:val="02000506050000020003"/>
    <w:charset w:val="00"/>
    <w:family w:val="auto"/>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Armenian">
    <w:panose1 w:val="02020603050405020304"/>
    <w:charset w:val="00"/>
    <w:family w:val="roman"/>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MS Mincho">
    <w:altName w:val="Yu Gothic UI"/>
    <w:panose1 w:val="02020609040205080304"/>
    <w:charset w:val="80"/>
    <w:family w:val="modern"/>
    <w:pitch w:val="fixed"/>
    <w:sig w:usb0="E00002FF" w:usb1="6AC7FDFB" w:usb2="08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HEAGrapalat">
    <w:altName w:val="Yu Gothic UI"/>
    <w:panose1 w:val="00000000000000000000"/>
    <w:charset w:val="80"/>
    <w:family w:val="auto"/>
    <w:notTrueType/>
    <w:pitch w:val="default"/>
    <w:sig w:usb0="00000001" w:usb1="08070000" w:usb2="00000010" w:usb3="00000000" w:csb0="00020000" w:csb1="00000000"/>
  </w:font>
  <w:font w:name="Merriweather">
    <w:altName w:val="Courier New"/>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EB4" w:rsidRPr="00E37514" w:rsidRDefault="000C4EB4">
    <w:pPr>
      <w:pStyle w:val="Footer"/>
      <w:jc w:val="right"/>
      <w:rPr>
        <w:szCs w:val="22"/>
      </w:rPr>
    </w:pPr>
    <w:r w:rsidRPr="00E37514">
      <w:rPr>
        <w:szCs w:val="22"/>
      </w:rPr>
      <w:fldChar w:fldCharType="begin"/>
    </w:r>
    <w:r w:rsidRPr="00E37514">
      <w:rPr>
        <w:szCs w:val="22"/>
      </w:rPr>
      <w:instrText xml:space="preserve"> PAGE   \* MERGEFORMAT </w:instrText>
    </w:r>
    <w:r w:rsidRPr="00E37514">
      <w:rPr>
        <w:szCs w:val="22"/>
      </w:rPr>
      <w:fldChar w:fldCharType="separate"/>
    </w:r>
    <w:r w:rsidR="00CC28F0">
      <w:rPr>
        <w:noProof/>
        <w:szCs w:val="22"/>
      </w:rPr>
      <w:t>2</w:t>
    </w:r>
    <w:r w:rsidRPr="00E37514">
      <w:rPr>
        <w:noProof/>
        <w:szCs w:val="22"/>
      </w:rPr>
      <w:fldChar w:fldCharType="end"/>
    </w:r>
  </w:p>
  <w:p w:rsidR="000C4EB4" w:rsidRDefault="000C4EB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EB4" w:rsidRPr="00560CEC" w:rsidRDefault="000C4EB4">
    <w:pPr>
      <w:pStyle w:val="Footer"/>
      <w:jc w:val="center"/>
      <w:rPr>
        <w:sz w:val="18"/>
        <w:szCs w:val="18"/>
      </w:rPr>
    </w:pPr>
    <w:r w:rsidRPr="00560CEC">
      <w:rPr>
        <w:sz w:val="18"/>
        <w:szCs w:val="18"/>
      </w:rPr>
      <w:fldChar w:fldCharType="begin"/>
    </w:r>
    <w:r w:rsidRPr="00560CEC">
      <w:rPr>
        <w:sz w:val="18"/>
        <w:szCs w:val="18"/>
      </w:rPr>
      <w:instrText xml:space="preserve"> PAGE   \* MERGEFORMAT </w:instrText>
    </w:r>
    <w:r w:rsidRPr="00560CEC">
      <w:rPr>
        <w:sz w:val="18"/>
        <w:szCs w:val="18"/>
      </w:rPr>
      <w:fldChar w:fldCharType="separate"/>
    </w:r>
    <w:r w:rsidR="00CC28F0">
      <w:rPr>
        <w:noProof/>
        <w:sz w:val="18"/>
        <w:szCs w:val="18"/>
      </w:rPr>
      <w:t>5</w:t>
    </w:r>
    <w:r w:rsidRPr="00560CEC">
      <w:rPr>
        <w:noProof/>
        <w:sz w:val="18"/>
        <w:szCs w:val="18"/>
      </w:rPr>
      <w:fldChar w:fldCharType="end"/>
    </w:r>
  </w:p>
  <w:p w:rsidR="000C4EB4" w:rsidRDefault="000C4E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EB4" w:rsidRDefault="000C4EB4" w:rsidP="00F52B25">
      <w:r>
        <w:separator/>
      </w:r>
    </w:p>
  </w:footnote>
  <w:footnote w:type="continuationSeparator" w:id="0">
    <w:p w:rsidR="000C4EB4" w:rsidRDefault="000C4EB4" w:rsidP="00F52B25">
      <w:r>
        <w:continuationSeparator/>
      </w:r>
    </w:p>
  </w:footnote>
  <w:footnote w:id="1">
    <w:p w:rsidR="000C4EB4" w:rsidRPr="00500ADC" w:rsidRDefault="000C4EB4" w:rsidP="00D178DD">
      <w:pPr>
        <w:pStyle w:val="FootnoteText"/>
      </w:pPr>
      <w:r w:rsidRPr="00500ADC">
        <w:rPr>
          <w:rStyle w:val="FootnoteReference"/>
        </w:rPr>
        <w:footnoteRef/>
      </w:r>
      <w:r w:rsidRPr="00DE6C7D">
        <w:t>Կապիտալ ներդրումներում ներառված չէ պաշարների փոփոխությունը, ներկայացված են միայն հիմնական միջոցներում կատարված կապիտալ ներդրումները, քանի որ 2019</w:t>
      </w:r>
      <w:proofErr w:type="gramStart"/>
      <w:r w:rsidRPr="00DE6C7D">
        <w:t>թ.-</w:t>
      </w:r>
      <w:proofErr w:type="gramEnd"/>
      <w:r w:rsidRPr="00DE6C7D">
        <w:t>ից ՀՀ ՎԿ կողմից պաշարների փոփոխությունը հաշվառվում է որպես հաշվեկշռող գործոն կամ այլ կերպ՝ վիճակագրական սխալները ներառվում են դրա մեջ:</w:t>
      </w:r>
    </w:p>
  </w:footnote>
  <w:footnote w:id="2">
    <w:p w:rsidR="000C4EB4" w:rsidRPr="005A495F" w:rsidRDefault="000C4EB4" w:rsidP="00D178DD">
      <w:pPr>
        <w:pStyle w:val="FootnoteText"/>
        <w:rPr>
          <w:i/>
          <w:iCs w:val="0"/>
          <w:sz w:val="18"/>
          <w:szCs w:val="12"/>
          <w:lang w:val="hy-AM"/>
        </w:rPr>
      </w:pPr>
      <w:r>
        <w:rPr>
          <w:rStyle w:val="FootnoteReference"/>
          <w:sz w:val="22"/>
        </w:rPr>
        <w:footnoteRef/>
      </w:r>
      <w:r>
        <w:rPr>
          <w:sz w:val="22"/>
          <w:lang w:val="hy-AM"/>
        </w:rPr>
        <w:t xml:space="preserve"> </w:t>
      </w:r>
      <w:r w:rsidRPr="005A495F">
        <w:rPr>
          <w:i/>
          <w:iCs w:val="0"/>
          <w:sz w:val="14"/>
          <w:szCs w:val="12"/>
          <w:lang w:val="hy-AM"/>
        </w:rPr>
        <w:t>Դոլարի ինդեքսը հաշվարկվում է որպես կշռված երկրաչափական միջին՝ հետևյալ արժույթների նկատմամաբ. Եվրո, Ճապոնական յեն, Բրիտանական ֆունտ, Կանադական դոլար, Շվեդական կրոն, Շվեյցարական ֆրանկ.</w:t>
      </w:r>
    </w:p>
  </w:footnote>
  <w:footnote w:id="3">
    <w:p w:rsidR="000C4EB4" w:rsidRDefault="000C4EB4" w:rsidP="00D178DD">
      <w:pPr>
        <w:pStyle w:val="FootnoteText"/>
        <w:rPr>
          <w:i/>
          <w:lang w:val="hy-AM"/>
        </w:rPr>
      </w:pPr>
      <w:r w:rsidRPr="005A495F">
        <w:rPr>
          <w:rStyle w:val="FootnoteReference"/>
          <w:i/>
          <w:iCs w:val="0"/>
          <w:sz w:val="18"/>
          <w:szCs w:val="16"/>
        </w:rPr>
        <w:footnoteRef/>
      </w:r>
      <w:r w:rsidRPr="005A495F">
        <w:rPr>
          <w:i/>
          <w:iCs w:val="0"/>
          <w:sz w:val="18"/>
          <w:szCs w:val="12"/>
          <w:lang w:val="hy-AM"/>
        </w:rPr>
        <w:t xml:space="preserve"> </w:t>
      </w:r>
      <w:r w:rsidRPr="005A495F">
        <w:rPr>
          <w:i/>
          <w:iCs w:val="0"/>
          <w:sz w:val="14"/>
          <w:szCs w:val="12"/>
          <w:lang w:val="hy-AM"/>
        </w:rPr>
        <w:t>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w:t>
      </w:r>
      <w:r w:rsidRPr="005A495F">
        <w:rPr>
          <w:i/>
          <w:sz w:val="14"/>
          <w:szCs w:val="12"/>
          <w:lang w:val="hy-AM"/>
        </w:rPr>
        <w:t xml:space="preserve"> </w:t>
      </w:r>
    </w:p>
  </w:footnote>
  <w:footnote w:id="4">
    <w:p w:rsidR="000C4EB4" w:rsidRDefault="000C4EB4" w:rsidP="00D178DD">
      <w:pPr>
        <w:pStyle w:val="FootnoteText"/>
        <w:rPr>
          <w:i/>
          <w:lang w:val="hy-AM"/>
        </w:rPr>
      </w:pPr>
      <w:r>
        <w:rPr>
          <w:rStyle w:val="FootnoteReference"/>
        </w:rPr>
        <w:footnoteRef/>
      </w:r>
      <w:r w:rsidRPr="00351E59">
        <w:rPr>
          <w:lang w:val="hy-AM"/>
        </w:rPr>
        <w:t xml:space="preserve"> </w:t>
      </w:r>
      <w:r w:rsidRPr="00997023">
        <w:rPr>
          <w:i/>
          <w:lang w:val="hy-AM"/>
        </w:rPr>
        <w:t>Ֆինանսական և ապահովագրական գործունեություն ենթաճյուղի դրական զարգացումները զուգորդվել են բանկային համակարգում 2022 թվականի առաջին կիսամյակում (հիմնականում երկրորդ եռամսյակում) շահութաբերության աննախադեպ բարձր ցուցանիշներով, ինչին նպաստել են արտարժութային գործառնություններից լրացուցիչ եկամուտները (այդ թվում՝ փոխարժեքի տատանումներից և միջնորդավճարներից գոյացած հասույթը), ոչ ռեզիդենտների կողմից նոր բանկային հաշիվների ստեղծումը</w:t>
      </w:r>
      <w:r>
        <w:rPr>
          <w:i/>
          <w:lang w:val="hy-AM"/>
        </w:rPr>
        <w:t>։</w:t>
      </w:r>
    </w:p>
    <w:p w:rsidR="000C4EB4" w:rsidRPr="00997023" w:rsidRDefault="000C4EB4" w:rsidP="00D178DD">
      <w:pPr>
        <w:pStyle w:val="FootnoteText"/>
        <w:rPr>
          <w:lang w:val="hy-AM"/>
        </w:rPr>
      </w:pPr>
    </w:p>
  </w:footnote>
  <w:footnote w:id="5">
    <w:p w:rsidR="000C4EB4" w:rsidRPr="00631206" w:rsidRDefault="000C4EB4" w:rsidP="00D178DD">
      <w:pPr>
        <w:pStyle w:val="FootnoteText"/>
        <w:rPr>
          <w:i/>
          <w:lang w:val="hy-AM"/>
        </w:rPr>
      </w:pPr>
      <w:r w:rsidRPr="000E6B55">
        <w:rPr>
          <w:rStyle w:val="FootnoteReference"/>
          <w:sz w:val="18"/>
          <w:szCs w:val="18"/>
        </w:rPr>
        <w:footnoteRef/>
      </w:r>
      <w:r w:rsidRPr="006D4E60">
        <w:rPr>
          <w:i/>
          <w:lang w:val="hy-AM"/>
        </w:rPr>
        <w:t>ՏԱՑ-ի աճին ճյուղերի նպաստումները ՀՀ ֆինանսների նախարարության գնահատականներն են: Գյուղատնտեսության ցուցանիշը ոչ բոլոր տեղերում է ներառված հաշվարկներում, քանի որ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6">
    <w:p w:rsidR="000C4EB4" w:rsidRPr="001D4244" w:rsidRDefault="000C4EB4" w:rsidP="00D178DD">
      <w:pPr>
        <w:pStyle w:val="FootnoteText"/>
        <w:rPr>
          <w:lang w:val="hy-AM"/>
        </w:rPr>
      </w:pPr>
      <w:r>
        <w:rPr>
          <w:rStyle w:val="FootnoteReference"/>
        </w:rPr>
        <w:footnoteRef/>
      </w:r>
      <w:r w:rsidRPr="007D3636">
        <w:rPr>
          <w:lang w:val="hy-AM"/>
        </w:rPr>
        <w:t xml:space="preserve"> </w:t>
      </w:r>
      <w:r>
        <w:rPr>
          <w:lang w:val="hy-AM"/>
        </w:rPr>
        <w:t>Աղբյուրը՝ ՀՀ ԿԲ, «</w:t>
      </w:r>
      <w:r w:rsidRPr="00C04300">
        <w:rPr>
          <w:rFonts w:cs="Sylfaen"/>
          <w:lang w:val="hy-AM"/>
        </w:rPr>
        <w:t xml:space="preserve">ՀՀ բանկերի միջոցով ֆիզիկական անձանց անունով արտերկրից ստացված </w:t>
      </w:r>
      <w:r>
        <w:rPr>
          <w:rFonts w:cs="Sylfaen"/>
          <w:lang w:val="hy-AM"/>
        </w:rPr>
        <w:t xml:space="preserve">և ՀՀ-ից ֆիզիկական անձանց կողմից արտերկիր իրականացված </w:t>
      </w:r>
      <w:r w:rsidRPr="00C04300">
        <w:rPr>
          <w:rFonts w:cs="Sylfaen"/>
          <w:lang w:val="hy-AM"/>
        </w:rPr>
        <w:t>փոխանցումներ</w:t>
      </w:r>
      <w:r>
        <w:rPr>
          <w:rFonts w:cs="Sylfaen"/>
          <w:lang w:val="hy-AM"/>
        </w:rPr>
        <w:t xml:space="preserve">», զուտ ներհոսք </w:t>
      </w:r>
      <w:r w:rsidRPr="001D4244">
        <w:rPr>
          <w:rFonts w:cs="Sylfaen"/>
          <w:lang w:val="hy-AM"/>
        </w:rPr>
        <w:t>(https://www.cba.am/am/SitePages/statexternalsector.aspx)</w:t>
      </w:r>
      <w:r>
        <w:rPr>
          <w:rFonts w:cs="Sylfaen"/>
          <w:lang w:val="hy-AM"/>
        </w:rPr>
        <w:t>։</w:t>
      </w:r>
    </w:p>
  </w:footnote>
  <w:footnote w:id="7">
    <w:p w:rsidR="000C4EB4" w:rsidRPr="00351E59" w:rsidRDefault="000C4EB4" w:rsidP="00D178DD">
      <w:pPr>
        <w:pStyle w:val="FootnoteText"/>
        <w:rPr>
          <w:rFonts w:ascii="Sylfaen" w:hAnsi="Sylfaen"/>
          <w:lang w:val="hy-AM"/>
        </w:rPr>
      </w:pPr>
      <w:r>
        <w:rPr>
          <w:rStyle w:val="FootnoteReference"/>
        </w:rPr>
        <w:footnoteRef/>
      </w:r>
      <w:r w:rsidRPr="00076658">
        <w:rPr>
          <w:lang w:val="hy-AM"/>
        </w:rPr>
        <w:t xml:space="preserve"> </w:t>
      </w:r>
      <w:r>
        <w:rPr>
          <w:i/>
          <w:lang w:val="hy-AM"/>
        </w:rPr>
        <w:t>Տե՛ս Գնաճի հաշվետվություն, 2022</w:t>
      </w:r>
      <w:r w:rsidRPr="000927CC">
        <w:rPr>
          <w:i/>
          <w:lang w:val="hy-AM"/>
        </w:rPr>
        <w:t>/</w:t>
      </w:r>
      <w:r w:rsidRPr="00351E59">
        <w:rPr>
          <w:i/>
          <w:lang w:val="hy-AM"/>
        </w:rPr>
        <w:t>2</w:t>
      </w:r>
      <w:r w:rsidRPr="000927CC">
        <w:rPr>
          <w:i/>
          <w:lang w:val="hy-AM"/>
        </w:rPr>
        <w:t xml:space="preserve">, ՀՀ ԿԲ, </w:t>
      </w:r>
      <w:hyperlink r:id="rId1" w:history="1">
        <w:r w:rsidRPr="00137F99">
          <w:rPr>
            <w:rStyle w:val="Hyperlink"/>
            <w:i/>
            <w:lang w:val="hy-AM"/>
          </w:rPr>
          <w:t>https://www.cba.am/am/SitePages/ainflationreport.aspx</w:t>
        </w:r>
      </w:hyperlink>
      <w:r w:rsidRPr="00351E59">
        <w:rPr>
          <w:i/>
          <w:lang w:val="hy-AM"/>
        </w:rPr>
        <w:t xml:space="preserve">: </w:t>
      </w:r>
    </w:p>
  </w:footnote>
  <w:footnote w:id="8">
    <w:p w:rsidR="000C4EB4" w:rsidRPr="00B32254" w:rsidRDefault="000C4EB4" w:rsidP="00D178DD">
      <w:pPr>
        <w:pBdr>
          <w:top w:val="nil"/>
          <w:left w:val="nil"/>
          <w:bottom w:val="nil"/>
          <w:right w:val="nil"/>
          <w:between w:val="nil"/>
        </w:pBdr>
        <w:spacing w:line="240" w:lineRule="auto"/>
        <w:ind w:firstLine="0"/>
        <w:rPr>
          <w:rFonts w:eastAsia="Merriweather" w:cs="Merriweather"/>
          <w:color w:val="000000"/>
          <w:sz w:val="18"/>
          <w:szCs w:val="16"/>
          <w:lang w:val="hy-AM"/>
        </w:rPr>
      </w:pPr>
      <w:r w:rsidRPr="00F84314">
        <w:rPr>
          <w:rStyle w:val="FootnoteReference"/>
          <w:b w:val="0"/>
          <w:sz w:val="18"/>
          <w:szCs w:val="16"/>
          <w:lang w:val="hy-AM" w:eastAsia="en-US"/>
        </w:rPr>
        <w:footnoteRef/>
      </w:r>
      <w:r w:rsidRPr="00F84314">
        <w:rPr>
          <w:rStyle w:val="FootnoteReference"/>
          <w:b w:val="0"/>
          <w:sz w:val="18"/>
          <w:szCs w:val="16"/>
          <w:lang w:val="hy-AM" w:eastAsia="en-US"/>
        </w:rPr>
        <w:t xml:space="preserve"> </w:t>
      </w:r>
      <w:r>
        <w:rPr>
          <w:b w:val="0"/>
          <w:sz w:val="18"/>
          <w:szCs w:val="16"/>
          <w:lang w:val="hy-AM" w:eastAsia="en-US"/>
        </w:rPr>
        <w:t xml:space="preserve">ՀՀ ֆինանսների նախարարության </w:t>
      </w:r>
      <w:r w:rsidRPr="00351E59">
        <w:rPr>
          <w:b w:val="0"/>
          <w:sz w:val="18"/>
          <w:szCs w:val="16"/>
          <w:lang w:val="hy-AM" w:eastAsia="en-US"/>
        </w:rPr>
        <w:t>Արարատ հարկաբյուջետային ռազմավարության</w:t>
      </w:r>
      <w:r w:rsidRPr="00F84314">
        <w:rPr>
          <w:b w:val="0"/>
          <w:sz w:val="18"/>
          <w:szCs w:val="16"/>
          <w:lang w:val="hy-AM" w:eastAsia="en-US"/>
        </w:rPr>
        <w:t xml:space="preserve"> դինամիկ ստոխաստիկ ընդհանուր հավասարակշռության մոդելը մշակվել է 2018-2020թթ. ընթացքում՝ ԱՄՀ կողմից տրամադրված տեխնի</w:t>
      </w:r>
      <w:r>
        <w:rPr>
          <w:b w:val="0"/>
          <w:sz w:val="18"/>
          <w:szCs w:val="16"/>
          <w:lang w:val="hy-AM" w:eastAsia="en-US"/>
        </w:rPr>
        <w:t>կական աջակցության շրջանակներում:</w:t>
      </w:r>
      <w:r w:rsidRPr="00F84314">
        <w:rPr>
          <w:b w:val="0"/>
          <w:sz w:val="18"/>
          <w:szCs w:val="16"/>
          <w:lang w:val="hy-AM" w:eastAsia="en-US"/>
        </w:rPr>
        <w:t xml:space="preserve"> Առավել մանրամասն տե՛ս ՀՀ կառավարության 2021թ. բյուջետային ուղերձ, Երևան 2020, էջ՝ 84,  ներդիր 2</w:t>
      </w:r>
      <w:r>
        <w:rPr>
          <w:b w:val="0"/>
          <w:sz w:val="18"/>
          <w:szCs w:val="16"/>
          <w:lang w:val="hy-AM" w:eastAsia="en-US"/>
        </w:rPr>
        <w:t xml:space="preserve">: Մոդելը և կիրառությունները նկարագրող ամբողջական աշխատանքային փաստաթուղթը տե՛ս հետևյալ հղմամբ՝ </w:t>
      </w:r>
      <w:r w:rsidRPr="00B32254">
        <w:rPr>
          <w:b w:val="0"/>
          <w:sz w:val="18"/>
          <w:szCs w:val="16"/>
          <w:lang w:val="hy-AM" w:eastAsia="en-US"/>
        </w:rPr>
        <w:t>https://www.imf.org/en/Publications/WP/Issues/2022/06/10/The-Ararat-Fiscal-Strategy-Model-A-Structural-Framework-for-Fiscal-Policy-Analysis-in-519522</w:t>
      </w:r>
      <w:r>
        <w:rPr>
          <w:b w:val="0"/>
          <w:sz w:val="18"/>
          <w:szCs w:val="16"/>
          <w:lang w:val="hy-AM" w:eastAsia="en-US"/>
        </w:rPr>
        <w:t>:</w:t>
      </w:r>
    </w:p>
  </w:footnote>
  <w:footnote w:id="9">
    <w:p w:rsidR="000C4EB4" w:rsidRPr="00397C6F" w:rsidRDefault="000C4EB4" w:rsidP="00D178DD">
      <w:pPr>
        <w:pStyle w:val="af2"/>
        <w:ind w:firstLine="0"/>
        <w:rPr>
          <w:sz w:val="16"/>
          <w:szCs w:val="16"/>
        </w:rPr>
      </w:pPr>
      <w:r w:rsidRPr="00397C6F">
        <w:rPr>
          <w:rStyle w:val="FootnoteReference"/>
          <w:sz w:val="18"/>
          <w:szCs w:val="16"/>
        </w:rPr>
        <w:footnoteRef/>
      </w:r>
      <w:r w:rsidRPr="00397C6F">
        <w:rPr>
          <w:sz w:val="18"/>
          <w:szCs w:val="16"/>
        </w:rPr>
        <w:t xml:space="preserve"> </w:t>
      </w:r>
      <w:r w:rsidRPr="00397C6F">
        <w:rPr>
          <w:sz w:val="18"/>
          <w:szCs w:val="16"/>
        </w:rPr>
        <w:t>ՀՀ գործընկեր երկրների արտաքին պահանաջարկի ցուցանիշը ՀՀ ՖՆ գնահատականն է, որը հաշվարկվել է որպես ԱՄՆ-ի, Չինաստանի և Եվրոգոտու տնտեսական աճերի կշռված միջին՝ ՀՀ արտահանման կառուցվածքին համապատասխան:  ՀՀ գործընկեր երկրների տնտեսական աճերի 2022 և 2023 թթ. ԱՄՀ կողմից հրապարակված կանխատեսումները ներկայացված են Աղյուսակ 1.2.-ում</w:t>
      </w:r>
    </w:p>
  </w:footnote>
  <w:footnote w:id="10">
    <w:p w:rsidR="000C4EB4" w:rsidRPr="00351E59" w:rsidRDefault="000C4EB4" w:rsidP="00D178DD">
      <w:pPr>
        <w:spacing w:line="276" w:lineRule="auto"/>
        <w:rPr>
          <w:b w:val="0"/>
          <w:i/>
          <w:lang w:val="hy-AM"/>
        </w:rPr>
      </w:pPr>
      <w:r w:rsidRPr="00351E59">
        <w:rPr>
          <w:rStyle w:val="FootnoteReference"/>
          <w:rFonts w:ascii="GHEA Grapalat" w:hAnsi="GHEA Grapalat"/>
          <w:b w:val="0"/>
          <w:sz w:val="16"/>
          <w:szCs w:val="16"/>
        </w:rPr>
        <w:footnoteRef/>
      </w:r>
      <w:r w:rsidRPr="00351E59">
        <w:rPr>
          <w:b w:val="0"/>
          <w:sz w:val="16"/>
          <w:szCs w:val="16"/>
          <w:lang w:val="hy-AM"/>
        </w:rPr>
        <w:t xml:space="preserve"> </w:t>
      </w:r>
      <w:r w:rsidRPr="00351E59">
        <w:rPr>
          <w:b w:val="0"/>
          <w:i/>
          <w:sz w:val="16"/>
          <w:szCs w:val="16"/>
          <w:lang w:val="hy-AM"/>
        </w:rPr>
        <w:t>Տե՛ս «Տնտեսական արձագանքման ծրագիրը և գործողությունների պլանը հաստատելու մասին» ՀՀ կառավարության 2021թ. փետրվարի 4-ի թիվ 142-Լ որոշում, հավելված 1:</w:t>
      </w:r>
    </w:p>
  </w:footnote>
  <w:footnote w:id="11">
    <w:p w:rsidR="000C4EB4" w:rsidRPr="003A75CD" w:rsidRDefault="000C4EB4" w:rsidP="00D178DD">
      <w:pPr>
        <w:spacing w:line="276" w:lineRule="auto"/>
        <w:rPr>
          <w:i/>
          <w:lang w:val="hy-AM"/>
        </w:rPr>
      </w:pPr>
      <w:r w:rsidRPr="00351E59">
        <w:rPr>
          <w:b w:val="0"/>
          <w:sz w:val="16"/>
          <w:szCs w:val="20"/>
          <w:vertAlign w:val="superscript"/>
          <w:lang w:val="hy-AM"/>
        </w:rPr>
        <w:footnoteRef/>
      </w:r>
      <w:r w:rsidRPr="00351E59">
        <w:rPr>
          <w:b w:val="0"/>
          <w:sz w:val="16"/>
          <w:szCs w:val="20"/>
          <w:vertAlign w:val="superscript"/>
          <w:lang w:val="hy-AM"/>
        </w:rPr>
        <w:t xml:space="preserve"> </w:t>
      </w:r>
      <w:r w:rsidRPr="00351E59">
        <w:rPr>
          <w:b w:val="0"/>
          <w:i/>
          <w:sz w:val="18"/>
          <w:szCs w:val="18"/>
          <w:lang w:val="hy-AM"/>
        </w:rPr>
        <w:t>Աղյուսակի 1-ին սյունը իրենից ներկայացնում է տնտեսական աճի հնարավոր միջա</w:t>
      </w:r>
      <w:r w:rsidRPr="00351E59">
        <w:rPr>
          <w:b w:val="0"/>
          <w:i/>
          <w:sz w:val="18"/>
          <w:szCs w:val="18"/>
          <w:lang w:val="hy-AM"/>
        </w:rPr>
        <w:softHyphen/>
        <w:t>կայքերը, իսկ 2-ից 5-րդ սյուները` համապատասխան միջակայքերում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88%-ը, այսինքն` հավանականությունը, որ տնտեսական աճը կգտնվի 2%-ից 10%  միջակայքում, կազմում է մոտ 88%:</w:t>
      </w:r>
    </w:p>
  </w:footnote>
  <w:footnote w:id="12">
    <w:p w:rsidR="000C4EB4" w:rsidRPr="00820747" w:rsidRDefault="000C4EB4" w:rsidP="00D178DD">
      <w:pPr>
        <w:pStyle w:val="FootnoteText"/>
        <w:rPr>
          <w:lang w:val="hy-AM"/>
        </w:rPr>
      </w:pPr>
      <w:r>
        <w:rPr>
          <w:rStyle w:val="FootnoteReference"/>
        </w:rPr>
        <w:footnoteRef/>
      </w:r>
      <w:r w:rsidRPr="00854B26">
        <w:rPr>
          <w:lang w:val="hy-AM"/>
        </w:rPr>
        <w:t xml:space="preserve"> </w:t>
      </w:r>
      <w:r>
        <w:rPr>
          <w:lang w:val="hy-AM"/>
        </w:rPr>
        <w:t>2021 թվականի հակաճգնաժամային միջոցառումների ծախսերի ուղղությունների և ծավալների մասը տես՝ 2021 թվականի պետական բյուջեի տարեկան հաշվետվության «</w:t>
      </w:r>
      <w:r w:rsidRPr="00D923AC">
        <w:rPr>
          <w:lang w:val="hy-AM"/>
        </w:rPr>
        <w:t>2. ՀԱՐԿԱԲՅՈՒՋԵՏԱՅԻՆ ՔԱՂԱՔԱԿԱՆՈՒԹՅԱՆ ՀԻՄՆԱԿԱՆ ԶԱՐԳԱՑՈՒՄՆԵՐԸ</w:t>
      </w:r>
      <w:r>
        <w:rPr>
          <w:lang w:val="hy-AM"/>
        </w:rPr>
        <w:t>» բաժնի «ՀՀ կառավարության հակաճգնաժամային միջոցառումները» ենթաբաժնում</w:t>
      </w:r>
    </w:p>
  </w:footnote>
  <w:footnote w:id="13">
    <w:p w:rsidR="000C4EB4" w:rsidRPr="00820747" w:rsidRDefault="000C4EB4" w:rsidP="00D178DD">
      <w:pPr>
        <w:pStyle w:val="FootnoteText"/>
        <w:rPr>
          <w:lang w:val="hy-AM"/>
        </w:rPr>
      </w:pPr>
      <w:r>
        <w:rPr>
          <w:rStyle w:val="FootnoteReference"/>
        </w:rPr>
        <w:footnoteRef/>
      </w:r>
      <w:r w:rsidRPr="00820747">
        <w:rPr>
          <w:lang w:val="hy-AM"/>
        </w:rPr>
        <w:t xml:space="preserve"> </w:t>
      </w:r>
      <w:r>
        <w:rPr>
          <w:lang w:val="hy-AM"/>
        </w:rPr>
        <w:t xml:space="preserve">Կանխատեսվող տարիների համար կառավարության պարտք/ՀՆԱ ցուցանիշի փոփոխությանը նպաստող գործոններից փոխարժեքի ենթադրությունների ազդեցությունն արտահայտված է մնացորդի բաղադրիչի մեջ։ </w:t>
      </w:r>
    </w:p>
  </w:footnote>
  <w:footnote w:id="14">
    <w:p w:rsidR="000C4EB4" w:rsidRPr="00A96E72" w:rsidRDefault="000C4EB4" w:rsidP="00D178DD">
      <w:pPr>
        <w:pStyle w:val="FootnoteText"/>
        <w:rPr>
          <w:lang w:val="hy-AM"/>
        </w:rPr>
      </w:pPr>
      <w:r w:rsidRPr="0038225D">
        <w:rPr>
          <w:rStyle w:val="FootnoteReference"/>
          <w:sz w:val="18"/>
          <w:szCs w:val="18"/>
        </w:rPr>
        <w:footnoteRef/>
      </w:r>
      <w:r w:rsidRPr="00A96E72">
        <w:rPr>
          <w:lang w:val="hy-AM"/>
        </w:rPr>
        <w:t xml:space="preserve"> </w:t>
      </w:r>
      <w:r w:rsidRPr="00A96E72">
        <w:rPr>
          <w:lang w:val="hy-AM"/>
        </w:rPr>
        <w:t>Հարկաբյուջետային կանխատեսումների համար հիմք է հանդիսացել 202</w:t>
      </w:r>
      <w:r w:rsidRPr="00820747">
        <w:rPr>
          <w:lang w:val="hy-AM"/>
        </w:rPr>
        <w:t>2</w:t>
      </w:r>
      <w:r w:rsidRPr="00A96E72">
        <w:rPr>
          <w:lang w:val="hy-AM"/>
        </w:rPr>
        <w:t xml:space="preserve">թ.-ի </w:t>
      </w:r>
      <w:r>
        <w:rPr>
          <w:lang w:val="hy-AM"/>
        </w:rPr>
        <w:t>օգոստոսի</w:t>
      </w:r>
      <w:r w:rsidRPr="00A96E72">
        <w:rPr>
          <w:lang w:val="hy-AM"/>
        </w:rPr>
        <w:t xml:space="preserve"> վերջի դրությամբ առկա տեղեկատվությունը՝ </w:t>
      </w:r>
      <w:r w:rsidRPr="00683304">
        <w:rPr>
          <w:lang w:val="hy-AM"/>
        </w:rPr>
        <w:t xml:space="preserve">ռուս-ուկրաինական հակամարտության, համավարակի և </w:t>
      </w:r>
      <w:r w:rsidRPr="00822D2B">
        <w:rPr>
          <w:lang w:val="hy-AM"/>
        </w:rPr>
        <w:t>Ղարաբաղ</w:t>
      </w:r>
      <w:r w:rsidRPr="00683304">
        <w:rPr>
          <w:lang w:val="hy-AM"/>
        </w:rPr>
        <w:t>յան պատերազմի տնտեսական ազդեցությունների, միջազգային կազմակերպությունների կանխատեսումների, ինչպես նաև հարկաբյուջետային քաղաքականության ուղությունների վերաբերյալ</w:t>
      </w:r>
      <w:r w:rsidRPr="00A96E72">
        <w:rPr>
          <w:lang w:val="hy-AM"/>
        </w:rPr>
        <w:t>:</w:t>
      </w:r>
    </w:p>
  </w:footnote>
  <w:footnote w:id="15">
    <w:p w:rsidR="000C4EB4" w:rsidRPr="00B7540A" w:rsidRDefault="000C4EB4" w:rsidP="00D178DD">
      <w:pPr>
        <w:pStyle w:val="FootnoteText"/>
        <w:rPr>
          <w:lang w:val="hy-AM"/>
        </w:rPr>
      </w:pPr>
      <w:r w:rsidRPr="00E2325B">
        <w:rPr>
          <w:rStyle w:val="FootnoteReference"/>
        </w:rPr>
        <w:footnoteRef/>
      </w:r>
      <w:r w:rsidRPr="00B7540A">
        <w:rPr>
          <w:lang w:val="hy-AM"/>
        </w:rPr>
        <w:t xml:space="preserve"> </w:t>
      </w:r>
      <w:r w:rsidRPr="00B7540A">
        <w:rPr>
          <w:lang w:val="hy-AM"/>
        </w:rPr>
        <w:t xml:space="preserve">Այս հատվածում նկարագրված ռիսկերի առավել մանրամասն վերլուծությունը ներկայացված է այս փաստաթղթի ՄԱՍ IV-ի «Պետական բյուջեի վրա մակրոտնտեսական կանխատեսված ցուցանիշներից շեղման ռիսկերի ազդեցության քանակական գնահատում» և «ՀՀ կառավարության պարտքի կայունության վերլուծություն» բաժիններում։ </w:t>
      </w:r>
    </w:p>
  </w:footnote>
  <w:footnote w:id="16">
    <w:p w:rsidR="000C4EB4" w:rsidRPr="00117D85" w:rsidRDefault="000C4EB4" w:rsidP="00FE673E">
      <w:pPr>
        <w:pStyle w:val="FootnoteText"/>
        <w:rPr>
          <w:sz w:val="14"/>
          <w:lang w:val="sk-SK"/>
        </w:rPr>
      </w:pPr>
      <w:r w:rsidRPr="00E14DDE">
        <w:rPr>
          <w:rStyle w:val="FootnoteReference"/>
          <w:sz w:val="18"/>
        </w:rPr>
        <w:footnoteRef/>
      </w:r>
      <w:r w:rsidRPr="008624F6">
        <w:rPr>
          <w:lang w:val="hy-AM"/>
        </w:rPr>
        <w:t>Սա</w:t>
      </w:r>
      <w:r w:rsidRPr="004C6A11">
        <w:rPr>
          <w:lang w:val="sk-SK"/>
        </w:rPr>
        <w:t xml:space="preserve"> </w:t>
      </w:r>
      <w:r w:rsidRPr="008624F6">
        <w:rPr>
          <w:lang w:val="hy-AM"/>
        </w:rPr>
        <w:t>որոշակիորեն</w:t>
      </w:r>
      <w:r w:rsidRPr="004C6A11">
        <w:rPr>
          <w:lang w:val="sk-SK"/>
        </w:rPr>
        <w:t xml:space="preserve"> </w:t>
      </w:r>
      <w:r w:rsidRPr="008624F6">
        <w:rPr>
          <w:lang w:val="hy-AM"/>
        </w:rPr>
        <w:t>կապված</w:t>
      </w:r>
      <w:r w:rsidRPr="004C6A11">
        <w:rPr>
          <w:lang w:val="sk-SK"/>
        </w:rPr>
        <w:t xml:space="preserve"> </w:t>
      </w:r>
      <w:r w:rsidRPr="008624F6">
        <w:rPr>
          <w:lang w:val="hy-AM"/>
        </w:rPr>
        <w:t>է</w:t>
      </w:r>
      <w:r w:rsidRPr="004C6A11">
        <w:rPr>
          <w:lang w:val="sk-SK"/>
        </w:rPr>
        <w:t xml:space="preserve"> </w:t>
      </w:r>
      <w:r w:rsidRPr="008624F6">
        <w:rPr>
          <w:lang w:val="hy-AM"/>
        </w:rPr>
        <w:t>նաև</w:t>
      </w:r>
      <w:r w:rsidRPr="004C6A11">
        <w:rPr>
          <w:lang w:val="sk-SK"/>
        </w:rPr>
        <w:t xml:space="preserve"> </w:t>
      </w:r>
      <w:r w:rsidRPr="008624F6">
        <w:rPr>
          <w:lang w:val="hy-AM"/>
        </w:rPr>
        <w:t>մոդելների</w:t>
      </w:r>
      <w:r w:rsidRPr="004C6A11">
        <w:rPr>
          <w:lang w:val="sk-SK"/>
        </w:rPr>
        <w:t xml:space="preserve"> </w:t>
      </w:r>
      <w:r w:rsidRPr="008624F6">
        <w:rPr>
          <w:lang w:val="hy-AM"/>
        </w:rPr>
        <w:t>սպեցիֆիկացիաների</w:t>
      </w:r>
      <w:r w:rsidRPr="004C6A11">
        <w:rPr>
          <w:lang w:val="sk-SK"/>
        </w:rPr>
        <w:t xml:space="preserve"> </w:t>
      </w:r>
      <w:r w:rsidRPr="008624F6">
        <w:rPr>
          <w:lang w:val="hy-AM"/>
        </w:rPr>
        <w:t>հետ</w:t>
      </w:r>
      <w:r w:rsidRPr="004C6A11">
        <w:rPr>
          <w:lang w:val="sk-SK"/>
        </w:rPr>
        <w:t xml:space="preserve">, </w:t>
      </w:r>
      <w:r w:rsidRPr="008624F6">
        <w:rPr>
          <w:lang w:val="hy-AM"/>
        </w:rPr>
        <w:t>քանի</w:t>
      </w:r>
      <w:r w:rsidRPr="004C6A11">
        <w:rPr>
          <w:lang w:val="sk-SK"/>
        </w:rPr>
        <w:t xml:space="preserve"> </w:t>
      </w:r>
      <w:r w:rsidRPr="008624F6">
        <w:rPr>
          <w:lang w:val="hy-AM"/>
        </w:rPr>
        <w:t>որ</w:t>
      </w:r>
      <w:r w:rsidRPr="004C6A11">
        <w:rPr>
          <w:lang w:val="sk-SK"/>
        </w:rPr>
        <w:t xml:space="preserve"> </w:t>
      </w:r>
      <w:r w:rsidRPr="008624F6">
        <w:rPr>
          <w:lang w:val="hy-AM"/>
        </w:rPr>
        <w:t>ժամանակային</w:t>
      </w:r>
      <w:r w:rsidRPr="004C6A11">
        <w:rPr>
          <w:lang w:val="sk-SK"/>
        </w:rPr>
        <w:t xml:space="preserve"> </w:t>
      </w:r>
      <w:r w:rsidRPr="008624F6">
        <w:rPr>
          <w:lang w:val="hy-AM"/>
        </w:rPr>
        <w:t>շարքերի</w:t>
      </w:r>
      <w:r w:rsidRPr="004C6A11">
        <w:rPr>
          <w:lang w:val="sk-SK"/>
        </w:rPr>
        <w:t xml:space="preserve"> </w:t>
      </w:r>
      <w:r w:rsidRPr="008624F6">
        <w:rPr>
          <w:lang w:val="hy-AM"/>
        </w:rPr>
        <w:t>վրա</w:t>
      </w:r>
      <w:r w:rsidRPr="004C6A11">
        <w:rPr>
          <w:lang w:val="sk-SK"/>
        </w:rPr>
        <w:t xml:space="preserve"> </w:t>
      </w:r>
      <w:r w:rsidRPr="008624F6">
        <w:rPr>
          <w:lang w:val="hy-AM"/>
        </w:rPr>
        <w:t>հիմնված</w:t>
      </w:r>
      <w:r w:rsidRPr="004C6A11">
        <w:rPr>
          <w:lang w:val="sk-SK"/>
        </w:rPr>
        <w:t xml:space="preserve"> </w:t>
      </w:r>
      <w:r w:rsidRPr="008624F6">
        <w:rPr>
          <w:lang w:val="hy-AM"/>
        </w:rPr>
        <w:t>մոդելներն</w:t>
      </w:r>
      <w:r w:rsidRPr="004C6A11">
        <w:rPr>
          <w:lang w:val="sk-SK"/>
        </w:rPr>
        <w:t xml:space="preserve"> </w:t>
      </w:r>
      <w:r w:rsidRPr="008624F6">
        <w:rPr>
          <w:lang w:val="hy-AM"/>
        </w:rPr>
        <w:t>իրենց</w:t>
      </w:r>
      <w:r w:rsidRPr="004C6A11">
        <w:rPr>
          <w:lang w:val="sk-SK"/>
        </w:rPr>
        <w:t xml:space="preserve"> </w:t>
      </w:r>
      <w:r w:rsidRPr="008624F6">
        <w:rPr>
          <w:lang w:val="hy-AM"/>
        </w:rPr>
        <w:t>մեջ</w:t>
      </w:r>
      <w:r w:rsidRPr="004C6A11">
        <w:rPr>
          <w:lang w:val="sk-SK"/>
        </w:rPr>
        <w:t xml:space="preserve"> </w:t>
      </w:r>
      <w:r w:rsidRPr="008624F6">
        <w:rPr>
          <w:lang w:val="hy-AM"/>
        </w:rPr>
        <w:t>ներառում</w:t>
      </w:r>
      <w:r w:rsidRPr="004C6A11">
        <w:rPr>
          <w:lang w:val="sk-SK"/>
        </w:rPr>
        <w:t xml:space="preserve"> </w:t>
      </w:r>
      <w:r w:rsidRPr="008624F6">
        <w:rPr>
          <w:lang w:val="hy-AM"/>
        </w:rPr>
        <w:t>են</w:t>
      </w:r>
      <w:r w:rsidRPr="004C6A11">
        <w:rPr>
          <w:lang w:val="sk-SK"/>
        </w:rPr>
        <w:t xml:space="preserve"> </w:t>
      </w:r>
      <w:r w:rsidRPr="008624F6">
        <w:rPr>
          <w:lang w:val="hy-AM"/>
        </w:rPr>
        <w:t>տնտեսության</w:t>
      </w:r>
      <w:r w:rsidRPr="004C6A11">
        <w:rPr>
          <w:lang w:val="sk-SK"/>
        </w:rPr>
        <w:t xml:space="preserve"> </w:t>
      </w:r>
      <w:r w:rsidRPr="008624F6">
        <w:rPr>
          <w:lang w:val="hy-AM"/>
        </w:rPr>
        <w:t>նախորդ</w:t>
      </w:r>
      <w:r w:rsidRPr="004C6A11">
        <w:rPr>
          <w:lang w:val="sk-SK"/>
        </w:rPr>
        <w:t xml:space="preserve"> </w:t>
      </w:r>
      <w:r w:rsidRPr="008624F6">
        <w:rPr>
          <w:lang w:val="hy-AM"/>
        </w:rPr>
        <w:t>ժամանակահատվածի</w:t>
      </w:r>
      <w:r w:rsidRPr="004C6A11">
        <w:rPr>
          <w:lang w:val="sk-SK"/>
        </w:rPr>
        <w:t xml:space="preserve"> </w:t>
      </w:r>
      <w:r w:rsidRPr="008624F6">
        <w:rPr>
          <w:lang w:val="hy-AM"/>
        </w:rPr>
        <w:t>զարգացումների</w:t>
      </w:r>
      <w:r w:rsidRPr="004C6A11">
        <w:rPr>
          <w:lang w:val="sk-SK"/>
        </w:rPr>
        <w:t xml:space="preserve"> </w:t>
      </w:r>
      <w:r w:rsidRPr="008624F6">
        <w:rPr>
          <w:lang w:val="hy-AM"/>
        </w:rPr>
        <w:t>տեղեկատվությունը</w:t>
      </w:r>
      <w:r w:rsidRPr="004C6A11">
        <w:rPr>
          <w:lang w:val="sk-SK"/>
        </w:rPr>
        <w:t xml:space="preserve">, </w:t>
      </w:r>
      <w:r w:rsidRPr="008624F6">
        <w:rPr>
          <w:lang w:val="hy-AM"/>
        </w:rPr>
        <w:t>իսկ</w:t>
      </w:r>
      <w:r w:rsidRPr="004C6A11">
        <w:rPr>
          <w:lang w:val="sk-SK"/>
        </w:rPr>
        <w:t xml:space="preserve"> </w:t>
      </w:r>
      <w:r w:rsidRPr="008624F6">
        <w:rPr>
          <w:lang w:val="hy-AM"/>
        </w:rPr>
        <w:t>կանխատեսվող</w:t>
      </w:r>
      <w:r w:rsidRPr="004C6A11">
        <w:rPr>
          <w:lang w:val="sk-SK"/>
        </w:rPr>
        <w:t xml:space="preserve"> </w:t>
      </w:r>
      <w:r w:rsidRPr="008624F6">
        <w:rPr>
          <w:lang w:val="hy-AM"/>
        </w:rPr>
        <w:t>տարում</w:t>
      </w:r>
      <w:r w:rsidRPr="004C6A11">
        <w:rPr>
          <w:lang w:val="sk-SK"/>
        </w:rPr>
        <w:t xml:space="preserve"> </w:t>
      </w:r>
      <w:r w:rsidRPr="008624F6">
        <w:rPr>
          <w:lang w:val="hy-AM"/>
        </w:rPr>
        <w:t>ի</w:t>
      </w:r>
      <w:r w:rsidRPr="004C6A11">
        <w:rPr>
          <w:lang w:val="sk-SK"/>
        </w:rPr>
        <w:t xml:space="preserve"> </w:t>
      </w:r>
      <w:r w:rsidRPr="008624F6">
        <w:rPr>
          <w:lang w:val="hy-AM"/>
        </w:rPr>
        <w:t>հայտ</w:t>
      </w:r>
      <w:r w:rsidRPr="004C6A11">
        <w:rPr>
          <w:lang w:val="sk-SK"/>
        </w:rPr>
        <w:t xml:space="preserve"> </w:t>
      </w:r>
      <w:r w:rsidRPr="008624F6">
        <w:rPr>
          <w:lang w:val="hy-AM"/>
        </w:rPr>
        <w:t>եկող</w:t>
      </w:r>
      <w:r w:rsidRPr="004C6A11">
        <w:rPr>
          <w:lang w:val="sk-SK"/>
        </w:rPr>
        <w:t xml:space="preserve"> </w:t>
      </w:r>
      <w:r w:rsidRPr="008624F6">
        <w:rPr>
          <w:lang w:val="hy-AM"/>
        </w:rPr>
        <w:t>տնտեսության</w:t>
      </w:r>
      <w:r w:rsidRPr="004C6A11">
        <w:rPr>
          <w:lang w:val="sk-SK"/>
        </w:rPr>
        <w:t xml:space="preserve"> </w:t>
      </w:r>
      <w:r w:rsidRPr="008624F6">
        <w:rPr>
          <w:lang w:val="hy-AM"/>
        </w:rPr>
        <w:t>կառուցվածքային</w:t>
      </w:r>
      <w:r w:rsidRPr="004C6A11">
        <w:rPr>
          <w:lang w:val="sk-SK"/>
        </w:rPr>
        <w:t xml:space="preserve"> </w:t>
      </w:r>
      <w:r w:rsidRPr="008624F6">
        <w:rPr>
          <w:lang w:val="hy-AM"/>
        </w:rPr>
        <w:t>տեղաշարժը</w:t>
      </w:r>
      <w:r w:rsidRPr="004C6A11">
        <w:rPr>
          <w:lang w:val="sk-SK"/>
        </w:rPr>
        <w:t xml:space="preserve"> </w:t>
      </w:r>
      <w:r w:rsidRPr="008624F6">
        <w:rPr>
          <w:lang w:val="hy-AM"/>
        </w:rPr>
        <w:t>միայն</w:t>
      </w:r>
      <w:r w:rsidRPr="004C6A11">
        <w:rPr>
          <w:lang w:val="sk-SK"/>
        </w:rPr>
        <w:t xml:space="preserve"> </w:t>
      </w:r>
      <w:r w:rsidRPr="008624F6">
        <w:rPr>
          <w:lang w:val="hy-AM"/>
        </w:rPr>
        <w:t>կարող</w:t>
      </w:r>
      <w:r w:rsidRPr="004C6A11">
        <w:rPr>
          <w:lang w:val="sk-SK"/>
        </w:rPr>
        <w:t xml:space="preserve"> </w:t>
      </w:r>
      <w:r w:rsidRPr="008624F6">
        <w:rPr>
          <w:lang w:val="hy-AM"/>
        </w:rPr>
        <w:t>է</w:t>
      </w:r>
      <w:r w:rsidRPr="004C6A11">
        <w:rPr>
          <w:lang w:val="sk-SK"/>
        </w:rPr>
        <w:t xml:space="preserve"> </w:t>
      </w:r>
      <w:r w:rsidRPr="008624F6">
        <w:rPr>
          <w:lang w:val="hy-AM"/>
        </w:rPr>
        <w:t>ներառվել</w:t>
      </w:r>
      <w:r w:rsidRPr="004C6A11">
        <w:rPr>
          <w:lang w:val="sk-SK"/>
        </w:rPr>
        <w:t xml:space="preserve"> </w:t>
      </w:r>
      <w:r w:rsidRPr="008624F6">
        <w:rPr>
          <w:lang w:val="hy-AM"/>
        </w:rPr>
        <w:t>հաջորդ</w:t>
      </w:r>
      <w:r w:rsidRPr="004C6A11">
        <w:rPr>
          <w:lang w:val="sk-SK"/>
        </w:rPr>
        <w:t xml:space="preserve"> </w:t>
      </w:r>
      <w:r w:rsidRPr="008624F6">
        <w:rPr>
          <w:lang w:val="hy-AM"/>
        </w:rPr>
        <w:t>տարվա</w:t>
      </w:r>
      <w:r w:rsidRPr="004C6A11">
        <w:rPr>
          <w:lang w:val="sk-SK"/>
        </w:rPr>
        <w:t xml:space="preserve"> </w:t>
      </w:r>
      <w:r w:rsidRPr="008624F6">
        <w:rPr>
          <w:lang w:val="hy-AM"/>
        </w:rPr>
        <w:t>կանխատեսումների</w:t>
      </w:r>
      <w:r w:rsidRPr="004C6A11">
        <w:rPr>
          <w:lang w:val="sk-SK"/>
        </w:rPr>
        <w:t xml:space="preserve"> </w:t>
      </w:r>
      <w:r w:rsidRPr="008624F6">
        <w:rPr>
          <w:lang w:val="hy-AM"/>
        </w:rPr>
        <w:t>մոդելներում</w:t>
      </w:r>
      <w:r w:rsidRPr="004C6A11">
        <w:rPr>
          <w:lang w:val="sk-SK"/>
        </w:rPr>
        <w:t>:</w:t>
      </w:r>
      <w:r w:rsidRPr="00117D85">
        <w:rPr>
          <w:sz w:val="18"/>
          <w:lang w:val="sk-SK"/>
        </w:rPr>
        <w:t xml:space="preserve"> </w:t>
      </w:r>
    </w:p>
  </w:footnote>
  <w:footnote w:id="17">
    <w:p w:rsidR="000C4EB4" w:rsidRDefault="000C4EB4" w:rsidP="00FE673E">
      <w:pPr>
        <w:pStyle w:val="FootnoteText"/>
        <w:rPr>
          <w:lang w:val="ro-RO"/>
        </w:rPr>
      </w:pPr>
      <w:r>
        <w:rPr>
          <w:rStyle w:val="FootnoteReference"/>
          <w:rFonts w:eastAsiaTheme="majorEastAsia"/>
        </w:rPr>
        <w:footnoteRef/>
      </w:r>
      <w:r w:rsidRPr="007D33E8">
        <w:rPr>
          <w:lang w:val="sk-SK"/>
        </w:rPr>
        <w:t xml:space="preserve"> </w:t>
      </w:r>
      <w:r>
        <w:t>ՀՆԱ</w:t>
      </w:r>
      <w:r>
        <w:rPr>
          <w:lang w:val="ro-RO"/>
        </w:rPr>
        <w:t xml:space="preserve">, </w:t>
      </w:r>
      <w:r>
        <w:t>ներմուծման</w:t>
      </w:r>
      <w:r>
        <w:rPr>
          <w:lang w:val="ro-RO"/>
        </w:rPr>
        <w:t xml:space="preserve">, </w:t>
      </w:r>
      <w:r>
        <w:t>փոխարժեքի</w:t>
      </w:r>
      <w:r>
        <w:rPr>
          <w:lang w:val="sk-SK"/>
        </w:rPr>
        <w:t xml:space="preserve"> </w:t>
      </w:r>
      <w:r>
        <w:t>և</w:t>
      </w:r>
      <w:r>
        <w:rPr>
          <w:lang w:val="sk-SK"/>
        </w:rPr>
        <w:t xml:space="preserve"> </w:t>
      </w:r>
      <w:r>
        <w:t>գների</w:t>
      </w:r>
      <w:r>
        <w:rPr>
          <w:lang w:val="sk-SK"/>
        </w:rPr>
        <w:t xml:space="preserve"> </w:t>
      </w:r>
      <w:r>
        <w:t>գծով</w:t>
      </w:r>
      <w:r>
        <w:rPr>
          <w:lang w:val="sk-SK"/>
        </w:rPr>
        <w:t xml:space="preserve"> </w:t>
      </w:r>
      <w:r>
        <w:t>հավանական</w:t>
      </w:r>
      <w:r>
        <w:rPr>
          <w:lang w:val="sk-SK"/>
        </w:rPr>
        <w:t xml:space="preserve"> </w:t>
      </w:r>
      <w:r>
        <w:t>ռիսկերի</w:t>
      </w:r>
      <w:r>
        <w:rPr>
          <w:lang w:val="sk-SK"/>
        </w:rPr>
        <w:t xml:space="preserve"> </w:t>
      </w:r>
      <w:r>
        <w:t>քանակային</w:t>
      </w:r>
      <w:r>
        <w:rPr>
          <w:lang w:val="sk-SK"/>
        </w:rPr>
        <w:t xml:space="preserve"> </w:t>
      </w:r>
      <w:r>
        <w:t>գնահատականը</w:t>
      </w:r>
      <w:r>
        <w:rPr>
          <w:lang w:val="sk-SK"/>
        </w:rPr>
        <w:t xml:space="preserve"> </w:t>
      </w:r>
      <w:r>
        <w:t>ստացվել</w:t>
      </w:r>
      <w:r>
        <w:rPr>
          <w:lang w:val="sk-SK"/>
        </w:rPr>
        <w:t xml:space="preserve"> </w:t>
      </w:r>
      <w:r>
        <w:t>է</w:t>
      </w:r>
      <w:r>
        <w:rPr>
          <w:lang w:val="sk-SK"/>
        </w:rPr>
        <w:t xml:space="preserve">` </w:t>
      </w:r>
      <w:r>
        <w:t>հիմք</w:t>
      </w:r>
      <w:r>
        <w:rPr>
          <w:lang w:val="sk-SK"/>
        </w:rPr>
        <w:t xml:space="preserve"> ըն</w:t>
      </w:r>
      <w:r>
        <w:t>դունելով</w:t>
      </w:r>
      <w:r>
        <w:rPr>
          <w:lang w:val="sk-SK"/>
        </w:rPr>
        <w:t xml:space="preserve"> </w:t>
      </w:r>
      <w:r>
        <w:t>այս</w:t>
      </w:r>
      <w:r>
        <w:rPr>
          <w:lang w:val="sk-SK"/>
        </w:rPr>
        <w:t xml:space="preserve"> </w:t>
      </w:r>
      <w:r>
        <w:t>գործոնների</w:t>
      </w:r>
      <w:r>
        <w:rPr>
          <w:lang w:val="sk-SK"/>
        </w:rPr>
        <w:t xml:space="preserve"> </w:t>
      </w:r>
      <w:r>
        <w:t>պատմական</w:t>
      </w:r>
      <w:r>
        <w:rPr>
          <w:lang w:val="sk-SK"/>
        </w:rPr>
        <w:t xml:space="preserve"> </w:t>
      </w:r>
      <w:r>
        <w:t>շարժի</w:t>
      </w:r>
      <w:r>
        <w:rPr>
          <w:lang w:val="sk-SK"/>
        </w:rPr>
        <w:t xml:space="preserve"> </w:t>
      </w:r>
      <w:r>
        <w:t>բացարձակ</w:t>
      </w:r>
      <w:r>
        <w:rPr>
          <w:lang w:val="sk-SK"/>
        </w:rPr>
        <w:t xml:space="preserve"> </w:t>
      </w:r>
      <w:r>
        <w:t>միջին</w:t>
      </w:r>
      <w:r>
        <w:rPr>
          <w:lang w:val="sk-SK"/>
        </w:rPr>
        <w:t xml:space="preserve"> </w:t>
      </w:r>
      <w:r>
        <w:t>սխալը</w:t>
      </w:r>
      <w:r>
        <w:rPr>
          <w:lang w:val="ro-RO"/>
        </w:rPr>
        <w:t>:</w:t>
      </w:r>
    </w:p>
  </w:footnote>
  <w:footnote w:id="18">
    <w:p w:rsidR="000C4EB4" w:rsidRDefault="000C4EB4" w:rsidP="00FE673E">
      <w:pPr>
        <w:spacing w:line="240" w:lineRule="auto"/>
        <w:rPr>
          <w:rFonts w:cs="Sylfaen"/>
          <w:i/>
          <w:sz w:val="16"/>
          <w:szCs w:val="16"/>
          <w:lang w:val="ro-RO"/>
        </w:rPr>
      </w:pPr>
      <w:r>
        <w:rPr>
          <w:rStyle w:val="FootnoteReference"/>
          <w:sz w:val="16"/>
          <w:szCs w:val="16"/>
        </w:rPr>
        <w:footnoteRef/>
      </w:r>
      <w:r>
        <w:rPr>
          <w:rFonts w:cs="Sylfaen"/>
          <w:sz w:val="16"/>
          <w:szCs w:val="16"/>
        </w:rPr>
        <w:t>Հարկային</w:t>
      </w:r>
      <w:r>
        <w:rPr>
          <w:rFonts w:cs="Sylfaen"/>
          <w:sz w:val="16"/>
          <w:szCs w:val="16"/>
          <w:lang w:val="ro-RO"/>
        </w:rPr>
        <w:t xml:space="preserve"> </w:t>
      </w:r>
      <w:r>
        <w:rPr>
          <w:rFonts w:cs="Sylfaen"/>
          <w:sz w:val="16"/>
          <w:szCs w:val="16"/>
        </w:rPr>
        <w:t>եկամուտների</w:t>
      </w:r>
      <w:r>
        <w:rPr>
          <w:rFonts w:cs="Sylfaen"/>
          <w:sz w:val="16"/>
          <w:szCs w:val="16"/>
          <w:lang w:val="ro-RO"/>
        </w:rPr>
        <w:t xml:space="preserve"> </w:t>
      </w:r>
      <w:r>
        <w:rPr>
          <w:rFonts w:cs="Sylfaen"/>
          <w:sz w:val="16"/>
          <w:szCs w:val="16"/>
        </w:rPr>
        <w:t>գծով</w:t>
      </w:r>
      <w:r>
        <w:rPr>
          <w:rFonts w:cs="Sylfaen"/>
          <w:sz w:val="16"/>
          <w:szCs w:val="16"/>
          <w:lang w:val="ro-RO"/>
        </w:rPr>
        <w:t xml:space="preserve"> </w:t>
      </w:r>
      <w:r>
        <w:rPr>
          <w:rFonts w:cs="Sylfaen"/>
          <w:sz w:val="16"/>
          <w:szCs w:val="16"/>
        </w:rPr>
        <w:t>ռիսկերի</w:t>
      </w:r>
      <w:r>
        <w:rPr>
          <w:rFonts w:cs="Sylfaen"/>
          <w:sz w:val="16"/>
          <w:szCs w:val="16"/>
          <w:lang w:val="ro-RO"/>
        </w:rPr>
        <w:t xml:space="preserve"> ազդեցության </w:t>
      </w:r>
      <w:r>
        <w:rPr>
          <w:rFonts w:cs="Sylfaen"/>
          <w:sz w:val="16"/>
          <w:szCs w:val="16"/>
        </w:rPr>
        <w:t>գնահատականը</w:t>
      </w:r>
      <w:r>
        <w:rPr>
          <w:rFonts w:cs="Sylfaen"/>
          <w:sz w:val="16"/>
          <w:szCs w:val="16"/>
          <w:lang w:val="ro-RO"/>
        </w:rPr>
        <w:t xml:space="preserve"> </w:t>
      </w:r>
      <w:r>
        <w:rPr>
          <w:rFonts w:cs="Sylfaen"/>
          <w:sz w:val="16"/>
          <w:szCs w:val="16"/>
        </w:rPr>
        <w:t>կառուցվել</w:t>
      </w:r>
      <w:r>
        <w:rPr>
          <w:rFonts w:cs="Sylfaen"/>
          <w:sz w:val="16"/>
          <w:szCs w:val="16"/>
          <w:lang w:val="ro-RO"/>
        </w:rPr>
        <w:t xml:space="preserve"> </w:t>
      </w:r>
      <w:r>
        <w:rPr>
          <w:rFonts w:cs="Sylfaen"/>
          <w:sz w:val="16"/>
          <w:szCs w:val="16"/>
        </w:rPr>
        <w:t>է</w:t>
      </w:r>
      <w:r>
        <w:rPr>
          <w:rFonts w:cs="Sylfaen"/>
          <w:sz w:val="16"/>
          <w:szCs w:val="16"/>
          <w:lang w:val="ro-RO"/>
        </w:rPr>
        <w:t xml:space="preserve"> </w:t>
      </w:r>
      <w:r>
        <w:rPr>
          <w:rFonts w:cs="Sylfaen"/>
          <w:sz w:val="16"/>
          <w:szCs w:val="16"/>
        </w:rPr>
        <w:t>ՀՀ</w:t>
      </w:r>
      <w:r>
        <w:rPr>
          <w:rFonts w:cs="Sylfaen"/>
          <w:sz w:val="16"/>
          <w:szCs w:val="16"/>
          <w:lang w:val="ro-RO"/>
        </w:rPr>
        <w:t xml:space="preserve"> ֆ</w:t>
      </w:r>
      <w:r>
        <w:rPr>
          <w:rFonts w:cs="Sylfaen"/>
          <w:sz w:val="16"/>
          <w:szCs w:val="16"/>
        </w:rPr>
        <w:t>ինանսների</w:t>
      </w:r>
      <w:r>
        <w:rPr>
          <w:rFonts w:cs="Sylfaen"/>
          <w:sz w:val="16"/>
          <w:szCs w:val="16"/>
          <w:lang w:val="ro-RO"/>
        </w:rPr>
        <w:t xml:space="preserve"> </w:t>
      </w:r>
      <w:r>
        <w:rPr>
          <w:rFonts w:cs="Sylfaen"/>
          <w:sz w:val="16"/>
          <w:szCs w:val="16"/>
        </w:rPr>
        <w:t>նախարարության</w:t>
      </w:r>
      <w:r>
        <w:rPr>
          <w:rFonts w:cs="Sylfaen"/>
          <w:sz w:val="16"/>
          <w:szCs w:val="16"/>
          <w:lang w:val="ro-RO"/>
        </w:rPr>
        <w:t xml:space="preserve"> </w:t>
      </w:r>
      <w:r>
        <w:rPr>
          <w:rFonts w:cs="Sylfaen"/>
          <w:sz w:val="16"/>
          <w:szCs w:val="16"/>
        </w:rPr>
        <w:t>ռիսկերի</w:t>
      </w:r>
      <w:r>
        <w:rPr>
          <w:rFonts w:cs="Sylfaen"/>
          <w:sz w:val="16"/>
          <w:szCs w:val="16"/>
          <w:lang w:val="ro-RO"/>
        </w:rPr>
        <w:t xml:space="preserve"> </w:t>
      </w:r>
      <w:r>
        <w:rPr>
          <w:rFonts w:cs="Sylfaen"/>
          <w:sz w:val="16"/>
          <w:szCs w:val="16"/>
        </w:rPr>
        <w:t>գնահատման</w:t>
      </w:r>
      <w:r>
        <w:rPr>
          <w:rFonts w:cs="Sylfaen"/>
          <w:sz w:val="16"/>
          <w:szCs w:val="16"/>
          <w:lang w:val="ro-RO"/>
        </w:rPr>
        <w:t xml:space="preserve"> </w:t>
      </w:r>
      <w:r>
        <w:rPr>
          <w:rFonts w:cs="Sylfaen"/>
          <w:sz w:val="16"/>
          <w:szCs w:val="16"/>
        </w:rPr>
        <w:t>համակարգի</w:t>
      </w:r>
      <w:r>
        <w:rPr>
          <w:rFonts w:cs="Sylfaen"/>
          <w:sz w:val="16"/>
          <w:szCs w:val="16"/>
          <w:lang w:val="ro-RO"/>
        </w:rPr>
        <w:t xml:space="preserve"> </w:t>
      </w:r>
      <w:r>
        <w:rPr>
          <w:rFonts w:cs="Sylfaen"/>
          <w:sz w:val="16"/>
          <w:szCs w:val="16"/>
        </w:rPr>
        <w:t>ներքո</w:t>
      </w:r>
      <w:r>
        <w:rPr>
          <w:rFonts w:cs="Sylfaen"/>
          <w:sz w:val="16"/>
          <w:szCs w:val="16"/>
          <w:lang w:val="ro-RO"/>
        </w:rPr>
        <w:t xml:space="preserve"> </w:t>
      </w:r>
      <w:r>
        <w:rPr>
          <w:rFonts w:cs="Sylfaen"/>
          <w:sz w:val="16"/>
          <w:szCs w:val="16"/>
        </w:rPr>
        <w:t>կառուցված</w:t>
      </w:r>
      <w:r>
        <w:rPr>
          <w:rFonts w:cs="Sylfaen"/>
          <w:sz w:val="16"/>
          <w:szCs w:val="16"/>
          <w:lang w:val="ro-RO"/>
        </w:rPr>
        <w:t xml:space="preserve"> </w:t>
      </w:r>
      <w:r>
        <w:rPr>
          <w:rFonts w:cs="Sylfaen"/>
          <w:sz w:val="16"/>
          <w:szCs w:val="16"/>
        </w:rPr>
        <w:t>մոդելի</w:t>
      </w:r>
      <w:r>
        <w:rPr>
          <w:rFonts w:cs="Sylfaen"/>
          <w:sz w:val="16"/>
          <w:szCs w:val="16"/>
          <w:lang w:val="ro-RO"/>
        </w:rPr>
        <w:t xml:space="preserve"> </w:t>
      </w:r>
      <w:r>
        <w:rPr>
          <w:rFonts w:cs="Sylfaen"/>
          <w:sz w:val="16"/>
          <w:szCs w:val="16"/>
        </w:rPr>
        <w:t>հիման</w:t>
      </w:r>
      <w:r>
        <w:rPr>
          <w:rFonts w:cs="Sylfaen"/>
          <w:sz w:val="16"/>
          <w:szCs w:val="16"/>
          <w:lang w:val="ro-RO"/>
        </w:rPr>
        <w:t xml:space="preserve"> </w:t>
      </w:r>
      <w:r>
        <w:rPr>
          <w:rFonts w:cs="Sylfaen"/>
          <w:sz w:val="16"/>
          <w:szCs w:val="16"/>
        </w:rPr>
        <w:t>վրա</w:t>
      </w:r>
      <w:r>
        <w:rPr>
          <w:rFonts w:cs="Sylfaen"/>
          <w:sz w:val="16"/>
          <w:szCs w:val="16"/>
          <w:lang w:val="ro-RO"/>
        </w:rPr>
        <w:t>:</w:t>
      </w:r>
      <w:r>
        <w:rPr>
          <w:rFonts w:cs="Sylfaen"/>
          <w:i/>
          <w:sz w:val="16"/>
          <w:szCs w:val="16"/>
          <w:lang w:val="ro-RO"/>
        </w:rPr>
        <w:t xml:space="preserve"> </w:t>
      </w:r>
    </w:p>
  </w:footnote>
  <w:footnote w:id="19">
    <w:p w:rsidR="000C4EB4" w:rsidRPr="00CA4440" w:rsidRDefault="000C4EB4" w:rsidP="00FE673E">
      <w:pPr>
        <w:pStyle w:val="FootnoteText"/>
        <w:rPr>
          <w:sz w:val="14"/>
          <w:lang w:val="ro-RO"/>
        </w:rPr>
      </w:pPr>
      <w:r w:rsidRPr="00CA4440">
        <w:rPr>
          <w:rStyle w:val="FootnoteReference"/>
          <w:rFonts w:eastAsiaTheme="majorEastAsia"/>
          <w:sz w:val="18"/>
        </w:rPr>
        <w:footnoteRef/>
      </w:r>
      <w:r w:rsidRPr="00CA4440">
        <w:rPr>
          <w:sz w:val="18"/>
        </w:rPr>
        <w:t>Հավանականային</w:t>
      </w:r>
      <w:r w:rsidRPr="00CA4440">
        <w:rPr>
          <w:sz w:val="18"/>
          <w:lang w:val="ro-RO"/>
        </w:rPr>
        <w:t xml:space="preserve"> </w:t>
      </w:r>
      <w:r w:rsidRPr="00CA4440">
        <w:rPr>
          <w:sz w:val="18"/>
        </w:rPr>
        <w:t>կանխատեսման</w:t>
      </w:r>
      <w:r w:rsidRPr="00CA4440">
        <w:rPr>
          <w:sz w:val="18"/>
          <w:lang w:val="ro-RO"/>
        </w:rPr>
        <w:t xml:space="preserve"> </w:t>
      </w:r>
      <w:r w:rsidRPr="00CA4440">
        <w:rPr>
          <w:sz w:val="18"/>
        </w:rPr>
        <w:t>գրաֆիկի</w:t>
      </w:r>
      <w:r w:rsidRPr="00CA4440">
        <w:rPr>
          <w:sz w:val="18"/>
          <w:lang w:val="ro-RO"/>
        </w:rPr>
        <w:t xml:space="preserve"> </w:t>
      </w:r>
      <w:r w:rsidRPr="00CA4440">
        <w:rPr>
          <w:sz w:val="18"/>
        </w:rPr>
        <w:t>կառուցման</w:t>
      </w:r>
      <w:r w:rsidRPr="00CA4440">
        <w:rPr>
          <w:sz w:val="18"/>
          <w:lang w:val="ro-RO"/>
        </w:rPr>
        <w:t xml:space="preserve"> </w:t>
      </w:r>
      <w:r w:rsidRPr="00CA4440">
        <w:rPr>
          <w:sz w:val="18"/>
        </w:rPr>
        <w:t>ընդհանուր</w:t>
      </w:r>
      <w:r w:rsidRPr="00CA4440">
        <w:rPr>
          <w:sz w:val="18"/>
          <w:lang w:val="ro-RO"/>
        </w:rPr>
        <w:t xml:space="preserve"> </w:t>
      </w:r>
      <w:r w:rsidRPr="00CA4440">
        <w:rPr>
          <w:sz w:val="18"/>
        </w:rPr>
        <w:t>մեթոդաբանությունը</w:t>
      </w:r>
      <w:r w:rsidRPr="00CA4440">
        <w:rPr>
          <w:sz w:val="18"/>
          <w:lang w:val="ro-RO"/>
        </w:rPr>
        <w:t xml:space="preserve"> </w:t>
      </w:r>
      <w:r w:rsidRPr="00CA4440">
        <w:rPr>
          <w:sz w:val="18"/>
        </w:rPr>
        <w:t>ներկայացված</w:t>
      </w:r>
      <w:r w:rsidRPr="00CA4440">
        <w:rPr>
          <w:sz w:val="18"/>
          <w:lang w:val="ro-RO"/>
        </w:rPr>
        <w:t xml:space="preserve"> </w:t>
      </w:r>
      <w:r w:rsidRPr="00CA4440">
        <w:rPr>
          <w:sz w:val="18"/>
        </w:rPr>
        <w:t>է</w:t>
      </w:r>
      <w:r w:rsidRPr="00CA4440">
        <w:rPr>
          <w:sz w:val="18"/>
          <w:lang w:val="ro-RO"/>
        </w:rPr>
        <w:t xml:space="preserve"> </w:t>
      </w:r>
      <w:r w:rsidRPr="00CA4440">
        <w:rPr>
          <w:sz w:val="18"/>
        </w:rPr>
        <w:t>Ներդիր</w:t>
      </w:r>
      <w:r>
        <w:rPr>
          <w:sz w:val="18"/>
          <w:lang w:val="hy-AM"/>
        </w:rPr>
        <w:t>ում</w:t>
      </w:r>
      <w:r w:rsidRPr="00CA4440">
        <w:rPr>
          <w:sz w:val="18"/>
          <w:lang w:val="ro-RO"/>
        </w:rPr>
        <w:t>:</w:t>
      </w:r>
    </w:p>
  </w:footnote>
  <w:footnote w:id="20">
    <w:p w:rsidR="000C4EB4" w:rsidRPr="00010E8E" w:rsidRDefault="000C4EB4" w:rsidP="00FE673E">
      <w:pPr>
        <w:pStyle w:val="FootnoteText"/>
        <w:rPr>
          <w:lang w:val="ro-RO"/>
        </w:rPr>
      </w:pPr>
      <w:r w:rsidRPr="00010E8E">
        <w:rPr>
          <w:rStyle w:val="FootnoteReference"/>
        </w:rPr>
        <w:footnoteRef/>
      </w:r>
      <w:r>
        <w:rPr>
          <w:lang w:val="ro-RO"/>
        </w:rPr>
        <w:t xml:space="preserve"> </w:t>
      </w:r>
      <w:r w:rsidRPr="00010E8E">
        <w:rPr>
          <w:lang w:val="ro-RO"/>
        </w:rPr>
        <w:t>Ընդհանուր ազդեցության գնահատականը հիմնված է մակրոտնտեսական ռիսկերի առանձին հանդես գալու ենթադրության վրա:</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9AC5A72"/>
    <w:lvl w:ilvl="0">
      <w:start w:val="1"/>
      <w:numFmt w:val="decimal"/>
      <w:pStyle w:val="ListNumber"/>
      <w:lvlText w:val="%1."/>
      <w:lvlJc w:val="left"/>
      <w:pPr>
        <w:tabs>
          <w:tab w:val="num" w:pos="540"/>
        </w:tabs>
        <w:ind w:left="540" w:hanging="360"/>
      </w:pPr>
    </w:lvl>
  </w:abstractNum>
  <w:abstractNum w:abstractNumId="1" w15:restartNumberingAfterBreak="0">
    <w:nsid w:val="02B75C54"/>
    <w:multiLevelType w:val="hybridMultilevel"/>
    <w:tmpl w:val="2064E2B8"/>
    <w:lvl w:ilvl="0" w:tplc="04190001">
      <w:start w:val="1"/>
      <w:numFmt w:val="bullet"/>
      <w:lvlText w:val=""/>
      <w:lvlJc w:val="left"/>
      <w:pPr>
        <w:ind w:left="2232" w:hanging="360"/>
      </w:pPr>
      <w:rPr>
        <w:rFonts w:ascii="Symbol" w:hAnsi="Symbol" w:hint="default"/>
      </w:rPr>
    </w:lvl>
    <w:lvl w:ilvl="1" w:tplc="04190003" w:tentative="1">
      <w:start w:val="1"/>
      <w:numFmt w:val="bullet"/>
      <w:lvlText w:val="o"/>
      <w:lvlJc w:val="left"/>
      <w:pPr>
        <w:ind w:left="2952" w:hanging="360"/>
      </w:pPr>
      <w:rPr>
        <w:rFonts w:ascii="Courier New" w:hAnsi="Courier New" w:cs="Courier New" w:hint="default"/>
      </w:rPr>
    </w:lvl>
    <w:lvl w:ilvl="2" w:tplc="04190005" w:tentative="1">
      <w:start w:val="1"/>
      <w:numFmt w:val="bullet"/>
      <w:lvlText w:val=""/>
      <w:lvlJc w:val="left"/>
      <w:pPr>
        <w:ind w:left="3672" w:hanging="360"/>
      </w:pPr>
      <w:rPr>
        <w:rFonts w:ascii="Wingdings" w:hAnsi="Wingdings" w:hint="default"/>
      </w:rPr>
    </w:lvl>
    <w:lvl w:ilvl="3" w:tplc="04190001" w:tentative="1">
      <w:start w:val="1"/>
      <w:numFmt w:val="bullet"/>
      <w:lvlText w:val=""/>
      <w:lvlJc w:val="left"/>
      <w:pPr>
        <w:ind w:left="4392" w:hanging="360"/>
      </w:pPr>
      <w:rPr>
        <w:rFonts w:ascii="Symbol" w:hAnsi="Symbol" w:hint="default"/>
      </w:rPr>
    </w:lvl>
    <w:lvl w:ilvl="4" w:tplc="04190003" w:tentative="1">
      <w:start w:val="1"/>
      <w:numFmt w:val="bullet"/>
      <w:lvlText w:val="o"/>
      <w:lvlJc w:val="left"/>
      <w:pPr>
        <w:ind w:left="5112" w:hanging="360"/>
      </w:pPr>
      <w:rPr>
        <w:rFonts w:ascii="Courier New" w:hAnsi="Courier New" w:cs="Courier New" w:hint="default"/>
      </w:rPr>
    </w:lvl>
    <w:lvl w:ilvl="5" w:tplc="04190005" w:tentative="1">
      <w:start w:val="1"/>
      <w:numFmt w:val="bullet"/>
      <w:lvlText w:val=""/>
      <w:lvlJc w:val="left"/>
      <w:pPr>
        <w:ind w:left="5832" w:hanging="360"/>
      </w:pPr>
      <w:rPr>
        <w:rFonts w:ascii="Wingdings" w:hAnsi="Wingdings" w:hint="default"/>
      </w:rPr>
    </w:lvl>
    <w:lvl w:ilvl="6" w:tplc="04190001" w:tentative="1">
      <w:start w:val="1"/>
      <w:numFmt w:val="bullet"/>
      <w:lvlText w:val=""/>
      <w:lvlJc w:val="left"/>
      <w:pPr>
        <w:ind w:left="6552" w:hanging="360"/>
      </w:pPr>
      <w:rPr>
        <w:rFonts w:ascii="Symbol" w:hAnsi="Symbol" w:hint="default"/>
      </w:rPr>
    </w:lvl>
    <w:lvl w:ilvl="7" w:tplc="04190003" w:tentative="1">
      <w:start w:val="1"/>
      <w:numFmt w:val="bullet"/>
      <w:lvlText w:val="o"/>
      <w:lvlJc w:val="left"/>
      <w:pPr>
        <w:ind w:left="7272" w:hanging="360"/>
      </w:pPr>
      <w:rPr>
        <w:rFonts w:ascii="Courier New" w:hAnsi="Courier New" w:cs="Courier New" w:hint="default"/>
      </w:rPr>
    </w:lvl>
    <w:lvl w:ilvl="8" w:tplc="04190005" w:tentative="1">
      <w:start w:val="1"/>
      <w:numFmt w:val="bullet"/>
      <w:lvlText w:val=""/>
      <w:lvlJc w:val="left"/>
      <w:pPr>
        <w:ind w:left="7992" w:hanging="360"/>
      </w:pPr>
      <w:rPr>
        <w:rFonts w:ascii="Wingdings" w:hAnsi="Wingdings" w:hint="default"/>
      </w:rPr>
    </w:lvl>
  </w:abstractNum>
  <w:abstractNum w:abstractNumId="2"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722457"/>
    <w:multiLevelType w:val="hybridMultilevel"/>
    <w:tmpl w:val="A93E18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6CD1E6F"/>
    <w:multiLevelType w:val="hybridMultilevel"/>
    <w:tmpl w:val="908CCCA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9A402E7"/>
    <w:multiLevelType w:val="hybridMultilevel"/>
    <w:tmpl w:val="FCC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F13E3"/>
    <w:multiLevelType w:val="hybridMultilevel"/>
    <w:tmpl w:val="378AFE16"/>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7" w15:restartNumberingAfterBreak="0">
    <w:nsid w:val="0EF45B06"/>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9E7A5A"/>
    <w:multiLevelType w:val="singleLevel"/>
    <w:tmpl w:val="4EDA947C"/>
    <w:lvl w:ilvl="0">
      <w:start w:val="1"/>
      <w:numFmt w:val="decimal"/>
      <w:pStyle w:val="a"/>
      <w:lvlText w:val="%1."/>
      <w:lvlJc w:val="left"/>
      <w:pPr>
        <w:tabs>
          <w:tab w:val="num" w:pos="360"/>
        </w:tabs>
        <w:ind w:left="360" w:hanging="360"/>
      </w:pPr>
      <w:rPr>
        <w:rFonts w:hint="default"/>
      </w:rPr>
    </w:lvl>
  </w:abstractNum>
  <w:abstractNum w:abstractNumId="9" w15:restartNumberingAfterBreak="0">
    <w:nsid w:val="130D7EEA"/>
    <w:multiLevelType w:val="multilevel"/>
    <w:tmpl w:val="651C41B8"/>
    <w:lvl w:ilvl="0">
      <w:start w:val="1"/>
      <w:numFmt w:val="bullet"/>
      <w:lvlText w:val="-"/>
      <w:lvlJc w:val="left"/>
      <w:pPr>
        <w:ind w:left="810" w:hanging="360"/>
      </w:pPr>
      <w:rPr>
        <w:rFonts w:ascii="Calibri" w:eastAsia="Calibri" w:hAnsi="Calibri" w:cs="Times New Roman" w:hint="default"/>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0" w15:restartNumberingAfterBreak="0">
    <w:nsid w:val="13722558"/>
    <w:multiLevelType w:val="hybridMultilevel"/>
    <w:tmpl w:val="AF04D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1102F3"/>
    <w:multiLevelType w:val="hybridMultilevel"/>
    <w:tmpl w:val="488465AC"/>
    <w:lvl w:ilvl="0" w:tplc="BFE8DE78">
      <w:numFmt w:val="bullet"/>
      <w:lvlText w:val="-"/>
      <w:lvlJc w:val="left"/>
      <w:pPr>
        <w:ind w:left="720" w:hanging="360"/>
      </w:pPr>
      <w:rPr>
        <w:rFonts w:ascii="GHEA Grapalat" w:eastAsiaTheme="minorHAnsi" w:hAnsi="GHEA Grapala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35888"/>
    <w:multiLevelType w:val="hybridMultilevel"/>
    <w:tmpl w:val="1ECE14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15187AA5"/>
    <w:multiLevelType w:val="hybridMultilevel"/>
    <w:tmpl w:val="7A7C69D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DA42A0"/>
    <w:multiLevelType w:val="multilevel"/>
    <w:tmpl w:val="7F544044"/>
    <w:lvl w:ilvl="0">
      <w:start w:val="1"/>
      <w:numFmt w:val="bullet"/>
      <w:lvlText w:val="-"/>
      <w:lvlJc w:val="left"/>
      <w:pPr>
        <w:tabs>
          <w:tab w:val="num" w:pos="0"/>
        </w:tabs>
        <w:ind w:left="1287" w:hanging="360"/>
      </w:pPr>
      <w:rPr>
        <w:rFonts w:ascii="Calibri" w:eastAsia="Calibri" w:hAnsi="Calibri" w:cs="Times New Roman" w:hint="default"/>
        <w:lang w:val="hy-AM"/>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6" w15:restartNumberingAfterBreak="0">
    <w:nsid w:val="1CC43F71"/>
    <w:multiLevelType w:val="multilevel"/>
    <w:tmpl w:val="4A620A90"/>
    <w:lvl w:ilvl="0">
      <w:start w:val="1"/>
      <w:numFmt w:val="bullet"/>
      <w:lvlText w:val="-"/>
      <w:lvlJc w:val="left"/>
      <w:pPr>
        <w:tabs>
          <w:tab w:val="num" w:pos="0"/>
        </w:tabs>
        <w:ind w:left="1287" w:hanging="360"/>
      </w:pPr>
      <w:rPr>
        <w:rFonts w:ascii="Calibri" w:eastAsia="Calibri" w:hAnsi="Calibri" w:cs="Times New Roman" w:hint="default"/>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17" w15:restartNumberingAfterBreak="0">
    <w:nsid w:val="211A2421"/>
    <w:multiLevelType w:val="hybridMultilevel"/>
    <w:tmpl w:val="3CBA11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A707DA"/>
    <w:multiLevelType w:val="hybridMultilevel"/>
    <w:tmpl w:val="E7566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F9677B"/>
    <w:multiLevelType w:val="hybridMultilevel"/>
    <w:tmpl w:val="5FC0DC7E"/>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254D5A"/>
    <w:multiLevelType w:val="hybridMultilevel"/>
    <w:tmpl w:val="928A28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1" w15:restartNumberingAfterBreak="0">
    <w:nsid w:val="2917017C"/>
    <w:multiLevelType w:val="hybridMultilevel"/>
    <w:tmpl w:val="ACDCF2B4"/>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4393C"/>
    <w:multiLevelType w:val="hybridMultilevel"/>
    <w:tmpl w:val="71B498EA"/>
    <w:lvl w:ilvl="0" w:tplc="C264FA00">
      <w:start w:val="25"/>
      <w:numFmt w:val="bullet"/>
      <w:lvlText w:val="-"/>
      <w:lvlJc w:val="left"/>
      <w:pPr>
        <w:ind w:left="720" w:hanging="360"/>
      </w:pPr>
      <w:rPr>
        <w:rFonts w:ascii="GHEA Grapalat" w:eastAsia="Calibri"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4"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F63321"/>
    <w:multiLevelType w:val="hybridMultilevel"/>
    <w:tmpl w:val="6EC02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A07674E"/>
    <w:multiLevelType w:val="hybridMultilevel"/>
    <w:tmpl w:val="D2D6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8841CD"/>
    <w:multiLevelType w:val="hybridMultilevel"/>
    <w:tmpl w:val="27D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F73C11"/>
    <w:multiLevelType w:val="hybridMultilevel"/>
    <w:tmpl w:val="3FF27296"/>
    <w:lvl w:ilvl="0" w:tplc="04090011">
      <w:start w:val="1"/>
      <w:numFmt w:val="decimal"/>
      <w:lvlText w:val="%1)"/>
      <w:lvlJc w:val="left"/>
      <w:pPr>
        <w:ind w:left="126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3E272D1A"/>
    <w:multiLevelType w:val="hybridMultilevel"/>
    <w:tmpl w:val="EA94F14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4232AC"/>
    <w:multiLevelType w:val="hybridMultilevel"/>
    <w:tmpl w:val="5DEEE422"/>
    <w:lvl w:ilvl="0" w:tplc="8CF404C4">
      <w:start w:val="1"/>
      <w:numFmt w:val="bullet"/>
      <w:lvlText w:val=""/>
      <w:lvlJc w:val="center"/>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4151125A"/>
    <w:multiLevelType w:val="hybridMultilevel"/>
    <w:tmpl w:val="C1C2C75C"/>
    <w:lvl w:ilvl="0" w:tplc="DE0C3140">
      <w:start w:val="5"/>
      <w:numFmt w:val="bullet"/>
      <w:lvlText w:val="-"/>
      <w:lvlJc w:val="left"/>
      <w:pPr>
        <w:ind w:left="1080" w:hanging="360"/>
      </w:pPr>
      <w:rPr>
        <w:rFonts w:ascii="GHEA Grapalat" w:eastAsiaTheme="minorHAnsi" w:hAnsi="GHEA Grapalat"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3013C07"/>
    <w:multiLevelType w:val="hybridMultilevel"/>
    <w:tmpl w:val="523E753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43C765F3"/>
    <w:multiLevelType w:val="hybridMultilevel"/>
    <w:tmpl w:val="6290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5C96D0B"/>
    <w:multiLevelType w:val="hybridMultilevel"/>
    <w:tmpl w:val="563228B4"/>
    <w:lvl w:ilvl="0" w:tplc="37A874F4">
      <w:start w:val="1"/>
      <w:numFmt w:val="upperRoman"/>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70A0543"/>
    <w:multiLevelType w:val="hybridMultilevel"/>
    <w:tmpl w:val="FCB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A83B6C"/>
    <w:multiLevelType w:val="hybridMultilevel"/>
    <w:tmpl w:val="7974E5D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2" w15:restartNumberingAfterBreak="0">
    <w:nsid w:val="556D00BF"/>
    <w:multiLevelType w:val="hybridMultilevel"/>
    <w:tmpl w:val="A8F4079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761E34"/>
    <w:multiLevelType w:val="hybridMultilevel"/>
    <w:tmpl w:val="03C02330"/>
    <w:lvl w:ilvl="0" w:tplc="49D6164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49" w15:restartNumberingAfterBreak="0">
    <w:nsid w:val="5E92419D"/>
    <w:multiLevelType w:val="hybridMultilevel"/>
    <w:tmpl w:val="D0D895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E8441F"/>
    <w:multiLevelType w:val="hybridMultilevel"/>
    <w:tmpl w:val="3C7EFC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171044"/>
    <w:multiLevelType w:val="hybridMultilevel"/>
    <w:tmpl w:val="7A90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53"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15:restartNumberingAfterBreak="0">
    <w:nsid w:val="674B72D2"/>
    <w:multiLevelType w:val="hybridMultilevel"/>
    <w:tmpl w:val="868889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68DF11F3"/>
    <w:multiLevelType w:val="hybridMultilevel"/>
    <w:tmpl w:val="9FE49D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6"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1717E4"/>
    <w:multiLevelType w:val="hybridMultilevel"/>
    <w:tmpl w:val="F004589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6C780521"/>
    <w:multiLevelType w:val="hybridMultilevel"/>
    <w:tmpl w:val="E312C6FC"/>
    <w:lvl w:ilvl="0" w:tplc="C56688C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1B2E94"/>
    <w:multiLevelType w:val="hybridMultilevel"/>
    <w:tmpl w:val="5BFAFBCC"/>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2" w15:restartNumberingAfterBreak="0">
    <w:nsid w:val="72E75BA7"/>
    <w:multiLevelType w:val="hybridMultilevel"/>
    <w:tmpl w:val="BA2EFF2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1955B7"/>
    <w:multiLevelType w:val="multilevel"/>
    <w:tmpl w:val="1A580576"/>
    <w:lvl w:ilvl="0">
      <w:start w:val="1"/>
      <w:numFmt w:val="bullet"/>
      <w:lvlText w:val="-"/>
      <w:lvlJc w:val="left"/>
      <w:pPr>
        <w:ind w:left="810" w:hanging="360"/>
      </w:pPr>
      <w:rPr>
        <w:rFonts w:ascii="Calibri" w:eastAsia="Calibri" w:hAnsi="Calibri" w:cs="Times New Roman" w:hint="default"/>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64" w15:restartNumberingAfterBreak="0">
    <w:nsid w:val="75A752B0"/>
    <w:multiLevelType w:val="hybridMultilevel"/>
    <w:tmpl w:val="E920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num>
  <w:num w:numId="3">
    <w:abstractNumId w:val="65"/>
  </w:num>
  <w:num w:numId="4">
    <w:abstractNumId w:val="57"/>
  </w:num>
  <w:num w:numId="5">
    <w:abstractNumId w:val="47"/>
  </w:num>
  <w:num w:numId="6">
    <w:abstractNumId w:val="45"/>
  </w:num>
  <w:num w:numId="7">
    <w:abstractNumId w:val="43"/>
  </w:num>
  <w:num w:numId="8">
    <w:abstractNumId w:val="2"/>
  </w:num>
  <w:num w:numId="9">
    <w:abstractNumId w:val="0"/>
  </w:num>
  <w:num w:numId="10">
    <w:abstractNumId w:val="48"/>
  </w:num>
  <w:num w:numId="11">
    <w:abstractNumId w:val="33"/>
  </w:num>
  <w:num w:numId="12">
    <w:abstractNumId w:val="56"/>
  </w:num>
  <w:num w:numId="13">
    <w:abstractNumId w:val="40"/>
  </w:num>
  <w:num w:numId="14">
    <w:abstractNumId w:val="35"/>
  </w:num>
  <w:num w:numId="15">
    <w:abstractNumId w:val="11"/>
  </w:num>
  <w:num w:numId="16">
    <w:abstractNumId w:val="53"/>
  </w:num>
  <w:num w:numId="17">
    <w:abstractNumId w:val="41"/>
  </w:num>
  <w:num w:numId="18">
    <w:abstractNumId w:val="24"/>
  </w:num>
  <w:num w:numId="19">
    <w:abstractNumId w:val="30"/>
  </w:num>
  <w:num w:numId="20">
    <w:abstractNumId w:val="21"/>
  </w:num>
  <w:num w:numId="21">
    <w:abstractNumId w:val="19"/>
  </w:num>
  <w:num w:numId="22">
    <w:abstractNumId w:val="49"/>
  </w:num>
  <w:num w:numId="23">
    <w:abstractNumId w:val="62"/>
  </w:num>
  <w:num w:numId="24">
    <w:abstractNumId w:val="38"/>
  </w:num>
  <w:num w:numId="25">
    <w:abstractNumId w:val="8"/>
  </w:num>
  <w:num w:numId="26">
    <w:abstractNumId w:val="5"/>
  </w:num>
  <w:num w:numId="27">
    <w:abstractNumId w:val="44"/>
  </w:num>
  <w:num w:numId="28">
    <w:abstractNumId w:val="14"/>
  </w:num>
  <w:num w:numId="29">
    <w:abstractNumId w:val="25"/>
  </w:num>
  <w:num w:numId="30">
    <w:abstractNumId w:val="31"/>
  </w:num>
  <w:num w:numId="31">
    <w:abstractNumId w:val="37"/>
  </w:num>
  <w:num w:numId="32">
    <w:abstractNumId w:val="55"/>
  </w:num>
  <w:num w:numId="33">
    <w:abstractNumId w:val="4"/>
  </w:num>
  <w:num w:numId="34">
    <w:abstractNumId w:val="18"/>
  </w:num>
  <w:num w:numId="35">
    <w:abstractNumId w:val="28"/>
  </w:num>
  <w:num w:numId="36">
    <w:abstractNumId w:val="20"/>
  </w:num>
  <w:num w:numId="37">
    <w:abstractNumId w:val="64"/>
  </w:num>
  <w:num w:numId="38">
    <w:abstractNumId w:val="52"/>
  </w:num>
  <w:num w:numId="39">
    <w:abstractNumId w:val="50"/>
  </w:num>
  <w:num w:numId="40">
    <w:abstractNumId w:val="39"/>
  </w:num>
  <w:num w:numId="41">
    <w:abstractNumId w:val="36"/>
  </w:num>
  <w:num w:numId="42">
    <w:abstractNumId w:val="29"/>
  </w:num>
  <w:num w:numId="43">
    <w:abstractNumId w:val="13"/>
  </w:num>
  <w:num w:numId="44">
    <w:abstractNumId w:val="58"/>
  </w:num>
  <w:num w:numId="45">
    <w:abstractNumId w:val="61"/>
  </w:num>
  <w:num w:numId="46">
    <w:abstractNumId w:val="22"/>
  </w:num>
  <w:num w:numId="47">
    <w:abstractNumId w:val="1"/>
  </w:num>
  <w:num w:numId="48">
    <w:abstractNumId w:val="16"/>
  </w:num>
  <w:num w:numId="49">
    <w:abstractNumId w:val="59"/>
  </w:num>
  <w:num w:numId="50">
    <w:abstractNumId w:val="9"/>
  </w:num>
  <w:num w:numId="51">
    <w:abstractNumId w:val="63"/>
  </w:num>
  <w:num w:numId="52">
    <w:abstractNumId w:val="42"/>
  </w:num>
  <w:num w:numId="53">
    <w:abstractNumId w:val="15"/>
  </w:num>
  <w:num w:numId="54">
    <w:abstractNumId w:val="54"/>
  </w:num>
  <w:num w:numId="55">
    <w:abstractNumId w:val="46"/>
  </w:num>
  <w:num w:numId="56">
    <w:abstractNumId w:val="7"/>
  </w:num>
  <w:num w:numId="57">
    <w:abstractNumId w:val="3"/>
  </w:num>
  <w:num w:numId="58">
    <w:abstractNumId w:val="34"/>
  </w:num>
  <w:num w:numId="59">
    <w:abstractNumId w:val="51"/>
  </w:num>
  <w:num w:numId="60">
    <w:abstractNumId w:val="12"/>
  </w:num>
  <w:num w:numId="61">
    <w:abstractNumId w:val="32"/>
  </w:num>
  <w:num w:numId="62">
    <w:abstractNumId w:val="17"/>
  </w:num>
  <w:num w:numId="63">
    <w:abstractNumId w:val="6"/>
  </w:num>
  <w:num w:numId="64">
    <w:abstractNumId w:val="27"/>
  </w:num>
  <w:num w:numId="65">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ru-RU" w:vendorID="64" w:dllVersion="131078" w:nlCheck="1" w:checkStyle="0"/>
  <w:activeWritingStyle w:appName="MSWord" w:lang="es-ES" w:vendorID="64" w:dllVersion="131078" w:nlCheck="1" w:checkStyle="0"/>
  <w:activeWritingStyle w:appName="MSWord" w:lang="en-GB"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EB0"/>
    <w:rsid w:val="00002163"/>
    <w:rsid w:val="00002289"/>
    <w:rsid w:val="0000241B"/>
    <w:rsid w:val="00002BFC"/>
    <w:rsid w:val="000030DA"/>
    <w:rsid w:val="00003327"/>
    <w:rsid w:val="00003D9B"/>
    <w:rsid w:val="000045D9"/>
    <w:rsid w:val="00004807"/>
    <w:rsid w:val="000048AC"/>
    <w:rsid w:val="00004A4C"/>
    <w:rsid w:val="00004B36"/>
    <w:rsid w:val="00004B4A"/>
    <w:rsid w:val="000056C3"/>
    <w:rsid w:val="00005BEA"/>
    <w:rsid w:val="00005DA7"/>
    <w:rsid w:val="00006265"/>
    <w:rsid w:val="000068F4"/>
    <w:rsid w:val="00006BCE"/>
    <w:rsid w:val="00006FF5"/>
    <w:rsid w:val="0000757E"/>
    <w:rsid w:val="000076AD"/>
    <w:rsid w:val="0000784F"/>
    <w:rsid w:val="00007A08"/>
    <w:rsid w:val="00007BB6"/>
    <w:rsid w:val="000102B4"/>
    <w:rsid w:val="00010660"/>
    <w:rsid w:val="000108DE"/>
    <w:rsid w:val="0001133C"/>
    <w:rsid w:val="00011747"/>
    <w:rsid w:val="00011C4D"/>
    <w:rsid w:val="00011E49"/>
    <w:rsid w:val="00012290"/>
    <w:rsid w:val="000123D5"/>
    <w:rsid w:val="0001311A"/>
    <w:rsid w:val="0001324E"/>
    <w:rsid w:val="00013413"/>
    <w:rsid w:val="00013809"/>
    <w:rsid w:val="000139F0"/>
    <w:rsid w:val="00013DB1"/>
    <w:rsid w:val="00013F46"/>
    <w:rsid w:val="0001449F"/>
    <w:rsid w:val="000144D6"/>
    <w:rsid w:val="000147A7"/>
    <w:rsid w:val="000147B9"/>
    <w:rsid w:val="000148FC"/>
    <w:rsid w:val="00014A35"/>
    <w:rsid w:val="00014FD2"/>
    <w:rsid w:val="00015655"/>
    <w:rsid w:val="00015B69"/>
    <w:rsid w:val="00015BFA"/>
    <w:rsid w:val="0001623D"/>
    <w:rsid w:val="000163F7"/>
    <w:rsid w:val="00016731"/>
    <w:rsid w:val="000169D1"/>
    <w:rsid w:val="00016AEC"/>
    <w:rsid w:val="000173AD"/>
    <w:rsid w:val="0001753D"/>
    <w:rsid w:val="000177C6"/>
    <w:rsid w:val="0002016C"/>
    <w:rsid w:val="00020693"/>
    <w:rsid w:val="00020CD6"/>
    <w:rsid w:val="00020E3C"/>
    <w:rsid w:val="0002109A"/>
    <w:rsid w:val="00021391"/>
    <w:rsid w:val="000213D2"/>
    <w:rsid w:val="0002170C"/>
    <w:rsid w:val="000220DA"/>
    <w:rsid w:val="00023171"/>
    <w:rsid w:val="00023246"/>
    <w:rsid w:val="0002346F"/>
    <w:rsid w:val="0002358C"/>
    <w:rsid w:val="0002364A"/>
    <w:rsid w:val="00023799"/>
    <w:rsid w:val="000237F2"/>
    <w:rsid w:val="00023911"/>
    <w:rsid w:val="000243EB"/>
    <w:rsid w:val="000243F4"/>
    <w:rsid w:val="00024F24"/>
    <w:rsid w:val="000252EA"/>
    <w:rsid w:val="0002572A"/>
    <w:rsid w:val="000257D7"/>
    <w:rsid w:val="00025BE2"/>
    <w:rsid w:val="00025DF2"/>
    <w:rsid w:val="00025E82"/>
    <w:rsid w:val="000266F4"/>
    <w:rsid w:val="00026AFA"/>
    <w:rsid w:val="000271C2"/>
    <w:rsid w:val="00027FBF"/>
    <w:rsid w:val="00030161"/>
    <w:rsid w:val="00030424"/>
    <w:rsid w:val="00030DB1"/>
    <w:rsid w:val="0003153D"/>
    <w:rsid w:val="00031D3A"/>
    <w:rsid w:val="000321E8"/>
    <w:rsid w:val="000322A5"/>
    <w:rsid w:val="00032581"/>
    <w:rsid w:val="00032B9B"/>
    <w:rsid w:val="00033370"/>
    <w:rsid w:val="00033572"/>
    <w:rsid w:val="00033587"/>
    <w:rsid w:val="00033984"/>
    <w:rsid w:val="00033C8B"/>
    <w:rsid w:val="00033D44"/>
    <w:rsid w:val="0003413E"/>
    <w:rsid w:val="00034178"/>
    <w:rsid w:val="00034648"/>
    <w:rsid w:val="000346B3"/>
    <w:rsid w:val="000347CE"/>
    <w:rsid w:val="000347E3"/>
    <w:rsid w:val="00034A9D"/>
    <w:rsid w:val="0003558C"/>
    <w:rsid w:val="000355C9"/>
    <w:rsid w:val="00035D1C"/>
    <w:rsid w:val="0003612A"/>
    <w:rsid w:val="0003683A"/>
    <w:rsid w:val="00036E13"/>
    <w:rsid w:val="00037081"/>
    <w:rsid w:val="000371D5"/>
    <w:rsid w:val="000372BA"/>
    <w:rsid w:val="00037AB5"/>
    <w:rsid w:val="00037AFC"/>
    <w:rsid w:val="00037B1F"/>
    <w:rsid w:val="00037D17"/>
    <w:rsid w:val="00037F8A"/>
    <w:rsid w:val="00040371"/>
    <w:rsid w:val="000410F9"/>
    <w:rsid w:val="000414CA"/>
    <w:rsid w:val="000414CC"/>
    <w:rsid w:val="00041F9E"/>
    <w:rsid w:val="00042787"/>
    <w:rsid w:val="000427F7"/>
    <w:rsid w:val="00042B2E"/>
    <w:rsid w:val="00042C07"/>
    <w:rsid w:val="00042CD9"/>
    <w:rsid w:val="00042D9E"/>
    <w:rsid w:val="00043388"/>
    <w:rsid w:val="00043421"/>
    <w:rsid w:val="000434B1"/>
    <w:rsid w:val="00043545"/>
    <w:rsid w:val="00043E90"/>
    <w:rsid w:val="00043F36"/>
    <w:rsid w:val="000440A3"/>
    <w:rsid w:val="0004480B"/>
    <w:rsid w:val="00045E3A"/>
    <w:rsid w:val="0004603A"/>
    <w:rsid w:val="0004655D"/>
    <w:rsid w:val="000466B1"/>
    <w:rsid w:val="00046959"/>
    <w:rsid w:val="000473D4"/>
    <w:rsid w:val="00047B46"/>
    <w:rsid w:val="00047C7F"/>
    <w:rsid w:val="000500D2"/>
    <w:rsid w:val="000501A7"/>
    <w:rsid w:val="000501C2"/>
    <w:rsid w:val="00050EFF"/>
    <w:rsid w:val="000515D9"/>
    <w:rsid w:val="000516CC"/>
    <w:rsid w:val="0005176E"/>
    <w:rsid w:val="0005179C"/>
    <w:rsid w:val="000520D0"/>
    <w:rsid w:val="00052380"/>
    <w:rsid w:val="0005274F"/>
    <w:rsid w:val="00052C8D"/>
    <w:rsid w:val="00052F87"/>
    <w:rsid w:val="00053116"/>
    <w:rsid w:val="00053709"/>
    <w:rsid w:val="00053CF6"/>
    <w:rsid w:val="0005404C"/>
    <w:rsid w:val="000540D6"/>
    <w:rsid w:val="0005461A"/>
    <w:rsid w:val="00054D48"/>
    <w:rsid w:val="00055783"/>
    <w:rsid w:val="00055F53"/>
    <w:rsid w:val="00056009"/>
    <w:rsid w:val="00056182"/>
    <w:rsid w:val="0005665D"/>
    <w:rsid w:val="00056866"/>
    <w:rsid w:val="00056F87"/>
    <w:rsid w:val="000572A2"/>
    <w:rsid w:val="000573ED"/>
    <w:rsid w:val="00057632"/>
    <w:rsid w:val="00057BA9"/>
    <w:rsid w:val="000601EE"/>
    <w:rsid w:val="00060470"/>
    <w:rsid w:val="0006050F"/>
    <w:rsid w:val="00061422"/>
    <w:rsid w:val="000616C1"/>
    <w:rsid w:val="0006181E"/>
    <w:rsid w:val="00061877"/>
    <w:rsid w:val="0006190C"/>
    <w:rsid w:val="00061BFA"/>
    <w:rsid w:val="00061E00"/>
    <w:rsid w:val="00061EB6"/>
    <w:rsid w:val="000621D1"/>
    <w:rsid w:val="000630C0"/>
    <w:rsid w:val="00063142"/>
    <w:rsid w:val="00063485"/>
    <w:rsid w:val="000635F8"/>
    <w:rsid w:val="00063D12"/>
    <w:rsid w:val="00063F7A"/>
    <w:rsid w:val="000648E7"/>
    <w:rsid w:val="000652C0"/>
    <w:rsid w:val="000656F0"/>
    <w:rsid w:val="00065E90"/>
    <w:rsid w:val="00066B40"/>
    <w:rsid w:val="0006727C"/>
    <w:rsid w:val="000674A2"/>
    <w:rsid w:val="0006757C"/>
    <w:rsid w:val="000707D9"/>
    <w:rsid w:val="00070CAE"/>
    <w:rsid w:val="00070FC3"/>
    <w:rsid w:val="0007137A"/>
    <w:rsid w:val="0007188C"/>
    <w:rsid w:val="00071A75"/>
    <w:rsid w:val="00071C2A"/>
    <w:rsid w:val="000725F0"/>
    <w:rsid w:val="00072BEF"/>
    <w:rsid w:val="00072C98"/>
    <w:rsid w:val="00073A85"/>
    <w:rsid w:val="00073EE2"/>
    <w:rsid w:val="00075040"/>
    <w:rsid w:val="000750BE"/>
    <w:rsid w:val="00075431"/>
    <w:rsid w:val="000761B0"/>
    <w:rsid w:val="0007665D"/>
    <w:rsid w:val="0007672E"/>
    <w:rsid w:val="00076CE9"/>
    <w:rsid w:val="00076FEA"/>
    <w:rsid w:val="000771B3"/>
    <w:rsid w:val="000776D9"/>
    <w:rsid w:val="000777B6"/>
    <w:rsid w:val="000777E1"/>
    <w:rsid w:val="00080951"/>
    <w:rsid w:val="00081260"/>
    <w:rsid w:val="000813B9"/>
    <w:rsid w:val="00081BF0"/>
    <w:rsid w:val="00082071"/>
    <w:rsid w:val="000822AA"/>
    <w:rsid w:val="000825DA"/>
    <w:rsid w:val="000834DF"/>
    <w:rsid w:val="000838D8"/>
    <w:rsid w:val="00083C3E"/>
    <w:rsid w:val="00083F38"/>
    <w:rsid w:val="00083F9C"/>
    <w:rsid w:val="00084A46"/>
    <w:rsid w:val="00085490"/>
    <w:rsid w:val="00085674"/>
    <w:rsid w:val="00085A0D"/>
    <w:rsid w:val="00085C56"/>
    <w:rsid w:val="00085D43"/>
    <w:rsid w:val="000864E5"/>
    <w:rsid w:val="00086994"/>
    <w:rsid w:val="00086B99"/>
    <w:rsid w:val="00086E52"/>
    <w:rsid w:val="00086F85"/>
    <w:rsid w:val="000873BC"/>
    <w:rsid w:val="00087A4B"/>
    <w:rsid w:val="00087CB3"/>
    <w:rsid w:val="00087E63"/>
    <w:rsid w:val="000901E7"/>
    <w:rsid w:val="000902F4"/>
    <w:rsid w:val="000904DB"/>
    <w:rsid w:val="00090937"/>
    <w:rsid w:val="00090D23"/>
    <w:rsid w:val="00090E74"/>
    <w:rsid w:val="00091448"/>
    <w:rsid w:val="000915B0"/>
    <w:rsid w:val="00091F97"/>
    <w:rsid w:val="00092701"/>
    <w:rsid w:val="000930EC"/>
    <w:rsid w:val="00093193"/>
    <w:rsid w:val="0009342F"/>
    <w:rsid w:val="00093B3A"/>
    <w:rsid w:val="00093B64"/>
    <w:rsid w:val="00093BE6"/>
    <w:rsid w:val="00094160"/>
    <w:rsid w:val="00095686"/>
    <w:rsid w:val="00095699"/>
    <w:rsid w:val="000956EC"/>
    <w:rsid w:val="000957ED"/>
    <w:rsid w:val="00095F7E"/>
    <w:rsid w:val="00096AEA"/>
    <w:rsid w:val="00097DA7"/>
    <w:rsid w:val="000A00B0"/>
    <w:rsid w:val="000A04D5"/>
    <w:rsid w:val="000A0FD9"/>
    <w:rsid w:val="000A10A8"/>
    <w:rsid w:val="000A1112"/>
    <w:rsid w:val="000A12D0"/>
    <w:rsid w:val="000A16DA"/>
    <w:rsid w:val="000A1ACB"/>
    <w:rsid w:val="000A1ED4"/>
    <w:rsid w:val="000A24F1"/>
    <w:rsid w:val="000A2D88"/>
    <w:rsid w:val="000A2F61"/>
    <w:rsid w:val="000A311D"/>
    <w:rsid w:val="000A357A"/>
    <w:rsid w:val="000A40F8"/>
    <w:rsid w:val="000A452F"/>
    <w:rsid w:val="000A48F4"/>
    <w:rsid w:val="000A4CA2"/>
    <w:rsid w:val="000A4ED8"/>
    <w:rsid w:val="000A590C"/>
    <w:rsid w:val="000A5CC9"/>
    <w:rsid w:val="000A5D25"/>
    <w:rsid w:val="000A5F92"/>
    <w:rsid w:val="000A601C"/>
    <w:rsid w:val="000A61AD"/>
    <w:rsid w:val="000A6BA3"/>
    <w:rsid w:val="000A7082"/>
    <w:rsid w:val="000A724B"/>
    <w:rsid w:val="000A7435"/>
    <w:rsid w:val="000A7B14"/>
    <w:rsid w:val="000B003A"/>
    <w:rsid w:val="000B0108"/>
    <w:rsid w:val="000B0278"/>
    <w:rsid w:val="000B0329"/>
    <w:rsid w:val="000B03B5"/>
    <w:rsid w:val="000B0C32"/>
    <w:rsid w:val="000B0FAC"/>
    <w:rsid w:val="000B158C"/>
    <w:rsid w:val="000B15F2"/>
    <w:rsid w:val="000B25DD"/>
    <w:rsid w:val="000B289D"/>
    <w:rsid w:val="000B3179"/>
    <w:rsid w:val="000B32C2"/>
    <w:rsid w:val="000B3300"/>
    <w:rsid w:val="000B3E21"/>
    <w:rsid w:val="000B4927"/>
    <w:rsid w:val="000B4BCE"/>
    <w:rsid w:val="000B509C"/>
    <w:rsid w:val="000B52C3"/>
    <w:rsid w:val="000B58F0"/>
    <w:rsid w:val="000B5CD7"/>
    <w:rsid w:val="000B5DB4"/>
    <w:rsid w:val="000B6107"/>
    <w:rsid w:val="000B63EA"/>
    <w:rsid w:val="000B6441"/>
    <w:rsid w:val="000B65F1"/>
    <w:rsid w:val="000B6D9D"/>
    <w:rsid w:val="000B75BE"/>
    <w:rsid w:val="000B7FF5"/>
    <w:rsid w:val="000C0823"/>
    <w:rsid w:val="000C17D5"/>
    <w:rsid w:val="000C192F"/>
    <w:rsid w:val="000C1D88"/>
    <w:rsid w:val="000C2585"/>
    <w:rsid w:val="000C2B0B"/>
    <w:rsid w:val="000C2B15"/>
    <w:rsid w:val="000C2DB0"/>
    <w:rsid w:val="000C2E00"/>
    <w:rsid w:val="000C2FAA"/>
    <w:rsid w:val="000C3320"/>
    <w:rsid w:val="000C3FE3"/>
    <w:rsid w:val="000C41A9"/>
    <w:rsid w:val="000C4318"/>
    <w:rsid w:val="000C45CA"/>
    <w:rsid w:val="000C4759"/>
    <w:rsid w:val="000C48F0"/>
    <w:rsid w:val="000C4DD5"/>
    <w:rsid w:val="000C4EB4"/>
    <w:rsid w:val="000C52B6"/>
    <w:rsid w:val="000C59A3"/>
    <w:rsid w:val="000C5B3C"/>
    <w:rsid w:val="000C5EB8"/>
    <w:rsid w:val="000C6882"/>
    <w:rsid w:val="000C6AA3"/>
    <w:rsid w:val="000C6B4C"/>
    <w:rsid w:val="000C6C6A"/>
    <w:rsid w:val="000C6F33"/>
    <w:rsid w:val="000C70BB"/>
    <w:rsid w:val="000C7250"/>
    <w:rsid w:val="000C75CA"/>
    <w:rsid w:val="000D0270"/>
    <w:rsid w:val="000D0B4B"/>
    <w:rsid w:val="000D0D59"/>
    <w:rsid w:val="000D1829"/>
    <w:rsid w:val="000D18CE"/>
    <w:rsid w:val="000D1CA7"/>
    <w:rsid w:val="000D1FAE"/>
    <w:rsid w:val="000D2248"/>
    <w:rsid w:val="000D242E"/>
    <w:rsid w:val="000D289E"/>
    <w:rsid w:val="000D36C9"/>
    <w:rsid w:val="000D3DE3"/>
    <w:rsid w:val="000D4082"/>
    <w:rsid w:val="000D427D"/>
    <w:rsid w:val="000D4925"/>
    <w:rsid w:val="000D492A"/>
    <w:rsid w:val="000D4B3C"/>
    <w:rsid w:val="000D529E"/>
    <w:rsid w:val="000D57AF"/>
    <w:rsid w:val="000D57C2"/>
    <w:rsid w:val="000D5FF3"/>
    <w:rsid w:val="000D6082"/>
    <w:rsid w:val="000D6631"/>
    <w:rsid w:val="000D6650"/>
    <w:rsid w:val="000D6A06"/>
    <w:rsid w:val="000E01FF"/>
    <w:rsid w:val="000E047D"/>
    <w:rsid w:val="000E11D7"/>
    <w:rsid w:val="000E124F"/>
    <w:rsid w:val="000E1796"/>
    <w:rsid w:val="000E1ACF"/>
    <w:rsid w:val="000E1B09"/>
    <w:rsid w:val="000E266A"/>
    <w:rsid w:val="000E2AFD"/>
    <w:rsid w:val="000E2B8D"/>
    <w:rsid w:val="000E2C2E"/>
    <w:rsid w:val="000E2C52"/>
    <w:rsid w:val="000E2D3F"/>
    <w:rsid w:val="000E304E"/>
    <w:rsid w:val="000E3398"/>
    <w:rsid w:val="000E364E"/>
    <w:rsid w:val="000E42B3"/>
    <w:rsid w:val="000E4FB1"/>
    <w:rsid w:val="000E5840"/>
    <w:rsid w:val="000E5B74"/>
    <w:rsid w:val="000E5D71"/>
    <w:rsid w:val="000E61BB"/>
    <w:rsid w:val="000E628B"/>
    <w:rsid w:val="000E65CF"/>
    <w:rsid w:val="000E6666"/>
    <w:rsid w:val="000E68DD"/>
    <w:rsid w:val="000E742F"/>
    <w:rsid w:val="000E74D0"/>
    <w:rsid w:val="000E76D9"/>
    <w:rsid w:val="000E7B84"/>
    <w:rsid w:val="000E7C99"/>
    <w:rsid w:val="000E7C9B"/>
    <w:rsid w:val="000F0A95"/>
    <w:rsid w:val="000F0E34"/>
    <w:rsid w:val="000F11D1"/>
    <w:rsid w:val="000F1567"/>
    <w:rsid w:val="000F1571"/>
    <w:rsid w:val="000F16EF"/>
    <w:rsid w:val="000F170B"/>
    <w:rsid w:val="000F18AB"/>
    <w:rsid w:val="000F1B14"/>
    <w:rsid w:val="000F261B"/>
    <w:rsid w:val="000F279F"/>
    <w:rsid w:val="000F2BE9"/>
    <w:rsid w:val="000F2EC9"/>
    <w:rsid w:val="000F2EF7"/>
    <w:rsid w:val="000F30ED"/>
    <w:rsid w:val="000F35D3"/>
    <w:rsid w:val="000F38D0"/>
    <w:rsid w:val="000F3F9C"/>
    <w:rsid w:val="000F426E"/>
    <w:rsid w:val="000F449D"/>
    <w:rsid w:val="000F464F"/>
    <w:rsid w:val="000F4657"/>
    <w:rsid w:val="000F509C"/>
    <w:rsid w:val="000F5235"/>
    <w:rsid w:val="000F54F8"/>
    <w:rsid w:val="000F5883"/>
    <w:rsid w:val="000F5B01"/>
    <w:rsid w:val="000F61C2"/>
    <w:rsid w:val="000F64C4"/>
    <w:rsid w:val="000F6825"/>
    <w:rsid w:val="000F6D3E"/>
    <w:rsid w:val="000F6D9A"/>
    <w:rsid w:val="000F6FF9"/>
    <w:rsid w:val="000F70B6"/>
    <w:rsid w:val="000F719C"/>
    <w:rsid w:val="000F7200"/>
    <w:rsid w:val="000F75FC"/>
    <w:rsid w:val="000F7976"/>
    <w:rsid w:val="000F7DDA"/>
    <w:rsid w:val="00100580"/>
    <w:rsid w:val="001008FA"/>
    <w:rsid w:val="00100A6A"/>
    <w:rsid w:val="00100C82"/>
    <w:rsid w:val="001012CC"/>
    <w:rsid w:val="00101E4C"/>
    <w:rsid w:val="00101E68"/>
    <w:rsid w:val="00102199"/>
    <w:rsid w:val="0010284D"/>
    <w:rsid w:val="00102CDE"/>
    <w:rsid w:val="001030CD"/>
    <w:rsid w:val="00103791"/>
    <w:rsid w:val="00103C56"/>
    <w:rsid w:val="00103C9F"/>
    <w:rsid w:val="0010468C"/>
    <w:rsid w:val="001048A0"/>
    <w:rsid w:val="00105401"/>
    <w:rsid w:val="00105608"/>
    <w:rsid w:val="0010572B"/>
    <w:rsid w:val="00105784"/>
    <w:rsid w:val="00105BD3"/>
    <w:rsid w:val="00105D71"/>
    <w:rsid w:val="00105E7D"/>
    <w:rsid w:val="0010649A"/>
    <w:rsid w:val="00106992"/>
    <w:rsid w:val="00106B70"/>
    <w:rsid w:val="00106C90"/>
    <w:rsid w:val="00107185"/>
    <w:rsid w:val="001071BD"/>
    <w:rsid w:val="001075C3"/>
    <w:rsid w:val="00107D3A"/>
    <w:rsid w:val="001103B6"/>
    <w:rsid w:val="00110C45"/>
    <w:rsid w:val="00110CA3"/>
    <w:rsid w:val="00110D7D"/>
    <w:rsid w:val="0011115D"/>
    <w:rsid w:val="00111284"/>
    <w:rsid w:val="001112F4"/>
    <w:rsid w:val="001113EE"/>
    <w:rsid w:val="00111420"/>
    <w:rsid w:val="0011175E"/>
    <w:rsid w:val="00111D6D"/>
    <w:rsid w:val="00111DD9"/>
    <w:rsid w:val="00112578"/>
    <w:rsid w:val="001127C9"/>
    <w:rsid w:val="00112D7E"/>
    <w:rsid w:val="00112E2F"/>
    <w:rsid w:val="00112FFA"/>
    <w:rsid w:val="00113925"/>
    <w:rsid w:val="0011394D"/>
    <w:rsid w:val="00113982"/>
    <w:rsid w:val="0011441B"/>
    <w:rsid w:val="00114D7E"/>
    <w:rsid w:val="0011542B"/>
    <w:rsid w:val="0011549E"/>
    <w:rsid w:val="0011558E"/>
    <w:rsid w:val="00115637"/>
    <w:rsid w:val="00115664"/>
    <w:rsid w:val="00115728"/>
    <w:rsid w:val="001159DC"/>
    <w:rsid w:val="00115AFA"/>
    <w:rsid w:val="00115E01"/>
    <w:rsid w:val="00116136"/>
    <w:rsid w:val="00116524"/>
    <w:rsid w:val="0011656D"/>
    <w:rsid w:val="0011689D"/>
    <w:rsid w:val="00116E97"/>
    <w:rsid w:val="00117380"/>
    <w:rsid w:val="001203B6"/>
    <w:rsid w:val="0012088D"/>
    <w:rsid w:val="00120BC8"/>
    <w:rsid w:val="00120F10"/>
    <w:rsid w:val="00121268"/>
    <w:rsid w:val="0012288D"/>
    <w:rsid w:val="001232C6"/>
    <w:rsid w:val="001233BD"/>
    <w:rsid w:val="0012366A"/>
    <w:rsid w:val="00123F2C"/>
    <w:rsid w:val="00124431"/>
    <w:rsid w:val="00124894"/>
    <w:rsid w:val="00124D7E"/>
    <w:rsid w:val="00124E5B"/>
    <w:rsid w:val="00124FAE"/>
    <w:rsid w:val="0012581D"/>
    <w:rsid w:val="001259BD"/>
    <w:rsid w:val="00125DBD"/>
    <w:rsid w:val="00126071"/>
    <w:rsid w:val="0012607D"/>
    <w:rsid w:val="0012680E"/>
    <w:rsid w:val="0012683B"/>
    <w:rsid w:val="001268F2"/>
    <w:rsid w:val="00126929"/>
    <w:rsid w:val="00127BFD"/>
    <w:rsid w:val="00127C39"/>
    <w:rsid w:val="00130070"/>
    <w:rsid w:val="00130243"/>
    <w:rsid w:val="0013106F"/>
    <w:rsid w:val="001311F4"/>
    <w:rsid w:val="00131BF9"/>
    <w:rsid w:val="00131E98"/>
    <w:rsid w:val="00132111"/>
    <w:rsid w:val="0013281A"/>
    <w:rsid w:val="00132DFF"/>
    <w:rsid w:val="00132EB6"/>
    <w:rsid w:val="001336A5"/>
    <w:rsid w:val="001336E7"/>
    <w:rsid w:val="00133B15"/>
    <w:rsid w:val="00133E5A"/>
    <w:rsid w:val="00134360"/>
    <w:rsid w:val="001348D3"/>
    <w:rsid w:val="00134A7A"/>
    <w:rsid w:val="00134AC3"/>
    <w:rsid w:val="00135663"/>
    <w:rsid w:val="00135A72"/>
    <w:rsid w:val="00135FF8"/>
    <w:rsid w:val="00136146"/>
    <w:rsid w:val="001367AD"/>
    <w:rsid w:val="001368C7"/>
    <w:rsid w:val="00136A0B"/>
    <w:rsid w:val="00136A8C"/>
    <w:rsid w:val="00136E24"/>
    <w:rsid w:val="0013717F"/>
    <w:rsid w:val="001378BB"/>
    <w:rsid w:val="00137B5C"/>
    <w:rsid w:val="00137B74"/>
    <w:rsid w:val="00140251"/>
    <w:rsid w:val="0014042E"/>
    <w:rsid w:val="00140A93"/>
    <w:rsid w:val="00141785"/>
    <w:rsid w:val="00141C69"/>
    <w:rsid w:val="00141D6E"/>
    <w:rsid w:val="001429A5"/>
    <w:rsid w:val="00142AC3"/>
    <w:rsid w:val="00143822"/>
    <w:rsid w:val="0014388D"/>
    <w:rsid w:val="00143F46"/>
    <w:rsid w:val="0014478B"/>
    <w:rsid w:val="00145A8A"/>
    <w:rsid w:val="00145BAD"/>
    <w:rsid w:val="00145D78"/>
    <w:rsid w:val="00146920"/>
    <w:rsid w:val="00146CE8"/>
    <w:rsid w:val="00147119"/>
    <w:rsid w:val="001473BB"/>
    <w:rsid w:val="00147C59"/>
    <w:rsid w:val="00150088"/>
    <w:rsid w:val="00150740"/>
    <w:rsid w:val="0015105B"/>
    <w:rsid w:val="00151218"/>
    <w:rsid w:val="001514D2"/>
    <w:rsid w:val="00151C57"/>
    <w:rsid w:val="001524DB"/>
    <w:rsid w:val="0015274B"/>
    <w:rsid w:val="00152838"/>
    <w:rsid w:val="00152974"/>
    <w:rsid w:val="00152A51"/>
    <w:rsid w:val="00152A78"/>
    <w:rsid w:val="0015327B"/>
    <w:rsid w:val="001532CF"/>
    <w:rsid w:val="00153334"/>
    <w:rsid w:val="0015392B"/>
    <w:rsid w:val="00153EE6"/>
    <w:rsid w:val="00154F3D"/>
    <w:rsid w:val="00155004"/>
    <w:rsid w:val="001550EC"/>
    <w:rsid w:val="00155302"/>
    <w:rsid w:val="001554FA"/>
    <w:rsid w:val="00155864"/>
    <w:rsid w:val="00155BC3"/>
    <w:rsid w:val="00155C9D"/>
    <w:rsid w:val="00156327"/>
    <w:rsid w:val="00156B66"/>
    <w:rsid w:val="00156C26"/>
    <w:rsid w:val="00156D52"/>
    <w:rsid w:val="001604B0"/>
    <w:rsid w:val="00160C41"/>
    <w:rsid w:val="00161D5E"/>
    <w:rsid w:val="00162306"/>
    <w:rsid w:val="00162512"/>
    <w:rsid w:val="0016274B"/>
    <w:rsid w:val="00162A72"/>
    <w:rsid w:val="00162C29"/>
    <w:rsid w:val="00162C8B"/>
    <w:rsid w:val="00162D6A"/>
    <w:rsid w:val="00162F40"/>
    <w:rsid w:val="00162F6B"/>
    <w:rsid w:val="00162F8D"/>
    <w:rsid w:val="00163034"/>
    <w:rsid w:val="00163138"/>
    <w:rsid w:val="0016318A"/>
    <w:rsid w:val="00163CE1"/>
    <w:rsid w:val="00163ECF"/>
    <w:rsid w:val="00163FF4"/>
    <w:rsid w:val="00165198"/>
    <w:rsid w:val="00166272"/>
    <w:rsid w:val="00166379"/>
    <w:rsid w:val="001664B1"/>
    <w:rsid w:val="001665DF"/>
    <w:rsid w:val="00167130"/>
    <w:rsid w:val="001672A7"/>
    <w:rsid w:val="00167E80"/>
    <w:rsid w:val="00167FD2"/>
    <w:rsid w:val="00170230"/>
    <w:rsid w:val="00170619"/>
    <w:rsid w:val="001706DF"/>
    <w:rsid w:val="00170ABF"/>
    <w:rsid w:val="001711CF"/>
    <w:rsid w:val="001713E8"/>
    <w:rsid w:val="00171833"/>
    <w:rsid w:val="00171BF7"/>
    <w:rsid w:val="0017201C"/>
    <w:rsid w:val="001721D8"/>
    <w:rsid w:val="00172338"/>
    <w:rsid w:val="001725C5"/>
    <w:rsid w:val="00172871"/>
    <w:rsid w:val="00172E4B"/>
    <w:rsid w:val="001731BB"/>
    <w:rsid w:val="00173D07"/>
    <w:rsid w:val="00173DCF"/>
    <w:rsid w:val="00173EF6"/>
    <w:rsid w:val="001744BF"/>
    <w:rsid w:val="00174812"/>
    <w:rsid w:val="00174970"/>
    <w:rsid w:val="001752CC"/>
    <w:rsid w:val="001752DE"/>
    <w:rsid w:val="00175819"/>
    <w:rsid w:val="00175E2C"/>
    <w:rsid w:val="001764EE"/>
    <w:rsid w:val="00176541"/>
    <w:rsid w:val="00176F37"/>
    <w:rsid w:val="0017730C"/>
    <w:rsid w:val="001774AD"/>
    <w:rsid w:val="0017782F"/>
    <w:rsid w:val="00177907"/>
    <w:rsid w:val="00177AC5"/>
    <w:rsid w:val="00177B99"/>
    <w:rsid w:val="00177C2A"/>
    <w:rsid w:val="001800E1"/>
    <w:rsid w:val="001802CC"/>
    <w:rsid w:val="00180703"/>
    <w:rsid w:val="0018094E"/>
    <w:rsid w:val="00181B50"/>
    <w:rsid w:val="001820D2"/>
    <w:rsid w:val="001825BF"/>
    <w:rsid w:val="00182F20"/>
    <w:rsid w:val="0018345B"/>
    <w:rsid w:val="00183CF8"/>
    <w:rsid w:val="00184733"/>
    <w:rsid w:val="00184B53"/>
    <w:rsid w:val="00184D37"/>
    <w:rsid w:val="00184D71"/>
    <w:rsid w:val="00184E2A"/>
    <w:rsid w:val="00184E41"/>
    <w:rsid w:val="0018604C"/>
    <w:rsid w:val="001865AB"/>
    <w:rsid w:val="00186639"/>
    <w:rsid w:val="0018689C"/>
    <w:rsid w:val="00186AD7"/>
    <w:rsid w:val="00186C1D"/>
    <w:rsid w:val="001873ED"/>
    <w:rsid w:val="001878B0"/>
    <w:rsid w:val="00190476"/>
    <w:rsid w:val="00190624"/>
    <w:rsid w:val="00190889"/>
    <w:rsid w:val="00191350"/>
    <w:rsid w:val="001914CE"/>
    <w:rsid w:val="00191748"/>
    <w:rsid w:val="0019238A"/>
    <w:rsid w:val="001923CD"/>
    <w:rsid w:val="001928AC"/>
    <w:rsid w:val="00192C46"/>
    <w:rsid w:val="00193220"/>
    <w:rsid w:val="00193290"/>
    <w:rsid w:val="001939B2"/>
    <w:rsid w:val="00193EFF"/>
    <w:rsid w:val="001945B5"/>
    <w:rsid w:val="001945DE"/>
    <w:rsid w:val="00194984"/>
    <w:rsid w:val="001949DC"/>
    <w:rsid w:val="00194EA6"/>
    <w:rsid w:val="00194EC7"/>
    <w:rsid w:val="00195BE3"/>
    <w:rsid w:val="00195EE4"/>
    <w:rsid w:val="001960C3"/>
    <w:rsid w:val="0019638A"/>
    <w:rsid w:val="001964C0"/>
    <w:rsid w:val="00196F75"/>
    <w:rsid w:val="00197081"/>
    <w:rsid w:val="001970BB"/>
    <w:rsid w:val="001971B9"/>
    <w:rsid w:val="0019732E"/>
    <w:rsid w:val="00197E16"/>
    <w:rsid w:val="001A0083"/>
    <w:rsid w:val="001A0815"/>
    <w:rsid w:val="001A0BDA"/>
    <w:rsid w:val="001A0BE7"/>
    <w:rsid w:val="001A0C44"/>
    <w:rsid w:val="001A0F0D"/>
    <w:rsid w:val="001A1138"/>
    <w:rsid w:val="001A1210"/>
    <w:rsid w:val="001A14EF"/>
    <w:rsid w:val="001A1527"/>
    <w:rsid w:val="001A21D2"/>
    <w:rsid w:val="001A22B8"/>
    <w:rsid w:val="001A2353"/>
    <w:rsid w:val="001A2872"/>
    <w:rsid w:val="001A2997"/>
    <w:rsid w:val="001A2CC1"/>
    <w:rsid w:val="001A2DDD"/>
    <w:rsid w:val="001A2FF7"/>
    <w:rsid w:val="001A34F3"/>
    <w:rsid w:val="001A3676"/>
    <w:rsid w:val="001A3784"/>
    <w:rsid w:val="001A3916"/>
    <w:rsid w:val="001A3C83"/>
    <w:rsid w:val="001A3CF8"/>
    <w:rsid w:val="001A48CC"/>
    <w:rsid w:val="001A4D8E"/>
    <w:rsid w:val="001A4DD3"/>
    <w:rsid w:val="001A5273"/>
    <w:rsid w:val="001A54EF"/>
    <w:rsid w:val="001A577F"/>
    <w:rsid w:val="001A5CD0"/>
    <w:rsid w:val="001A6E7C"/>
    <w:rsid w:val="001A75DA"/>
    <w:rsid w:val="001B011D"/>
    <w:rsid w:val="001B0948"/>
    <w:rsid w:val="001B0A03"/>
    <w:rsid w:val="001B0FCA"/>
    <w:rsid w:val="001B1137"/>
    <w:rsid w:val="001B130B"/>
    <w:rsid w:val="001B2074"/>
    <w:rsid w:val="001B22F8"/>
    <w:rsid w:val="001B35A1"/>
    <w:rsid w:val="001B35E5"/>
    <w:rsid w:val="001B36A8"/>
    <w:rsid w:val="001B3A52"/>
    <w:rsid w:val="001B3CC7"/>
    <w:rsid w:val="001B3E1F"/>
    <w:rsid w:val="001B3E36"/>
    <w:rsid w:val="001B40CA"/>
    <w:rsid w:val="001B41F5"/>
    <w:rsid w:val="001B445D"/>
    <w:rsid w:val="001B485B"/>
    <w:rsid w:val="001B496F"/>
    <w:rsid w:val="001B4A6D"/>
    <w:rsid w:val="001B514B"/>
    <w:rsid w:val="001B5347"/>
    <w:rsid w:val="001B683D"/>
    <w:rsid w:val="001B68C9"/>
    <w:rsid w:val="001B7564"/>
    <w:rsid w:val="001B78F8"/>
    <w:rsid w:val="001B7B6C"/>
    <w:rsid w:val="001B7BB2"/>
    <w:rsid w:val="001B7E49"/>
    <w:rsid w:val="001B7EF5"/>
    <w:rsid w:val="001C02EC"/>
    <w:rsid w:val="001C0583"/>
    <w:rsid w:val="001C066F"/>
    <w:rsid w:val="001C0A3C"/>
    <w:rsid w:val="001C0C59"/>
    <w:rsid w:val="001C1211"/>
    <w:rsid w:val="001C17F0"/>
    <w:rsid w:val="001C1854"/>
    <w:rsid w:val="001C1CD8"/>
    <w:rsid w:val="001C2410"/>
    <w:rsid w:val="001C2610"/>
    <w:rsid w:val="001C2B17"/>
    <w:rsid w:val="001C30A7"/>
    <w:rsid w:val="001C3747"/>
    <w:rsid w:val="001C3E0B"/>
    <w:rsid w:val="001C46DF"/>
    <w:rsid w:val="001C56C9"/>
    <w:rsid w:val="001C6416"/>
    <w:rsid w:val="001C643D"/>
    <w:rsid w:val="001C65EE"/>
    <w:rsid w:val="001C66FD"/>
    <w:rsid w:val="001C6822"/>
    <w:rsid w:val="001C6A30"/>
    <w:rsid w:val="001C6A4E"/>
    <w:rsid w:val="001C6FFB"/>
    <w:rsid w:val="001C7714"/>
    <w:rsid w:val="001C7A69"/>
    <w:rsid w:val="001C7A9B"/>
    <w:rsid w:val="001C7BEE"/>
    <w:rsid w:val="001C7F64"/>
    <w:rsid w:val="001C7F6A"/>
    <w:rsid w:val="001D0B65"/>
    <w:rsid w:val="001D11E7"/>
    <w:rsid w:val="001D11EB"/>
    <w:rsid w:val="001D1B6B"/>
    <w:rsid w:val="001D1EC6"/>
    <w:rsid w:val="001D1F2F"/>
    <w:rsid w:val="001D2351"/>
    <w:rsid w:val="001D24A1"/>
    <w:rsid w:val="001D24E3"/>
    <w:rsid w:val="001D2554"/>
    <w:rsid w:val="001D26FC"/>
    <w:rsid w:val="001D270B"/>
    <w:rsid w:val="001D299A"/>
    <w:rsid w:val="001D2A28"/>
    <w:rsid w:val="001D2D6A"/>
    <w:rsid w:val="001D3173"/>
    <w:rsid w:val="001D35B8"/>
    <w:rsid w:val="001D39D8"/>
    <w:rsid w:val="001D3BA8"/>
    <w:rsid w:val="001D3CEB"/>
    <w:rsid w:val="001D4B96"/>
    <w:rsid w:val="001D4CC8"/>
    <w:rsid w:val="001D5638"/>
    <w:rsid w:val="001D5698"/>
    <w:rsid w:val="001D5BCC"/>
    <w:rsid w:val="001D6154"/>
    <w:rsid w:val="001D6DC3"/>
    <w:rsid w:val="001D7BC1"/>
    <w:rsid w:val="001D7E5B"/>
    <w:rsid w:val="001E0582"/>
    <w:rsid w:val="001E0D08"/>
    <w:rsid w:val="001E17A2"/>
    <w:rsid w:val="001E1C18"/>
    <w:rsid w:val="001E249B"/>
    <w:rsid w:val="001E2D33"/>
    <w:rsid w:val="001E2DAC"/>
    <w:rsid w:val="001E2F32"/>
    <w:rsid w:val="001E3067"/>
    <w:rsid w:val="001E3307"/>
    <w:rsid w:val="001E3572"/>
    <w:rsid w:val="001E3933"/>
    <w:rsid w:val="001E428B"/>
    <w:rsid w:val="001E4584"/>
    <w:rsid w:val="001E4745"/>
    <w:rsid w:val="001E4747"/>
    <w:rsid w:val="001E4BCE"/>
    <w:rsid w:val="001E4C35"/>
    <w:rsid w:val="001E54B9"/>
    <w:rsid w:val="001E5B24"/>
    <w:rsid w:val="001E6956"/>
    <w:rsid w:val="001E6978"/>
    <w:rsid w:val="001E7613"/>
    <w:rsid w:val="001E796A"/>
    <w:rsid w:val="001E7D5A"/>
    <w:rsid w:val="001E7F98"/>
    <w:rsid w:val="001F022E"/>
    <w:rsid w:val="001F02B2"/>
    <w:rsid w:val="001F0332"/>
    <w:rsid w:val="001F0A7F"/>
    <w:rsid w:val="001F12F7"/>
    <w:rsid w:val="001F1356"/>
    <w:rsid w:val="001F198C"/>
    <w:rsid w:val="001F1A6F"/>
    <w:rsid w:val="001F212F"/>
    <w:rsid w:val="001F2781"/>
    <w:rsid w:val="001F2D2D"/>
    <w:rsid w:val="001F32BC"/>
    <w:rsid w:val="001F386C"/>
    <w:rsid w:val="001F3CBE"/>
    <w:rsid w:val="001F40A8"/>
    <w:rsid w:val="001F437C"/>
    <w:rsid w:val="001F4939"/>
    <w:rsid w:val="001F4A10"/>
    <w:rsid w:val="001F4D61"/>
    <w:rsid w:val="001F5277"/>
    <w:rsid w:val="001F5923"/>
    <w:rsid w:val="001F627F"/>
    <w:rsid w:val="001F6AE9"/>
    <w:rsid w:val="001F6B1D"/>
    <w:rsid w:val="001F6C95"/>
    <w:rsid w:val="001F6D9F"/>
    <w:rsid w:val="001F7090"/>
    <w:rsid w:val="001F7173"/>
    <w:rsid w:val="001F771B"/>
    <w:rsid w:val="00200023"/>
    <w:rsid w:val="002007E2"/>
    <w:rsid w:val="0020092B"/>
    <w:rsid w:val="002009B4"/>
    <w:rsid w:val="00200AA8"/>
    <w:rsid w:val="00200D05"/>
    <w:rsid w:val="00200DEF"/>
    <w:rsid w:val="00200E0C"/>
    <w:rsid w:val="00201B66"/>
    <w:rsid w:val="00201F42"/>
    <w:rsid w:val="00201FE1"/>
    <w:rsid w:val="002020DC"/>
    <w:rsid w:val="002025BB"/>
    <w:rsid w:val="002026A8"/>
    <w:rsid w:val="00203537"/>
    <w:rsid w:val="002038E3"/>
    <w:rsid w:val="002042F1"/>
    <w:rsid w:val="002045FB"/>
    <w:rsid w:val="002048F4"/>
    <w:rsid w:val="002049F3"/>
    <w:rsid w:val="00204C2B"/>
    <w:rsid w:val="00204CF7"/>
    <w:rsid w:val="0020537B"/>
    <w:rsid w:val="002055B2"/>
    <w:rsid w:val="002059ED"/>
    <w:rsid w:val="0020651E"/>
    <w:rsid w:val="00206921"/>
    <w:rsid w:val="00206F70"/>
    <w:rsid w:val="0020706B"/>
    <w:rsid w:val="00207220"/>
    <w:rsid w:val="002073A2"/>
    <w:rsid w:val="002074FA"/>
    <w:rsid w:val="00207CD2"/>
    <w:rsid w:val="0021005F"/>
    <w:rsid w:val="0021023A"/>
    <w:rsid w:val="0021089F"/>
    <w:rsid w:val="00210CBB"/>
    <w:rsid w:val="00210D02"/>
    <w:rsid w:val="00210EBE"/>
    <w:rsid w:val="0021126A"/>
    <w:rsid w:val="00211965"/>
    <w:rsid w:val="00211B71"/>
    <w:rsid w:val="0021231F"/>
    <w:rsid w:val="00212BDE"/>
    <w:rsid w:val="00212C86"/>
    <w:rsid w:val="002137ED"/>
    <w:rsid w:val="00213A81"/>
    <w:rsid w:val="002146B8"/>
    <w:rsid w:val="002156E6"/>
    <w:rsid w:val="00215B44"/>
    <w:rsid w:val="00215B82"/>
    <w:rsid w:val="002163FE"/>
    <w:rsid w:val="002169B7"/>
    <w:rsid w:val="00216D23"/>
    <w:rsid w:val="0021758F"/>
    <w:rsid w:val="0021770F"/>
    <w:rsid w:val="00217A73"/>
    <w:rsid w:val="00217BEE"/>
    <w:rsid w:val="002202FE"/>
    <w:rsid w:val="0022080F"/>
    <w:rsid w:val="0022103E"/>
    <w:rsid w:val="00221B73"/>
    <w:rsid w:val="0022284E"/>
    <w:rsid w:val="0022365C"/>
    <w:rsid w:val="00223B83"/>
    <w:rsid w:val="0022425C"/>
    <w:rsid w:val="00224384"/>
    <w:rsid w:val="002244D1"/>
    <w:rsid w:val="00224509"/>
    <w:rsid w:val="0022465E"/>
    <w:rsid w:val="00224B56"/>
    <w:rsid w:val="00225E3A"/>
    <w:rsid w:val="00226230"/>
    <w:rsid w:val="0022631D"/>
    <w:rsid w:val="00226F26"/>
    <w:rsid w:val="00227B98"/>
    <w:rsid w:val="00227F1C"/>
    <w:rsid w:val="002301AE"/>
    <w:rsid w:val="00230342"/>
    <w:rsid w:val="002304F9"/>
    <w:rsid w:val="00230713"/>
    <w:rsid w:val="002307B8"/>
    <w:rsid w:val="00231265"/>
    <w:rsid w:val="0023176E"/>
    <w:rsid w:val="00231A27"/>
    <w:rsid w:val="00232D75"/>
    <w:rsid w:val="00232DA0"/>
    <w:rsid w:val="00232EAF"/>
    <w:rsid w:val="0023356E"/>
    <w:rsid w:val="002338DE"/>
    <w:rsid w:val="0023395F"/>
    <w:rsid w:val="002339ED"/>
    <w:rsid w:val="00233CAE"/>
    <w:rsid w:val="002346EF"/>
    <w:rsid w:val="002347BC"/>
    <w:rsid w:val="002349F5"/>
    <w:rsid w:val="00234C84"/>
    <w:rsid w:val="00234CE7"/>
    <w:rsid w:val="0023511B"/>
    <w:rsid w:val="0023516A"/>
    <w:rsid w:val="0023557F"/>
    <w:rsid w:val="002355DE"/>
    <w:rsid w:val="00235A12"/>
    <w:rsid w:val="00235E4F"/>
    <w:rsid w:val="00236B20"/>
    <w:rsid w:val="00236CD8"/>
    <w:rsid w:val="002374F3"/>
    <w:rsid w:val="00237570"/>
    <w:rsid w:val="002379EF"/>
    <w:rsid w:val="0024006C"/>
    <w:rsid w:val="0024045A"/>
    <w:rsid w:val="00240582"/>
    <w:rsid w:val="002410C7"/>
    <w:rsid w:val="00241306"/>
    <w:rsid w:val="00241D37"/>
    <w:rsid w:val="00241D6C"/>
    <w:rsid w:val="00241D78"/>
    <w:rsid w:val="00242117"/>
    <w:rsid w:val="00242CCC"/>
    <w:rsid w:val="002439DF"/>
    <w:rsid w:val="00243A0B"/>
    <w:rsid w:val="00243B52"/>
    <w:rsid w:val="00243D2C"/>
    <w:rsid w:val="00243DE8"/>
    <w:rsid w:val="00244760"/>
    <w:rsid w:val="0024496F"/>
    <w:rsid w:val="00244B02"/>
    <w:rsid w:val="00244CD1"/>
    <w:rsid w:val="00244EBE"/>
    <w:rsid w:val="00244FB6"/>
    <w:rsid w:val="00245027"/>
    <w:rsid w:val="002456B8"/>
    <w:rsid w:val="0024584C"/>
    <w:rsid w:val="00245EA9"/>
    <w:rsid w:val="00245F6B"/>
    <w:rsid w:val="002464FE"/>
    <w:rsid w:val="00246EFE"/>
    <w:rsid w:val="00247119"/>
    <w:rsid w:val="002471CB"/>
    <w:rsid w:val="002476A0"/>
    <w:rsid w:val="00247907"/>
    <w:rsid w:val="00247BF5"/>
    <w:rsid w:val="00247CE1"/>
    <w:rsid w:val="00250404"/>
    <w:rsid w:val="002506B6"/>
    <w:rsid w:val="00250E4C"/>
    <w:rsid w:val="00250E4E"/>
    <w:rsid w:val="00251048"/>
    <w:rsid w:val="002510B9"/>
    <w:rsid w:val="002519E6"/>
    <w:rsid w:val="00252070"/>
    <w:rsid w:val="002525C6"/>
    <w:rsid w:val="002526E9"/>
    <w:rsid w:val="0025299D"/>
    <w:rsid w:val="00253FF1"/>
    <w:rsid w:val="00254094"/>
    <w:rsid w:val="00254A25"/>
    <w:rsid w:val="00254F7C"/>
    <w:rsid w:val="00255482"/>
    <w:rsid w:val="00255904"/>
    <w:rsid w:val="002569E4"/>
    <w:rsid w:val="00257149"/>
    <w:rsid w:val="002576F3"/>
    <w:rsid w:val="002577A6"/>
    <w:rsid w:val="0025796E"/>
    <w:rsid w:val="00257B95"/>
    <w:rsid w:val="002602E3"/>
    <w:rsid w:val="00260C8B"/>
    <w:rsid w:val="00260CB4"/>
    <w:rsid w:val="00260EB6"/>
    <w:rsid w:val="002612A3"/>
    <w:rsid w:val="002619C5"/>
    <w:rsid w:val="002620C0"/>
    <w:rsid w:val="00262201"/>
    <w:rsid w:val="0026235D"/>
    <w:rsid w:val="002624FE"/>
    <w:rsid w:val="00262870"/>
    <w:rsid w:val="002629E3"/>
    <w:rsid w:val="00262CA8"/>
    <w:rsid w:val="002634E1"/>
    <w:rsid w:val="0026369B"/>
    <w:rsid w:val="00263AA1"/>
    <w:rsid w:val="00263EE6"/>
    <w:rsid w:val="002641BD"/>
    <w:rsid w:val="0026439D"/>
    <w:rsid w:val="00264B73"/>
    <w:rsid w:val="00264CBE"/>
    <w:rsid w:val="00264F54"/>
    <w:rsid w:val="0026503C"/>
    <w:rsid w:val="00265551"/>
    <w:rsid w:val="002655D2"/>
    <w:rsid w:val="00265FDD"/>
    <w:rsid w:val="002669B9"/>
    <w:rsid w:val="00266B3B"/>
    <w:rsid w:val="00266DF4"/>
    <w:rsid w:val="00266FDF"/>
    <w:rsid w:val="00267029"/>
    <w:rsid w:val="002672FE"/>
    <w:rsid w:val="00267940"/>
    <w:rsid w:val="00267E00"/>
    <w:rsid w:val="002707C1"/>
    <w:rsid w:val="00270883"/>
    <w:rsid w:val="002708B0"/>
    <w:rsid w:val="00270C3A"/>
    <w:rsid w:val="00271180"/>
    <w:rsid w:val="00271312"/>
    <w:rsid w:val="00271612"/>
    <w:rsid w:val="00271763"/>
    <w:rsid w:val="00271978"/>
    <w:rsid w:val="00271C83"/>
    <w:rsid w:val="0027241E"/>
    <w:rsid w:val="002724FD"/>
    <w:rsid w:val="002727C9"/>
    <w:rsid w:val="00272AF9"/>
    <w:rsid w:val="00272B3F"/>
    <w:rsid w:val="00272F2F"/>
    <w:rsid w:val="0027348F"/>
    <w:rsid w:val="00274986"/>
    <w:rsid w:val="00274A80"/>
    <w:rsid w:val="00274B85"/>
    <w:rsid w:val="0027509E"/>
    <w:rsid w:val="00275406"/>
    <w:rsid w:val="0027542D"/>
    <w:rsid w:val="00275669"/>
    <w:rsid w:val="00275722"/>
    <w:rsid w:val="00275883"/>
    <w:rsid w:val="00275A2B"/>
    <w:rsid w:val="00275AEB"/>
    <w:rsid w:val="0027623A"/>
    <w:rsid w:val="00276825"/>
    <w:rsid w:val="00276C1D"/>
    <w:rsid w:val="0027710C"/>
    <w:rsid w:val="0027712E"/>
    <w:rsid w:val="002771A4"/>
    <w:rsid w:val="00277648"/>
    <w:rsid w:val="00277C56"/>
    <w:rsid w:val="00280343"/>
    <w:rsid w:val="00280C7D"/>
    <w:rsid w:val="00280E50"/>
    <w:rsid w:val="00281618"/>
    <w:rsid w:val="00281A5D"/>
    <w:rsid w:val="00281C00"/>
    <w:rsid w:val="00281F1C"/>
    <w:rsid w:val="00281F68"/>
    <w:rsid w:val="00282038"/>
    <w:rsid w:val="0028254F"/>
    <w:rsid w:val="00282BB4"/>
    <w:rsid w:val="00282BED"/>
    <w:rsid w:val="00282FE0"/>
    <w:rsid w:val="002833BE"/>
    <w:rsid w:val="00283590"/>
    <w:rsid w:val="00283A77"/>
    <w:rsid w:val="00284395"/>
    <w:rsid w:val="00284631"/>
    <w:rsid w:val="0028499B"/>
    <w:rsid w:val="00284C38"/>
    <w:rsid w:val="00285180"/>
    <w:rsid w:val="0028559A"/>
    <w:rsid w:val="00285C87"/>
    <w:rsid w:val="00285DBC"/>
    <w:rsid w:val="00285DD5"/>
    <w:rsid w:val="00285EB5"/>
    <w:rsid w:val="0028679A"/>
    <w:rsid w:val="00286DD7"/>
    <w:rsid w:val="00290A99"/>
    <w:rsid w:val="00290C75"/>
    <w:rsid w:val="00290EFB"/>
    <w:rsid w:val="002916D8"/>
    <w:rsid w:val="0029179A"/>
    <w:rsid w:val="002918E2"/>
    <w:rsid w:val="00291C2D"/>
    <w:rsid w:val="00291D7C"/>
    <w:rsid w:val="00291F83"/>
    <w:rsid w:val="002924A6"/>
    <w:rsid w:val="002926EC"/>
    <w:rsid w:val="00292E7F"/>
    <w:rsid w:val="00292F5A"/>
    <w:rsid w:val="002933EF"/>
    <w:rsid w:val="0029352A"/>
    <w:rsid w:val="00293FAC"/>
    <w:rsid w:val="00294E1B"/>
    <w:rsid w:val="00294FB3"/>
    <w:rsid w:val="002953B5"/>
    <w:rsid w:val="002958DC"/>
    <w:rsid w:val="0029630E"/>
    <w:rsid w:val="00296448"/>
    <w:rsid w:val="00296883"/>
    <w:rsid w:val="00296C42"/>
    <w:rsid w:val="00296CDB"/>
    <w:rsid w:val="002970A8"/>
    <w:rsid w:val="002977B8"/>
    <w:rsid w:val="002979B9"/>
    <w:rsid w:val="00297F7D"/>
    <w:rsid w:val="002A0374"/>
    <w:rsid w:val="002A046C"/>
    <w:rsid w:val="002A0608"/>
    <w:rsid w:val="002A0709"/>
    <w:rsid w:val="002A0A12"/>
    <w:rsid w:val="002A0E28"/>
    <w:rsid w:val="002A0F20"/>
    <w:rsid w:val="002A1C7B"/>
    <w:rsid w:val="002A201B"/>
    <w:rsid w:val="002A203C"/>
    <w:rsid w:val="002A233E"/>
    <w:rsid w:val="002A2A62"/>
    <w:rsid w:val="002A2B64"/>
    <w:rsid w:val="002A303B"/>
    <w:rsid w:val="002A3101"/>
    <w:rsid w:val="002A38A0"/>
    <w:rsid w:val="002A38EB"/>
    <w:rsid w:val="002A3A23"/>
    <w:rsid w:val="002A3E77"/>
    <w:rsid w:val="002A42C6"/>
    <w:rsid w:val="002A42FD"/>
    <w:rsid w:val="002A4390"/>
    <w:rsid w:val="002A456D"/>
    <w:rsid w:val="002A47A5"/>
    <w:rsid w:val="002A4B5D"/>
    <w:rsid w:val="002A51A9"/>
    <w:rsid w:val="002A545D"/>
    <w:rsid w:val="002A54DA"/>
    <w:rsid w:val="002A5B7D"/>
    <w:rsid w:val="002A5C84"/>
    <w:rsid w:val="002A5E3C"/>
    <w:rsid w:val="002A5E9A"/>
    <w:rsid w:val="002A67A8"/>
    <w:rsid w:val="002A6ADF"/>
    <w:rsid w:val="002A716C"/>
    <w:rsid w:val="002B0592"/>
    <w:rsid w:val="002B0C15"/>
    <w:rsid w:val="002B0EF3"/>
    <w:rsid w:val="002B10FF"/>
    <w:rsid w:val="002B1926"/>
    <w:rsid w:val="002B20F1"/>
    <w:rsid w:val="002B2839"/>
    <w:rsid w:val="002B2DA8"/>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5C38"/>
    <w:rsid w:val="002B61C3"/>
    <w:rsid w:val="002B69CB"/>
    <w:rsid w:val="002B6EAC"/>
    <w:rsid w:val="002B72F9"/>
    <w:rsid w:val="002B76E7"/>
    <w:rsid w:val="002B7752"/>
    <w:rsid w:val="002B7C68"/>
    <w:rsid w:val="002C0A36"/>
    <w:rsid w:val="002C0E1B"/>
    <w:rsid w:val="002C1464"/>
    <w:rsid w:val="002C18AA"/>
    <w:rsid w:val="002C1BFA"/>
    <w:rsid w:val="002C22B2"/>
    <w:rsid w:val="002C26F9"/>
    <w:rsid w:val="002C301C"/>
    <w:rsid w:val="002C3EE1"/>
    <w:rsid w:val="002C3FE0"/>
    <w:rsid w:val="002C40EE"/>
    <w:rsid w:val="002C4249"/>
    <w:rsid w:val="002C4B85"/>
    <w:rsid w:val="002C4C5E"/>
    <w:rsid w:val="002C50F0"/>
    <w:rsid w:val="002C51C0"/>
    <w:rsid w:val="002C5287"/>
    <w:rsid w:val="002C6873"/>
    <w:rsid w:val="002C6C9A"/>
    <w:rsid w:val="002C6E1D"/>
    <w:rsid w:val="002C6E46"/>
    <w:rsid w:val="002C725E"/>
    <w:rsid w:val="002C7ACC"/>
    <w:rsid w:val="002C7C54"/>
    <w:rsid w:val="002C7D52"/>
    <w:rsid w:val="002D0458"/>
    <w:rsid w:val="002D0583"/>
    <w:rsid w:val="002D06BB"/>
    <w:rsid w:val="002D0DA8"/>
    <w:rsid w:val="002D1349"/>
    <w:rsid w:val="002D1A70"/>
    <w:rsid w:val="002D1D77"/>
    <w:rsid w:val="002D2B7C"/>
    <w:rsid w:val="002D2E24"/>
    <w:rsid w:val="002D2E75"/>
    <w:rsid w:val="002D3584"/>
    <w:rsid w:val="002D3E49"/>
    <w:rsid w:val="002D4587"/>
    <w:rsid w:val="002D48B9"/>
    <w:rsid w:val="002D4A96"/>
    <w:rsid w:val="002D4E9C"/>
    <w:rsid w:val="002D52AD"/>
    <w:rsid w:val="002D5518"/>
    <w:rsid w:val="002D56BD"/>
    <w:rsid w:val="002D578A"/>
    <w:rsid w:val="002D68A2"/>
    <w:rsid w:val="002D6F9A"/>
    <w:rsid w:val="002D70C9"/>
    <w:rsid w:val="002D7116"/>
    <w:rsid w:val="002D7273"/>
    <w:rsid w:val="002D7AC1"/>
    <w:rsid w:val="002D7FB2"/>
    <w:rsid w:val="002E039C"/>
    <w:rsid w:val="002E0DCB"/>
    <w:rsid w:val="002E17DC"/>
    <w:rsid w:val="002E1E40"/>
    <w:rsid w:val="002E2142"/>
    <w:rsid w:val="002E2273"/>
    <w:rsid w:val="002E280F"/>
    <w:rsid w:val="002E290B"/>
    <w:rsid w:val="002E304A"/>
    <w:rsid w:val="002E31C8"/>
    <w:rsid w:val="002E341E"/>
    <w:rsid w:val="002E387F"/>
    <w:rsid w:val="002E4191"/>
    <w:rsid w:val="002E424C"/>
    <w:rsid w:val="002E45DF"/>
    <w:rsid w:val="002E4CFF"/>
    <w:rsid w:val="002E4F68"/>
    <w:rsid w:val="002E5379"/>
    <w:rsid w:val="002E585F"/>
    <w:rsid w:val="002E5F08"/>
    <w:rsid w:val="002E5F91"/>
    <w:rsid w:val="002E6019"/>
    <w:rsid w:val="002E6064"/>
    <w:rsid w:val="002E614C"/>
    <w:rsid w:val="002E634B"/>
    <w:rsid w:val="002E63E2"/>
    <w:rsid w:val="002E6724"/>
    <w:rsid w:val="002E6DBA"/>
    <w:rsid w:val="002E6EC3"/>
    <w:rsid w:val="002E7089"/>
    <w:rsid w:val="002E7284"/>
    <w:rsid w:val="002E780F"/>
    <w:rsid w:val="002E7CC8"/>
    <w:rsid w:val="002E7EDF"/>
    <w:rsid w:val="002E7F7A"/>
    <w:rsid w:val="002F01B8"/>
    <w:rsid w:val="002F02BD"/>
    <w:rsid w:val="002F0339"/>
    <w:rsid w:val="002F08B0"/>
    <w:rsid w:val="002F11FE"/>
    <w:rsid w:val="002F17C7"/>
    <w:rsid w:val="002F193A"/>
    <w:rsid w:val="002F19FD"/>
    <w:rsid w:val="002F1AF4"/>
    <w:rsid w:val="002F2965"/>
    <w:rsid w:val="002F2D4B"/>
    <w:rsid w:val="002F2ED2"/>
    <w:rsid w:val="002F3176"/>
    <w:rsid w:val="002F35FE"/>
    <w:rsid w:val="002F3AE0"/>
    <w:rsid w:val="002F3DD1"/>
    <w:rsid w:val="002F3EAE"/>
    <w:rsid w:val="002F3F31"/>
    <w:rsid w:val="002F45D3"/>
    <w:rsid w:val="002F485D"/>
    <w:rsid w:val="002F4B29"/>
    <w:rsid w:val="002F4C1A"/>
    <w:rsid w:val="002F5005"/>
    <w:rsid w:val="002F5141"/>
    <w:rsid w:val="002F5A0A"/>
    <w:rsid w:val="002F5E26"/>
    <w:rsid w:val="002F61CD"/>
    <w:rsid w:val="002F64B3"/>
    <w:rsid w:val="002F66EF"/>
    <w:rsid w:val="002F68EE"/>
    <w:rsid w:val="002F6E2E"/>
    <w:rsid w:val="002F6F66"/>
    <w:rsid w:val="002F7255"/>
    <w:rsid w:val="002F744B"/>
    <w:rsid w:val="002F74BB"/>
    <w:rsid w:val="002F78C0"/>
    <w:rsid w:val="003002B1"/>
    <w:rsid w:val="00300CD7"/>
    <w:rsid w:val="00300E0F"/>
    <w:rsid w:val="003013F4"/>
    <w:rsid w:val="0030166F"/>
    <w:rsid w:val="00301D49"/>
    <w:rsid w:val="0030213D"/>
    <w:rsid w:val="00302494"/>
    <w:rsid w:val="00303162"/>
    <w:rsid w:val="003038D3"/>
    <w:rsid w:val="00303BB0"/>
    <w:rsid w:val="00303C44"/>
    <w:rsid w:val="0030413B"/>
    <w:rsid w:val="003041A4"/>
    <w:rsid w:val="003043A1"/>
    <w:rsid w:val="0030457C"/>
    <w:rsid w:val="00304C08"/>
    <w:rsid w:val="00305006"/>
    <w:rsid w:val="00305248"/>
    <w:rsid w:val="003054B4"/>
    <w:rsid w:val="00305787"/>
    <w:rsid w:val="0030587D"/>
    <w:rsid w:val="00305C19"/>
    <w:rsid w:val="00305EEA"/>
    <w:rsid w:val="003061D2"/>
    <w:rsid w:val="00306D71"/>
    <w:rsid w:val="00307B4B"/>
    <w:rsid w:val="00307EBF"/>
    <w:rsid w:val="0031023D"/>
    <w:rsid w:val="00310354"/>
    <w:rsid w:val="003104AF"/>
    <w:rsid w:val="0031055D"/>
    <w:rsid w:val="00310925"/>
    <w:rsid w:val="00310A7E"/>
    <w:rsid w:val="00311476"/>
    <w:rsid w:val="00311C8E"/>
    <w:rsid w:val="00311F2E"/>
    <w:rsid w:val="003122A2"/>
    <w:rsid w:val="003129B4"/>
    <w:rsid w:val="003129C7"/>
    <w:rsid w:val="0031319D"/>
    <w:rsid w:val="00313428"/>
    <w:rsid w:val="0031369C"/>
    <w:rsid w:val="00313921"/>
    <w:rsid w:val="00313D9B"/>
    <w:rsid w:val="00314D94"/>
    <w:rsid w:val="00314EF0"/>
    <w:rsid w:val="00314F13"/>
    <w:rsid w:val="0031578D"/>
    <w:rsid w:val="00315E9D"/>
    <w:rsid w:val="003160DE"/>
    <w:rsid w:val="00316C53"/>
    <w:rsid w:val="0031707E"/>
    <w:rsid w:val="0031781D"/>
    <w:rsid w:val="00317967"/>
    <w:rsid w:val="003200A0"/>
    <w:rsid w:val="0032024F"/>
    <w:rsid w:val="0032034F"/>
    <w:rsid w:val="003205FD"/>
    <w:rsid w:val="003208FC"/>
    <w:rsid w:val="003209E0"/>
    <w:rsid w:val="00321190"/>
    <w:rsid w:val="00321830"/>
    <w:rsid w:val="00321961"/>
    <w:rsid w:val="00322803"/>
    <w:rsid w:val="003229D4"/>
    <w:rsid w:val="003235BC"/>
    <w:rsid w:val="00323B0A"/>
    <w:rsid w:val="00323D40"/>
    <w:rsid w:val="00324357"/>
    <w:rsid w:val="0032485F"/>
    <w:rsid w:val="003249B0"/>
    <w:rsid w:val="00325307"/>
    <w:rsid w:val="00325B4C"/>
    <w:rsid w:val="0032693C"/>
    <w:rsid w:val="003278EA"/>
    <w:rsid w:val="00327924"/>
    <w:rsid w:val="00327B25"/>
    <w:rsid w:val="00330669"/>
    <w:rsid w:val="0033079D"/>
    <w:rsid w:val="003309FF"/>
    <w:rsid w:val="003310B6"/>
    <w:rsid w:val="003318D4"/>
    <w:rsid w:val="00331F4F"/>
    <w:rsid w:val="00331FAD"/>
    <w:rsid w:val="0033204F"/>
    <w:rsid w:val="003320DB"/>
    <w:rsid w:val="0033213A"/>
    <w:rsid w:val="003327BC"/>
    <w:rsid w:val="003328FD"/>
    <w:rsid w:val="00332988"/>
    <w:rsid w:val="0033347E"/>
    <w:rsid w:val="00333A1E"/>
    <w:rsid w:val="00333A3B"/>
    <w:rsid w:val="00333A4A"/>
    <w:rsid w:val="00333B4B"/>
    <w:rsid w:val="00333C43"/>
    <w:rsid w:val="003342DF"/>
    <w:rsid w:val="00334BDD"/>
    <w:rsid w:val="00334CC3"/>
    <w:rsid w:val="00335D64"/>
    <w:rsid w:val="00335E0E"/>
    <w:rsid w:val="00335FB8"/>
    <w:rsid w:val="00335FBB"/>
    <w:rsid w:val="00335FEC"/>
    <w:rsid w:val="00336326"/>
    <w:rsid w:val="00336692"/>
    <w:rsid w:val="0033683F"/>
    <w:rsid w:val="00336BCB"/>
    <w:rsid w:val="00336DC9"/>
    <w:rsid w:val="00336FA9"/>
    <w:rsid w:val="00337CA7"/>
    <w:rsid w:val="00337D00"/>
    <w:rsid w:val="00337EE8"/>
    <w:rsid w:val="00340B52"/>
    <w:rsid w:val="00340C59"/>
    <w:rsid w:val="00341847"/>
    <w:rsid w:val="00341DA4"/>
    <w:rsid w:val="00342243"/>
    <w:rsid w:val="003428DE"/>
    <w:rsid w:val="0034298C"/>
    <w:rsid w:val="00342E7D"/>
    <w:rsid w:val="00343776"/>
    <w:rsid w:val="00343999"/>
    <w:rsid w:val="00343A16"/>
    <w:rsid w:val="00343ABB"/>
    <w:rsid w:val="003443E1"/>
    <w:rsid w:val="00344429"/>
    <w:rsid w:val="00344506"/>
    <w:rsid w:val="00344A66"/>
    <w:rsid w:val="00344AA3"/>
    <w:rsid w:val="00344F62"/>
    <w:rsid w:val="00344F81"/>
    <w:rsid w:val="00345288"/>
    <w:rsid w:val="003454FB"/>
    <w:rsid w:val="00345DBA"/>
    <w:rsid w:val="00346615"/>
    <w:rsid w:val="00347CCA"/>
    <w:rsid w:val="00347E96"/>
    <w:rsid w:val="003507A7"/>
    <w:rsid w:val="00350A76"/>
    <w:rsid w:val="00350BC4"/>
    <w:rsid w:val="00351448"/>
    <w:rsid w:val="003519C7"/>
    <w:rsid w:val="00351A9F"/>
    <w:rsid w:val="0035264B"/>
    <w:rsid w:val="00352694"/>
    <w:rsid w:val="00352D46"/>
    <w:rsid w:val="00352DBB"/>
    <w:rsid w:val="003538BD"/>
    <w:rsid w:val="00353E92"/>
    <w:rsid w:val="00353F48"/>
    <w:rsid w:val="0035406E"/>
    <w:rsid w:val="003540E0"/>
    <w:rsid w:val="003544A2"/>
    <w:rsid w:val="00355573"/>
    <w:rsid w:val="00355AE7"/>
    <w:rsid w:val="00356099"/>
    <w:rsid w:val="00356541"/>
    <w:rsid w:val="0035664C"/>
    <w:rsid w:val="003574DA"/>
    <w:rsid w:val="00357704"/>
    <w:rsid w:val="00357788"/>
    <w:rsid w:val="00357AA7"/>
    <w:rsid w:val="00357AB9"/>
    <w:rsid w:val="003604D4"/>
    <w:rsid w:val="00360620"/>
    <w:rsid w:val="00360809"/>
    <w:rsid w:val="0036082B"/>
    <w:rsid w:val="00360EEC"/>
    <w:rsid w:val="0036103F"/>
    <w:rsid w:val="00361264"/>
    <w:rsid w:val="00361AEA"/>
    <w:rsid w:val="00361F62"/>
    <w:rsid w:val="00362158"/>
    <w:rsid w:val="00362263"/>
    <w:rsid w:val="00362383"/>
    <w:rsid w:val="00363133"/>
    <w:rsid w:val="0036350D"/>
    <w:rsid w:val="00363586"/>
    <w:rsid w:val="0036381A"/>
    <w:rsid w:val="00363C5C"/>
    <w:rsid w:val="0036434B"/>
    <w:rsid w:val="00364E15"/>
    <w:rsid w:val="00365098"/>
    <w:rsid w:val="00365395"/>
    <w:rsid w:val="003653C2"/>
    <w:rsid w:val="0036582A"/>
    <w:rsid w:val="003659A3"/>
    <w:rsid w:val="00365A88"/>
    <w:rsid w:val="00366262"/>
    <w:rsid w:val="0036683A"/>
    <w:rsid w:val="00366B0D"/>
    <w:rsid w:val="0036732D"/>
    <w:rsid w:val="00367FEB"/>
    <w:rsid w:val="00370552"/>
    <w:rsid w:val="0037061D"/>
    <w:rsid w:val="00370F12"/>
    <w:rsid w:val="00371270"/>
    <w:rsid w:val="003717D9"/>
    <w:rsid w:val="0037191B"/>
    <w:rsid w:val="00371E8C"/>
    <w:rsid w:val="00371FDB"/>
    <w:rsid w:val="00372280"/>
    <w:rsid w:val="003724EE"/>
    <w:rsid w:val="003725C2"/>
    <w:rsid w:val="00372C0E"/>
    <w:rsid w:val="00372DA0"/>
    <w:rsid w:val="00372F27"/>
    <w:rsid w:val="00372F5A"/>
    <w:rsid w:val="00373550"/>
    <w:rsid w:val="00373658"/>
    <w:rsid w:val="00373751"/>
    <w:rsid w:val="00373EA1"/>
    <w:rsid w:val="00374210"/>
    <w:rsid w:val="003749CF"/>
    <w:rsid w:val="00374E17"/>
    <w:rsid w:val="00374F50"/>
    <w:rsid w:val="003752EA"/>
    <w:rsid w:val="00375597"/>
    <w:rsid w:val="003756C3"/>
    <w:rsid w:val="003758BB"/>
    <w:rsid w:val="00375A5E"/>
    <w:rsid w:val="00375AF5"/>
    <w:rsid w:val="00376058"/>
    <w:rsid w:val="00376BD1"/>
    <w:rsid w:val="00376FC7"/>
    <w:rsid w:val="0037727D"/>
    <w:rsid w:val="0038034F"/>
    <w:rsid w:val="003804DB"/>
    <w:rsid w:val="00380B2E"/>
    <w:rsid w:val="0038123A"/>
    <w:rsid w:val="00381A98"/>
    <w:rsid w:val="00381AB9"/>
    <w:rsid w:val="00381D19"/>
    <w:rsid w:val="00381DE4"/>
    <w:rsid w:val="00382355"/>
    <w:rsid w:val="003824B8"/>
    <w:rsid w:val="00382D52"/>
    <w:rsid w:val="00382FB8"/>
    <w:rsid w:val="003831A5"/>
    <w:rsid w:val="0038324A"/>
    <w:rsid w:val="0038337B"/>
    <w:rsid w:val="00383988"/>
    <w:rsid w:val="00383BAD"/>
    <w:rsid w:val="003840A2"/>
    <w:rsid w:val="00384CEB"/>
    <w:rsid w:val="00384E5E"/>
    <w:rsid w:val="00384EC5"/>
    <w:rsid w:val="003851FA"/>
    <w:rsid w:val="00385583"/>
    <w:rsid w:val="00386697"/>
    <w:rsid w:val="00386C26"/>
    <w:rsid w:val="00386E0F"/>
    <w:rsid w:val="003871F7"/>
    <w:rsid w:val="00387486"/>
    <w:rsid w:val="00387B4C"/>
    <w:rsid w:val="00387D6C"/>
    <w:rsid w:val="00387E06"/>
    <w:rsid w:val="0039003E"/>
    <w:rsid w:val="0039021F"/>
    <w:rsid w:val="00390705"/>
    <w:rsid w:val="00390A1C"/>
    <w:rsid w:val="00390BDA"/>
    <w:rsid w:val="00390E26"/>
    <w:rsid w:val="00390EEC"/>
    <w:rsid w:val="0039140F"/>
    <w:rsid w:val="0039161E"/>
    <w:rsid w:val="003918F4"/>
    <w:rsid w:val="00391ED2"/>
    <w:rsid w:val="00391FEB"/>
    <w:rsid w:val="00392059"/>
    <w:rsid w:val="003922B0"/>
    <w:rsid w:val="0039268F"/>
    <w:rsid w:val="0039361C"/>
    <w:rsid w:val="00393C67"/>
    <w:rsid w:val="0039408F"/>
    <w:rsid w:val="0039418B"/>
    <w:rsid w:val="00394290"/>
    <w:rsid w:val="003947A5"/>
    <w:rsid w:val="00394D57"/>
    <w:rsid w:val="00394F70"/>
    <w:rsid w:val="00395C24"/>
    <w:rsid w:val="00395CC5"/>
    <w:rsid w:val="00395EE2"/>
    <w:rsid w:val="00396506"/>
    <w:rsid w:val="00396815"/>
    <w:rsid w:val="00396D6B"/>
    <w:rsid w:val="00396DE3"/>
    <w:rsid w:val="003974ED"/>
    <w:rsid w:val="00397C50"/>
    <w:rsid w:val="00397C8A"/>
    <w:rsid w:val="00397D39"/>
    <w:rsid w:val="003A0434"/>
    <w:rsid w:val="003A04D6"/>
    <w:rsid w:val="003A04FE"/>
    <w:rsid w:val="003A080A"/>
    <w:rsid w:val="003A199A"/>
    <w:rsid w:val="003A2E22"/>
    <w:rsid w:val="003A2F0B"/>
    <w:rsid w:val="003A35A4"/>
    <w:rsid w:val="003A35A6"/>
    <w:rsid w:val="003A375C"/>
    <w:rsid w:val="003A3927"/>
    <w:rsid w:val="003A3C3D"/>
    <w:rsid w:val="003A427F"/>
    <w:rsid w:val="003A49EB"/>
    <w:rsid w:val="003A4C67"/>
    <w:rsid w:val="003A5721"/>
    <w:rsid w:val="003A596B"/>
    <w:rsid w:val="003A5A6F"/>
    <w:rsid w:val="003A5B54"/>
    <w:rsid w:val="003A5BC4"/>
    <w:rsid w:val="003A5D07"/>
    <w:rsid w:val="003A6645"/>
    <w:rsid w:val="003A6841"/>
    <w:rsid w:val="003A6909"/>
    <w:rsid w:val="003A6B3C"/>
    <w:rsid w:val="003A6DC3"/>
    <w:rsid w:val="003A713E"/>
    <w:rsid w:val="003A72B2"/>
    <w:rsid w:val="003B0D1D"/>
    <w:rsid w:val="003B14BD"/>
    <w:rsid w:val="003B16C9"/>
    <w:rsid w:val="003B1762"/>
    <w:rsid w:val="003B19DD"/>
    <w:rsid w:val="003B2428"/>
    <w:rsid w:val="003B24C0"/>
    <w:rsid w:val="003B27F0"/>
    <w:rsid w:val="003B2B20"/>
    <w:rsid w:val="003B2C15"/>
    <w:rsid w:val="003B2DB7"/>
    <w:rsid w:val="003B302B"/>
    <w:rsid w:val="003B33DD"/>
    <w:rsid w:val="003B3630"/>
    <w:rsid w:val="003B3730"/>
    <w:rsid w:val="003B3775"/>
    <w:rsid w:val="003B3EC4"/>
    <w:rsid w:val="003B415F"/>
    <w:rsid w:val="003B4252"/>
    <w:rsid w:val="003B4395"/>
    <w:rsid w:val="003B47B1"/>
    <w:rsid w:val="003B4A44"/>
    <w:rsid w:val="003B4AED"/>
    <w:rsid w:val="003B4E58"/>
    <w:rsid w:val="003B5280"/>
    <w:rsid w:val="003B5547"/>
    <w:rsid w:val="003B5D00"/>
    <w:rsid w:val="003B5F66"/>
    <w:rsid w:val="003B6641"/>
    <w:rsid w:val="003B66C2"/>
    <w:rsid w:val="003B69B3"/>
    <w:rsid w:val="003B6B24"/>
    <w:rsid w:val="003B6CFA"/>
    <w:rsid w:val="003B72C4"/>
    <w:rsid w:val="003B7313"/>
    <w:rsid w:val="003B7A77"/>
    <w:rsid w:val="003C0BC9"/>
    <w:rsid w:val="003C0C22"/>
    <w:rsid w:val="003C0C2C"/>
    <w:rsid w:val="003C0E20"/>
    <w:rsid w:val="003C1268"/>
    <w:rsid w:val="003C189A"/>
    <w:rsid w:val="003C1950"/>
    <w:rsid w:val="003C199E"/>
    <w:rsid w:val="003C1BBA"/>
    <w:rsid w:val="003C1DC3"/>
    <w:rsid w:val="003C1E75"/>
    <w:rsid w:val="003C2414"/>
    <w:rsid w:val="003C278D"/>
    <w:rsid w:val="003C3333"/>
    <w:rsid w:val="003C370E"/>
    <w:rsid w:val="003C38A3"/>
    <w:rsid w:val="003C3925"/>
    <w:rsid w:val="003C3DBF"/>
    <w:rsid w:val="003C46BB"/>
    <w:rsid w:val="003C4847"/>
    <w:rsid w:val="003C4AD3"/>
    <w:rsid w:val="003C4BB9"/>
    <w:rsid w:val="003C4C31"/>
    <w:rsid w:val="003C4D57"/>
    <w:rsid w:val="003C4DE1"/>
    <w:rsid w:val="003C4E13"/>
    <w:rsid w:val="003C5774"/>
    <w:rsid w:val="003C60C0"/>
    <w:rsid w:val="003C631A"/>
    <w:rsid w:val="003C6949"/>
    <w:rsid w:val="003C6A92"/>
    <w:rsid w:val="003C6D47"/>
    <w:rsid w:val="003C6DD6"/>
    <w:rsid w:val="003C7317"/>
    <w:rsid w:val="003C77DA"/>
    <w:rsid w:val="003C7A10"/>
    <w:rsid w:val="003C7FCA"/>
    <w:rsid w:val="003D0018"/>
    <w:rsid w:val="003D0097"/>
    <w:rsid w:val="003D00DF"/>
    <w:rsid w:val="003D07C3"/>
    <w:rsid w:val="003D0C28"/>
    <w:rsid w:val="003D0DE4"/>
    <w:rsid w:val="003D1705"/>
    <w:rsid w:val="003D1888"/>
    <w:rsid w:val="003D1DCA"/>
    <w:rsid w:val="003D21E2"/>
    <w:rsid w:val="003D23F8"/>
    <w:rsid w:val="003D2564"/>
    <w:rsid w:val="003D2645"/>
    <w:rsid w:val="003D2A00"/>
    <w:rsid w:val="003D2AA0"/>
    <w:rsid w:val="003D2CDF"/>
    <w:rsid w:val="003D30F9"/>
    <w:rsid w:val="003D3195"/>
    <w:rsid w:val="003D3317"/>
    <w:rsid w:val="003D3B96"/>
    <w:rsid w:val="003D3C19"/>
    <w:rsid w:val="003D3C8B"/>
    <w:rsid w:val="003D422A"/>
    <w:rsid w:val="003D4B03"/>
    <w:rsid w:val="003D53C4"/>
    <w:rsid w:val="003D54C3"/>
    <w:rsid w:val="003D5661"/>
    <w:rsid w:val="003D5839"/>
    <w:rsid w:val="003D5936"/>
    <w:rsid w:val="003D5B03"/>
    <w:rsid w:val="003D5D4C"/>
    <w:rsid w:val="003D6BD4"/>
    <w:rsid w:val="003D6EC7"/>
    <w:rsid w:val="003D719D"/>
    <w:rsid w:val="003D771F"/>
    <w:rsid w:val="003D7EBA"/>
    <w:rsid w:val="003E00FA"/>
    <w:rsid w:val="003E0895"/>
    <w:rsid w:val="003E0C40"/>
    <w:rsid w:val="003E0F13"/>
    <w:rsid w:val="003E1011"/>
    <w:rsid w:val="003E10B9"/>
    <w:rsid w:val="003E22A2"/>
    <w:rsid w:val="003E2AAB"/>
    <w:rsid w:val="003E2BC2"/>
    <w:rsid w:val="003E32B2"/>
    <w:rsid w:val="003E36D0"/>
    <w:rsid w:val="003E3953"/>
    <w:rsid w:val="003E44D0"/>
    <w:rsid w:val="003E47F8"/>
    <w:rsid w:val="003E5798"/>
    <w:rsid w:val="003E5909"/>
    <w:rsid w:val="003E5BC9"/>
    <w:rsid w:val="003E613E"/>
    <w:rsid w:val="003E64F3"/>
    <w:rsid w:val="003E6818"/>
    <w:rsid w:val="003E68E8"/>
    <w:rsid w:val="003E71C9"/>
    <w:rsid w:val="003E7504"/>
    <w:rsid w:val="003E756F"/>
    <w:rsid w:val="003E7664"/>
    <w:rsid w:val="003E7979"/>
    <w:rsid w:val="003E7A03"/>
    <w:rsid w:val="003E7D1A"/>
    <w:rsid w:val="003E7D5A"/>
    <w:rsid w:val="003E7FA5"/>
    <w:rsid w:val="003F0255"/>
    <w:rsid w:val="003F04B8"/>
    <w:rsid w:val="003F0BCE"/>
    <w:rsid w:val="003F0D60"/>
    <w:rsid w:val="003F1DED"/>
    <w:rsid w:val="003F1E13"/>
    <w:rsid w:val="003F1E88"/>
    <w:rsid w:val="003F238B"/>
    <w:rsid w:val="003F23A3"/>
    <w:rsid w:val="003F31B5"/>
    <w:rsid w:val="003F379E"/>
    <w:rsid w:val="003F382C"/>
    <w:rsid w:val="003F3E0E"/>
    <w:rsid w:val="003F3FBB"/>
    <w:rsid w:val="003F410A"/>
    <w:rsid w:val="003F4F19"/>
    <w:rsid w:val="003F52FE"/>
    <w:rsid w:val="003F5960"/>
    <w:rsid w:val="003F626A"/>
    <w:rsid w:val="003F68A9"/>
    <w:rsid w:val="003F6933"/>
    <w:rsid w:val="003F6DCB"/>
    <w:rsid w:val="003F6F3A"/>
    <w:rsid w:val="003F74AC"/>
    <w:rsid w:val="003F76D6"/>
    <w:rsid w:val="003F7A75"/>
    <w:rsid w:val="003F7B9B"/>
    <w:rsid w:val="003F7DDA"/>
    <w:rsid w:val="0040029F"/>
    <w:rsid w:val="0040039A"/>
    <w:rsid w:val="004006BC"/>
    <w:rsid w:val="00400A08"/>
    <w:rsid w:val="004010C7"/>
    <w:rsid w:val="00401468"/>
    <w:rsid w:val="0040162F"/>
    <w:rsid w:val="00401833"/>
    <w:rsid w:val="0040195E"/>
    <w:rsid w:val="00401A79"/>
    <w:rsid w:val="00401AC9"/>
    <w:rsid w:val="00402144"/>
    <w:rsid w:val="00402570"/>
    <w:rsid w:val="00402B76"/>
    <w:rsid w:val="00402D19"/>
    <w:rsid w:val="004030A5"/>
    <w:rsid w:val="004032DF"/>
    <w:rsid w:val="00403BB0"/>
    <w:rsid w:val="00403CBB"/>
    <w:rsid w:val="00404097"/>
    <w:rsid w:val="00404363"/>
    <w:rsid w:val="00404444"/>
    <w:rsid w:val="00404810"/>
    <w:rsid w:val="004048E3"/>
    <w:rsid w:val="00404BE6"/>
    <w:rsid w:val="00404C34"/>
    <w:rsid w:val="004051EE"/>
    <w:rsid w:val="004052C4"/>
    <w:rsid w:val="004052C6"/>
    <w:rsid w:val="0040599D"/>
    <w:rsid w:val="004059F9"/>
    <w:rsid w:val="00405AAE"/>
    <w:rsid w:val="004061ED"/>
    <w:rsid w:val="00406820"/>
    <w:rsid w:val="00407119"/>
    <w:rsid w:val="00407D31"/>
    <w:rsid w:val="00410240"/>
    <w:rsid w:val="0041048F"/>
    <w:rsid w:val="00410C78"/>
    <w:rsid w:val="00411131"/>
    <w:rsid w:val="004114AA"/>
    <w:rsid w:val="004118EA"/>
    <w:rsid w:val="00411C8F"/>
    <w:rsid w:val="00411FA9"/>
    <w:rsid w:val="004120FA"/>
    <w:rsid w:val="00412142"/>
    <w:rsid w:val="0041224E"/>
    <w:rsid w:val="0041269A"/>
    <w:rsid w:val="00412783"/>
    <w:rsid w:val="00412D40"/>
    <w:rsid w:val="00412DCC"/>
    <w:rsid w:val="004134C9"/>
    <w:rsid w:val="004136C8"/>
    <w:rsid w:val="004138DA"/>
    <w:rsid w:val="00413BA6"/>
    <w:rsid w:val="00413BC4"/>
    <w:rsid w:val="00413FD4"/>
    <w:rsid w:val="00413FFC"/>
    <w:rsid w:val="00414443"/>
    <w:rsid w:val="00414B25"/>
    <w:rsid w:val="00414E79"/>
    <w:rsid w:val="004155B2"/>
    <w:rsid w:val="004157D2"/>
    <w:rsid w:val="0041592B"/>
    <w:rsid w:val="004161F0"/>
    <w:rsid w:val="004163F2"/>
    <w:rsid w:val="00416431"/>
    <w:rsid w:val="004167BE"/>
    <w:rsid w:val="00417679"/>
    <w:rsid w:val="00417890"/>
    <w:rsid w:val="00417903"/>
    <w:rsid w:val="004179F1"/>
    <w:rsid w:val="00417A01"/>
    <w:rsid w:val="00417C2C"/>
    <w:rsid w:val="00417CC4"/>
    <w:rsid w:val="00417EA9"/>
    <w:rsid w:val="00420245"/>
    <w:rsid w:val="0042040A"/>
    <w:rsid w:val="0042053E"/>
    <w:rsid w:val="00421163"/>
    <w:rsid w:val="004211E6"/>
    <w:rsid w:val="00421C4F"/>
    <w:rsid w:val="00421E69"/>
    <w:rsid w:val="00422097"/>
    <w:rsid w:val="00422191"/>
    <w:rsid w:val="00422677"/>
    <w:rsid w:val="00422E02"/>
    <w:rsid w:val="0042377A"/>
    <w:rsid w:val="00423AA4"/>
    <w:rsid w:val="00423D07"/>
    <w:rsid w:val="00423DAC"/>
    <w:rsid w:val="00424A4B"/>
    <w:rsid w:val="004258E1"/>
    <w:rsid w:val="00425E64"/>
    <w:rsid w:val="00425ED8"/>
    <w:rsid w:val="0042695E"/>
    <w:rsid w:val="00426B9F"/>
    <w:rsid w:val="00426D4B"/>
    <w:rsid w:val="00426ECB"/>
    <w:rsid w:val="004275DF"/>
    <w:rsid w:val="004277CC"/>
    <w:rsid w:val="00427A4F"/>
    <w:rsid w:val="00427D1F"/>
    <w:rsid w:val="004306DE"/>
    <w:rsid w:val="00430B82"/>
    <w:rsid w:val="00430D4B"/>
    <w:rsid w:val="00430DF7"/>
    <w:rsid w:val="004314FC"/>
    <w:rsid w:val="00431A86"/>
    <w:rsid w:val="00431B29"/>
    <w:rsid w:val="00431C18"/>
    <w:rsid w:val="00431E7A"/>
    <w:rsid w:val="00432192"/>
    <w:rsid w:val="0043233E"/>
    <w:rsid w:val="00432515"/>
    <w:rsid w:val="004326A1"/>
    <w:rsid w:val="00432865"/>
    <w:rsid w:val="00432AD3"/>
    <w:rsid w:val="00432B9D"/>
    <w:rsid w:val="004336E5"/>
    <w:rsid w:val="00433F09"/>
    <w:rsid w:val="00433FD0"/>
    <w:rsid w:val="004340D4"/>
    <w:rsid w:val="00434536"/>
    <w:rsid w:val="004349F3"/>
    <w:rsid w:val="00434F34"/>
    <w:rsid w:val="0043500B"/>
    <w:rsid w:val="004355C7"/>
    <w:rsid w:val="004358D9"/>
    <w:rsid w:val="00435EEF"/>
    <w:rsid w:val="00435F53"/>
    <w:rsid w:val="00436047"/>
    <w:rsid w:val="004362B6"/>
    <w:rsid w:val="0043632A"/>
    <w:rsid w:val="004363A2"/>
    <w:rsid w:val="0043661E"/>
    <w:rsid w:val="00436635"/>
    <w:rsid w:val="00436CA8"/>
    <w:rsid w:val="00436F1F"/>
    <w:rsid w:val="004376A1"/>
    <w:rsid w:val="004376BE"/>
    <w:rsid w:val="0043793A"/>
    <w:rsid w:val="004379DB"/>
    <w:rsid w:val="00437B66"/>
    <w:rsid w:val="00437B7A"/>
    <w:rsid w:val="00440511"/>
    <w:rsid w:val="0044060F"/>
    <w:rsid w:val="004408AD"/>
    <w:rsid w:val="00440944"/>
    <w:rsid w:val="0044097E"/>
    <w:rsid w:val="004411D1"/>
    <w:rsid w:val="0044180B"/>
    <w:rsid w:val="0044183D"/>
    <w:rsid w:val="004418F2"/>
    <w:rsid w:val="004418F7"/>
    <w:rsid w:val="00441D5C"/>
    <w:rsid w:val="00441E62"/>
    <w:rsid w:val="004420EA"/>
    <w:rsid w:val="004421C6"/>
    <w:rsid w:val="004422A9"/>
    <w:rsid w:val="0044269C"/>
    <w:rsid w:val="00442735"/>
    <w:rsid w:val="004429E8"/>
    <w:rsid w:val="00442B9E"/>
    <w:rsid w:val="00442C1C"/>
    <w:rsid w:val="00442DED"/>
    <w:rsid w:val="00443014"/>
    <w:rsid w:val="00443450"/>
    <w:rsid w:val="004436C9"/>
    <w:rsid w:val="0044376F"/>
    <w:rsid w:val="0044396A"/>
    <w:rsid w:val="0044444B"/>
    <w:rsid w:val="004444B3"/>
    <w:rsid w:val="00444576"/>
    <w:rsid w:val="0044463F"/>
    <w:rsid w:val="004448D2"/>
    <w:rsid w:val="00445B94"/>
    <w:rsid w:val="00445C1F"/>
    <w:rsid w:val="00445CAD"/>
    <w:rsid w:val="00445E66"/>
    <w:rsid w:val="00445EFC"/>
    <w:rsid w:val="00446509"/>
    <w:rsid w:val="0044789A"/>
    <w:rsid w:val="00447FE3"/>
    <w:rsid w:val="004505D0"/>
    <w:rsid w:val="0045069B"/>
    <w:rsid w:val="004507E8"/>
    <w:rsid w:val="00450A2B"/>
    <w:rsid w:val="00450C90"/>
    <w:rsid w:val="00451422"/>
    <w:rsid w:val="00451C9D"/>
    <w:rsid w:val="00451EAC"/>
    <w:rsid w:val="004528E6"/>
    <w:rsid w:val="00452A0B"/>
    <w:rsid w:val="00452B1F"/>
    <w:rsid w:val="00452B68"/>
    <w:rsid w:val="00452F95"/>
    <w:rsid w:val="0045330D"/>
    <w:rsid w:val="004534BE"/>
    <w:rsid w:val="0045383B"/>
    <w:rsid w:val="00453A6A"/>
    <w:rsid w:val="00453AB0"/>
    <w:rsid w:val="00453C96"/>
    <w:rsid w:val="00453D56"/>
    <w:rsid w:val="00453EB9"/>
    <w:rsid w:val="00454241"/>
    <w:rsid w:val="004549D0"/>
    <w:rsid w:val="00454D52"/>
    <w:rsid w:val="004550D6"/>
    <w:rsid w:val="00455842"/>
    <w:rsid w:val="00455A19"/>
    <w:rsid w:val="00456A5C"/>
    <w:rsid w:val="00457531"/>
    <w:rsid w:val="00457711"/>
    <w:rsid w:val="004579A5"/>
    <w:rsid w:val="00457A58"/>
    <w:rsid w:val="0046026B"/>
    <w:rsid w:val="0046026E"/>
    <w:rsid w:val="004606BD"/>
    <w:rsid w:val="00460ADC"/>
    <w:rsid w:val="00460D7A"/>
    <w:rsid w:val="00460E4A"/>
    <w:rsid w:val="00461345"/>
    <w:rsid w:val="00461390"/>
    <w:rsid w:val="004614A8"/>
    <w:rsid w:val="004617A0"/>
    <w:rsid w:val="00461A55"/>
    <w:rsid w:val="004621C9"/>
    <w:rsid w:val="00462B40"/>
    <w:rsid w:val="00462FA0"/>
    <w:rsid w:val="004630AC"/>
    <w:rsid w:val="004637DE"/>
    <w:rsid w:val="004638ED"/>
    <w:rsid w:val="00463BE2"/>
    <w:rsid w:val="00463C97"/>
    <w:rsid w:val="004640FF"/>
    <w:rsid w:val="00464172"/>
    <w:rsid w:val="00464390"/>
    <w:rsid w:val="004644E7"/>
    <w:rsid w:val="004647A2"/>
    <w:rsid w:val="00464B7E"/>
    <w:rsid w:val="004653BD"/>
    <w:rsid w:val="00465430"/>
    <w:rsid w:val="00465A67"/>
    <w:rsid w:val="00465ED9"/>
    <w:rsid w:val="00466DB3"/>
    <w:rsid w:val="00467026"/>
    <w:rsid w:val="00467762"/>
    <w:rsid w:val="00467D1C"/>
    <w:rsid w:val="00467ECF"/>
    <w:rsid w:val="004700B1"/>
    <w:rsid w:val="004707F0"/>
    <w:rsid w:val="00470CBC"/>
    <w:rsid w:val="00470EE5"/>
    <w:rsid w:val="0047142C"/>
    <w:rsid w:val="0047188F"/>
    <w:rsid w:val="00471BB8"/>
    <w:rsid w:val="00471FD6"/>
    <w:rsid w:val="00472162"/>
    <w:rsid w:val="0047224A"/>
    <w:rsid w:val="004722D9"/>
    <w:rsid w:val="00472C29"/>
    <w:rsid w:val="00472C7F"/>
    <w:rsid w:val="00473302"/>
    <w:rsid w:val="00473304"/>
    <w:rsid w:val="00473393"/>
    <w:rsid w:val="004735F4"/>
    <w:rsid w:val="004739F9"/>
    <w:rsid w:val="004742FE"/>
    <w:rsid w:val="00474D12"/>
    <w:rsid w:val="00474E61"/>
    <w:rsid w:val="00474FCC"/>
    <w:rsid w:val="004755C9"/>
    <w:rsid w:val="004755D4"/>
    <w:rsid w:val="00475958"/>
    <w:rsid w:val="00475E70"/>
    <w:rsid w:val="004761A7"/>
    <w:rsid w:val="004764C5"/>
    <w:rsid w:val="00476E7B"/>
    <w:rsid w:val="0047727E"/>
    <w:rsid w:val="004774CD"/>
    <w:rsid w:val="00477888"/>
    <w:rsid w:val="004779EC"/>
    <w:rsid w:val="00477AFD"/>
    <w:rsid w:val="00477DEB"/>
    <w:rsid w:val="004801A7"/>
    <w:rsid w:val="00480290"/>
    <w:rsid w:val="00480417"/>
    <w:rsid w:val="00480B2A"/>
    <w:rsid w:val="00481211"/>
    <w:rsid w:val="00481590"/>
    <w:rsid w:val="00481A34"/>
    <w:rsid w:val="00482141"/>
    <w:rsid w:val="004825C0"/>
    <w:rsid w:val="0048299A"/>
    <w:rsid w:val="004832ED"/>
    <w:rsid w:val="0048330F"/>
    <w:rsid w:val="0048339B"/>
    <w:rsid w:val="00483AEC"/>
    <w:rsid w:val="00483DD1"/>
    <w:rsid w:val="00483DD2"/>
    <w:rsid w:val="00484748"/>
    <w:rsid w:val="00484839"/>
    <w:rsid w:val="00484846"/>
    <w:rsid w:val="0048499C"/>
    <w:rsid w:val="00484C81"/>
    <w:rsid w:val="00485995"/>
    <w:rsid w:val="00485C0B"/>
    <w:rsid w:val="004861B2"/>
    <w:rsid w:val="00486393"/>
    <w:rsid w:val="0048676D"/>
    <w:rsid w:val="00486E49"/>
    <w:rsid w:val="0048751D"/>
    <w:rsid w:val="00487E7A"/>
    <w:rsid w:val="00490032"/>
    <w:rsid w:val="004900E7"/>
    <w:rsid w:val="0049029D"/>
    <w:rsid w:val="00490754"/>
    <w:rsid w:val="0049081D"/>
    <w:rsid w:val="00490CE1"/>
    <w:rsid w:val="0049126B"/>
    <w:rsid w:val="004919AD"/>
    <w:rsid w:val="004919DD"/>
    <w:rsid w:val="00491D48"/>
    <w:rsid w:val="004920AC"/>
    <w:rsid w:val="004921F4"/>
    <w:rsid w:val="0049233C"/>
    <w:rsid w:val="004926B4"/>
    <w:rsid w:val="00492A92"/>
    <w:rsid w:val="00492F8A"/>
    <w:rsid w:val="004933C8"/>
    <w:rsid w:val="00493A6C"/>
    <w:rsid w:val="00493A7B"/>
    <w:rsid w:val="00493AC0"/>
    <w:rsid w:val="00493B7E"/>
    <w:rsid w:val="00493D53"/>
    <w:rsid w:val="004943BE"/>
    <w:rsid w:val="00494A58"/>
    <w:rsid w:val="00494AAB"/>
    <w:rsid w:val="00494D7F"/>
    <w:rsid w:val="004968C6"/>
    <w:rsid w:val="004970E3"/>
    <w:rsid w:val="00497681"/>
    <w:rsid w:val="0049797D"/>
    <w:rsid w:val="00497A64"/>
    <w:rsid w:val="00497FD4"/>
    <w:rsid w:val="004A00B9"/>
    <w:rsid w:val="004A0258"/>
    <w:rsid w:val="004A08DF"/>
    <w:rsid w:val="004A0939"/>
    <w:rsid w:val="004A0CA9"/>
    <w:rsid w:val="004A1484"/>
    <w:rsid w:val="004A2024"/>
    <w:rsid w:val="004A2026"/>
    <w:rsid w:val="004A214D"/>
    <w:rsid w:val="004A21AC"/>
    <w:rsid w:val="004A2450"/>
    <w:rsid w:val="004A2783"/>
    <w:rsid w:val="004A28DC"/>
    <w:rsid w:val="004A2DBF"/>
    <w:rsid w:val="004A2EA6"/>
    <w:rsid w:val="004A33C7"/>
    <w:rsid w:val="004A3509"/>
    <w:rsid w:val="004A359D"/>
    <w:rsid w:val="004A39B9"/>
    <w:rsid w:val="004A3D19"/>
    <w:rsid w:val="004A4189"/>
    <w:rsid w:val="004A51C4"/>
    <w:rsid w:val="004A534C"/>
    <w:rsid w:val="004A53E8"/>
    <w:rsid w:val="004A566C"/>
    <w:rsid w:val="004A585E"/>
    <w:rsid w:val="004A62FC"/>
    <w:rsid w:val="004A6960"/>
    <w:rsid w:val="004A6F35"/>
    <w:rsid w:val="004A7264"/>
    <w:rsid w:val="004A727C"/>
    <w:rsid w:val="004A7529"/>
    <w:rsid w:val="004B072C"/>
    <w:rsid w:val="004B081A"/>
    <w:rsid w:val="004B0936"/>
    <w:rsid w:val="004B0AD7"/>
    <w:rsid w:val="004B0E71"/>
    <w:rsid w:val="004B0F76"/>
    <w:rsid w:val="004B16C6"/>
    <w:rsid w:val="004B1B68"/>
    <w:rsid w:val="004B2286"/>
    <w:rsid w:val="004B237E"/>
    <w:rsid w:val="004B2417"/>
    <w:rsid w:val="004B255B"/>
    <w:rsid w:val="004B27EB"/>
    <w:rsid w:val="004B2A3A"/>
    <w:rsid w:val="004B32D6"/>
    <w:rsid w:val="004B345B"/>
    <w:rsid w:val="004B3828"/>
    <w:rsid w:val="004B3A6E"/>
    <w:rsid w:val="004B3CB8"/>
    <w:rsid w:val="004B432B"/>
    <w:rsid w:val="004B44E2"/>
    <w:rsid w:val="004B4F9E"/>
    <w:rsid w:val="004B5546"/>
    <w:rsid w:val="004B56B5"/>
    <w:rsid w:val="004B579A"/>
    <w:rsid w:val="004B59DD"/>
    <w:rsid w:val="004B5FEE"/>
    <w:rsid w:val="004B63C9"/>
    <w:rsid w:val="004B65F1"/>
    <w:rsid w:val="004B6791"/>
    <w:rsid w:val="004B67EC"/>
    <w:rsid w:val="004B6C25"/>
    <w:rsid w:val="004B6E1A"/>
    <w:rsid w:val="004B7738"/>
    <w:rsid w:val="004B78C8"/>
    <w:rsid w:val="004B7A45"/>
    <w:rsid w:val="004B7DE5"/>
    <w:rsid w:val="004C00D9"/>
    <w:rsid w:val="004C09EF"/>
    <w:rsid w:val="004C1034"/>
    <w:rsid w:val="004C1094"/>
    <w:rsid w:val="004C1114"/>
    <w:rsid w:val="004C12B2"/>
    <w:rsid w:val="004C1A06"/>
    <w:rsid w:val="004C23B0"/>
    <w:rsid w:val="004C2438"/>
    <w:rsid w:val="004C2863"/>
    <w:rsid w:val="004C2EE0"/>
    <w:rsid w:val="004C30A5"/>
    <w:rsid w:val="004C3338"/>
    <w:rsid w:val="004C3558"/>
    <w:rsid w:val="004C36E3"/>
    <w:rsid w:val="004C403A"/>
    <w:rsid w:val="004C4043"/>
    <w:rsid w:val="004C4095"/>
    <w:rsid w:val="004C5196"/>
    <w:rsid w:val="004C534C"/>
    <w:rsid w:val="004C5626"/>
    <w:rsid w:val="004C5659"/>
    <w:rsid w:val="004C58DB"/>
    <w:rsid w:val="004C5996"/>
    <w:rsid w:val="004C5B06"/>
    <w:rsid w:val="004C5D4B"/>
    <w:rsid w:val="004C5E8C"/>
    <w:rsid w:val="004C6710"/>
    <w:rsid w:val="004C69BB"/>
    <w:rsid w:val="004C6A24"/>
    <w:rsid w:val="004C6CA4"/>
    <w:rsid w:val="004C700D"/>
    <w:rsid w:val="004C7911"/>
    <w:rsid w:val="004C7C45"/>
    <w:rsid w:val="004D0137"/>
    <w:rsid w:val="004D0346"/>
    <w:rsid w:val="004D035B"/>
    <w:rsid w:val="004D052A"/>
    <w:rsid w:val="004D0D36"/>
    <w:rsid w:val="004D0DAD"/>
    <w:rsid w:val="004D2181"/>
    <w:rsid w:val="004D2408"/>
    <w:rsid w:val="004D241C"/>
    <w:rsid w:val="004D2841"/>
    <w:rsid w:val="004D2CB0"/>
    <w:rsid w:val="004D3861"/>
    <w:rsid w:val="004D3D48"/>
    <w:rsid w:val="004D3F03"/>
    <w:rsid w:val="004D3FAC"/>
    <w:rsid w:val="004D4019"/>
    <w:rsid w:val="004D4146"/>
    <w:rsid w:val="004D41E3"/>
    <w:rsid w:val="004D42F6"/>
    <w:rsid w:val="004D443B"/>
    <w:rsid w:val="004D44EA"/>
    <w:rsid w:val="004D4627"/>
    <w:rsid w:val="004D48CF"/>
    <w:rsid w:val="004D49AF"/>
    <w:rsid w:val="004D4BD5"/>
    <w:rsid w:val="004D4C68"/>
    <w:rsid w:val="004D4E66"/>
    <w:rsid w:val="004D4EC5"/>
    <w:rsid w:val="004D4EF8"/>
    <w:rsid w:val="004D4FD3"/>
    <w:rsid w:val="004D50CA"/>
    <w:rsid w:val="004D52D1"/>
    <w:rsid w:val="004D58A0"/>
    <w:rsid w:val="004D58E3"/>
    <w:rsid w:val="004D640B"/>
    <w:rsid w:val="004D6BCD"/>
    <w:rsid w:val="004D6DBE"/>
    <w:rsid w:val="004D6E4C"/>
    <w:rsid w:val="004D72A9"/>
    <w:rsid w:val="004D739D"/>
    <w:rsid w:val="004D74E6"/>
    <w:rsid w:val="004D7F68"/>
    <w:rsid w:val="004E056E"/>
    <w:rsid w:val="004E0BC5"/>
    <w:rsid w:val="004E0CFA"/>
    <w:rsid w:val="004E1048"/>
    <w:rsid w:val="004E126C"/>
    <w:rsid w:val="004E12E8"/>
    <w:rsid w:val="004E12F9"/>
    <w:rsid w:val="004E19A1"/>
    <w:rsid w:val="004E19E0"/>
    <w:rsid w:val="004E24A6"/>
    <w:rsid w:val="004E25DA"/>
    <w:rsid w:val="004E3188"/>
    <w:rsid w:val="004E3204"/>
    <w:rsid w:val="004E3356"/>
    <w:rsid w:val="004E3D40"/>
    <w:rsid w:val="004E46F2"/>
    <w:rsid w:val="004E4E65"/>
    <w:rsid w:val="004E6953"/>
    <w:rsid w:val="004E69F8"/>
    <w:rsid w:val="004E6E00"/>
    <w:rsid w:val="004E7012"/>
    <w:rsid w:val="004E7591"/>
    <w:rsid w:val="004E7662"/>
    <w:rsid w:val="004E77CB"/>
    <w:rsid w:val="004E7950"/>
    <w:rsid w:val="004E7C08"/>
    <w:rsid w:val="004E7CE1"/>
    <w:rsid w:val="004F016A"/>
    <w:rsid w:val="004F0188"/>
    <w:rsid w:val="004F0254"/>
    <w:rsid w:val="004F0434"/>
    <w:rsid w:val="004F05A4"/>
    <w:rsid w:val="004F0682"/>
    <w:rsid w:val="004F0CE9"/>
    <w:rsid w:val="004F0D32"/>
    <w:rsid w:val="004F0DBC"/>
    <w:rsid w:val="004F1565"/>
    <w:rsid w:val="004F2BC1"/>
    <w:rsid w:val="004F2C5D"/>
    <w:rsid w:val="004F3439"/>
    <w:rsid w:val="004F498C"/>
    <w:rsid w:val="004F4AF7"/>
    <w:rsid w:val="004F610E"/>
    <w:rsid w:val="004F6948"/>
    <w:rsid w:val="004F6CFF"/>
    <w:rsid w:val="004F79FF"/>
    <w:rsid w:val="004F7C4B"/>
    <w:rsid w:val="004F7D69"/>
    <w:rsid w:val="004F7EC2"/>
    <w:rsid w:val="00500235"/>
    <w:rsid w:val="005003F8"/>
    <w:rsid w:val="0050059A"/>
    <w:rsid w:val="00500D02"/>
    <w:rsid w:val="00501304"/>
    <w:rsid w:val="00501353"/>
    <w:rsid w:val="00501610"/>
    <w:rsid w:val="005019E8"/>
    <w:rsid w:val="00501DD2"/>
    <w:rsid w:val="005021E9"/>
    <w:rsid w:val="0050235D"/>
    <w:rsid w:val="005023A7"/>
    <w:rsid w:val="005023FB"/>
    <w:rsid w:val="00502473"/>
    <w:rsid w:val="0050291B"/>
    <w:rsid w:val="00502941"/>
    <w:rsid w:val="00502A79"/>
    <w:rsid w:val="00502F47"/>
    <w:rsid w:val="005037D0"/>
    <w:rsid w:val="00503918"/>
    <w:rsid w:val="00503A4A"/>
    <w:rsid w:val="00504637"/>
    <w:rsid w:val="0050471B"/>
    <w:rsid w:val="00504ACD"/>
    <w:rsid w:val="00504B62"/>
    <w:rsid w:val="005051C9"/>
    <w:rsid w:val="005052A4"/>
    <w:rsid w:val="00505318"/>
    <w:rsid w:val="0050551C"/>
    <w:rsid w:val="0050552E"/>
    <w:rsid w:val="0050568C"/>
    <w:rsid w:val="00505E86"/>
    <w:rsid w:val="00506A15"/>
    <w:rsid w:val="00506A60"/>
    <w:rsid w:val="00506B6F"/>
    <w:rsid w:val="00506E52"/>
    <w:rsid w:val="00507259"/>
    <w:rsid w:val="0050770B"/>
    <w:rsid w:val="00507E44"/>
    <w:rsid w:val="00507EFE"/>
    <w:rsid w:val="0051077F"/>
    <w:rsid w:val="005109E1"/>
    <w:rsid w:val="00510F37"/>
    <w:rsid w:val="005110DE"/>
    <w:rsid w:val="00511180"/>
    <w:rsid w:val="00511F60"/>
    <w:rsid w:val="00512631"/>
    <w:rsid w:val="00512AC7"/>
    <w:rsid w:val="00512C5A"/>
    <w:rsid w:val="00512ED2"/>
    <w:rsid w:val="00513314"/>
    <w:rsid w:val="00513C97"/>
    <w:rsid w:val="00513DF0"/>
    <w:rsid w:val="00513F63"/>
    <w:rsid w:val="00514349"/>
    <w:rsid w:val="0051438E"/>
    <w:rsid w:val="00514700"/>
    <w:rsid w:val="00514786"/>
    <w:rsid w:val="005147F8"/>
    <w:rsid w:val="0051486C"/>
    <w:rsid w:val="00514E94"/>
    <w:rsid w:val="005150E5"/>
    <w:rsid w:val="0051518B"/>
    <w:rsid w:val="005153B6"/>
    <w:rsid w:val="00515592"/>
    <w:rsid w:val="005157E1"/>
    <w:rsid w:val="00515D44"/>
    <w:rsid w:val="00515EFD"/>
    <w:rsid w:val="00516973"/>
    <w:rsid w:val="005172E3"/>
    <w:rsid w:val="00517894"/>
    <w:rsid w:val="00517C75"/>
    <w:rsid w:val="00517DAC"/>
    <w:rsid w:val="00517E1B"/>
    <w:rsid w:val="005206A7"/>
    <w:rsid w:val="00520790"/>
    <w:rsid w:val="005208E3"/>
    <w:rsid w:val="005210D1"/>
    <w:rsid w:val="005219A5"/>
    <w:rsid w:val="0052254A"/>
    <w:rsid w:val="0052294F"/>
    <w:rsid w:val="0052299C"/>
    <w:rsid w:val="005232B8"/>
    <w:rsid w:val="005235A1"/>
    <w:rsid w:val="00523612"/>
    <w:rsid w:val="005243F7"/>
    <w:rsid w:val="00525032"/>
    <w:rsid w:val="00525709"/>
    <w:rsid w:val="0052588F"/>
    <w:rsid w:val="00525CE5"/>
    <w:rsid w:val="005262A8"/>
    <w:rsid w:val="00526375"/>
    <w:rsid w:val="00526461"/>
    <w:rsid w:val="00526612"/>
    <w:rsid w:val="00526749"/>
    <w:rsid w:val="0052698F"/>
    <w:rsid w:val="00526A4E"/>
    <w:rsid w:val="00526C0D"/>
    <w:rsid w:val="00526FB3"/>
    <w:rsid w:val="00526FCC"/>
    <w:rsid w:val="0052721C"/>
    <w:rsid w:val="00527354"/>
    <w:rsid w:val="005276F4"/>
    <w:rsid w:val="00527726"/>
    <w:rsid w:val="00530463"/>
    <w:rsid w:val="00530721"/>
    <w:rsid w:val="005309C4"/>
    <w:rsid w:val="00530B17"/>
    <w:rsid w:val="00530C8D"/>
    <w:rsid w:val="0053124E"/>
    <w:rsid w:val="0053165C"/>
    <w:rsid w:val="00531762"/>
    <w:rsid w:val="00531D4A"/>
    <w:rsid w:val="00531F0B"/>
    <w:rsid w:val="005329B5"/>
    <w:rsid w:val="00532FED"/>
    <w:rsid w:val="00533654"/>
    <w:rsid w:val="00533B40"/>
    <w:rsid w:val="00533C6B"/>
    <w:rsid w:val="00533EF2"/>
    <w:rsid w:val="0053431A"/>
    <w:rsid w:val="00534A50"/>
    <w:rsid w:val="00534DB3"/>
    <w:rsid w:val="00535686"/>
    <w:rsid w:val="00535EF3"/>
    <w:rsid w:val="0053628D"/>
    <w:rsid w:val="00536510"/>
    <w:rsid w:val="00536EDA"/>
    <w:rsid w:val="00537842"/>
    <w:rsid w:val="00537A1A"/>
    <w:rsid w:val="00537A9E"/>
    <w:rsid w:val="00540156"/>
    <w:rsid w:val="005402C0"/>
    <w:rsid w:val="00540D28"/>
    <w:rsid w:val="00540DAA"/>
    <w:rsid w:val="00540EFE"/>
    <w:rsid w:val="00540FFA"/>
    <w:rsid w:val="00541CED"/>
    <w:rsid w:val="005423C6"/>
    <w:rsid w:val="005427C8"/>
    <w:rsid w:val="00542A77"/>
    <w:rsid w:val="00542A9F"/>
    <w:rsid w:val="00543451"/>
    <w:rsid w:val="0054382C"/>
    <w:rsid w:val="005441B4"/>
    <w:rsid w:val="00545BB0"/>
    <w:rsid w:val="0054671F"/>
    <w:rsid w:val="00546D02"/>
    <w:rsid w:val="00547180"/>
    <w:rsid w:val="00547295"/>
    <w:rsid w:val="005472AB"/>
    <w:rsid w:val="005474E7"/>
    <w:rsid w:val="00547542"/>
    <w:rsid w:val="005476C4"/>
    <w:rsid w:val="00547D41"/>
    <w:rsid w:val="0055078E"/>
    <w:rsid w:val="00550AE7"/>
    <w:rsid w:val="00550CF9"/>
    <w:rsid w:val="00550F48"/>
    <w:rsid w:val="005514DD"/>
    <w:rsid w:val="00551865"/>
    <w:rsid w:val="00551BF5"/>
    <w:rsid w:val="00552024"/>
    <w:rsid w:val="005525A4"/>
    <w:rsid w:val="00552631"/>
    <w:rsid w:val="00552944"/>
    <w:rsid w:val="00553C7A"/>
    <w:rsid w:val="0055409D"/>
    <w:rsid w:val="00554212"/>
    <w:rsid w:val="0055441B"/>
    <w:rsid w:val="00554A21"/>
    <w:rsid w:val="00554B46"/>
    <w:rsid w:val="00554FBE"/>
    <w:rsid w:val="00555EC9"/>
    <w:rsid w:val="0055617A"/>
    <w:rsid w:val="00556C90"/>
    <w:rsid w:val="00556D8C"/>
    <w:rsid w:val="005572BF"/>
    <w:rsid w:val="00557891"/>
    <w:rsid w:val="005578F9"/>
    <w:rsid w:val="005579BB"/>
    <w:rsid w:val="00557C19"/>
    <w:rsid w:val="00560279"/>
    <w:rsid w:val="005603BB"/>
    <w:rsid w:val="00560A31"/>
    <w:rsid w:val="00560CEC"/>
    <w:rsid w:val="005612F5"/>
    <w:rsid w:val="00561DBE"/>
    <w:rsid w:val="0056241D"/>
    <w:rsid w:val="00562DD8"/>
    <w:rsid w:val="00562EE7"/>
    <w:rsid w:val="00562F9D"/>
    <w:rsid w:val="00563470"/>
    <w:rsid w:val="0056361F"/>
    <w:rsid w:val="005639DF"/>
    <w:rsid w:val="00563B19"/>
    <w:rsid w:val="00563D38"/>
    <w:rsid w:val="00563D76"/>
    <w:rsid w:val="00564083"/>
    <w:rsid w:val="005641FB"/>
    <w:rsid w:val="0056518E"/>
    <w:rsid w:val="00565264"/>
    <w:rsid w:val="00565647"/>
    <w:rsid w:val="00565DF7"/>
    <w:rsid w:val="005661AC"/>
    <w:rsid w:val="00566252"/>
    <w:rsid w:val="00566315"/>
    <w:rsid w:val="00566BBB"/>
    <w:rsid w:val="00566D75"/>
    <w:rsid w:val="00567581"/>
    <w:rsid w:val="00567617"/>
    <w:rsid w:val="00567A7B"/>
    <w:rsid w:val="00567B89"/>
    <w:rsid w:val="00567F1D"/>
    <w:rsid w:val="00570247"/>
    <w:rsid w:val="00570952"/>
    <w:rsid w:val="00570A47"/>
    <w:rsid w:val="00570FD1"/>
    <w:rsid w:val="005712C6"/>
    <w:rsid w:val="005715B3"/>
    <w:rsid w:val="0057173F"/>
    <w:rsid w:val="00571CB5"/>
    <w:rsid w:val="00572622"/>
    <w:rsid w:val="005727CB"/>
    <w:rsid w:val="005727DD"/>
    <w:rsid w:val="00572B79"/>
    <w:rsid w:val="005733B2"/>
    <w:rsid w:val="0057451B"/>
    <w:rsid w:val="00574924"/>
    <w:rsid w:val="00574DD5"/>
    <w:rsid w:val="00574F8B"/>
    <w:rsid w:val="00575273"/>
    <w:rsid w:val="00575405"/>
    <w:rsid w:val="00575E30"/>
    <w:rsid w:val="00575E9E"/>
    <w:rsid w:val="005769C1"/>
    <w:rsid w:val="00576F04"/>
    <w:rsid w:val="00576F98"/>
    <w:rsid w:val="0057746C"/>
    <w:rsid w:val="00577484"/>
    <w:rsid w:val="00577A98"/>
    <w:rsid w:val="00577AF6"/>
    <w:rsid w:val="00577C5A"/>
    <w:rsid w:val="00577CFA"/>
    <w:rsid w:val="005803DD"/>
    <w:rsid w:val="00580974"/>
    <w:rsid w:val="00580ECC"/>
    <w:rsid w:val="005811DF"/>
    <w:rsid w:val="00581BBE"/>
    <w:rsid w:val="00581F74"/>
    <w:rsid w:val="005822F4"/>
    <w:rsid w:val="00582ADE"/>
    <w:rsid w:val="00582DEF"/>
    <w:rsid w:val="0058318B"/>
    <w:rsid w:val="0058335B"/>
    <w:rsid w:val="00583768"/>
    <w:rsid w:val="005837A4"/>
    <w:rsid w:val="00583904"/>
    <w:rsid w:val="00583948"/>
    <w:rsid w:val="00583C6E"/>
    <w:rsid w:val="00583D27"/>
    <w:rsid w:val="00583D65"/>
    <w:rsid w:val="005841BD"/>
    <w:rsid w:val="0058422F"/>
    <w:rsid w:val="0058479D"/>
    <w:rsid w:val="00584A0F"/>
    <w:rsid w:val="005850C1"/>
    <w:rsid w:val="00585947"/>
    <w:rsid w:val="00585B4E"/>
    <w:rsid w:val="00585D59"/>
    <w:rsid w:val="00585EAA"/>
    <w:rsid w:val="00587938"/>
    <w:rsid w:val="00590241"/>
    <w:rsid w:val="00590AC8"/>
    <w:rsid w:val="0059116C"/>
    <w:rsid w:val="005911B8"/>
    <w:rsid w:val="00591D72"/>
    <w:rsid w:val="00593D28"/>
    <w:rsid w:val="00593E06"/>
    <w:rsid w:val="0059468E"/>
    <w:rsid w:val="00595453"/>
    <w:rsid w:val="005957A4"/>
    <w:rsid w:val="00596E66"/>
    <w:rsid w:val="0059701B"/>
    <w:rsid w:val="005970A6"/>
    <w:rsid w:val="00597F50"/>
    <w:rsid w:val="005A07E3"/>
    <w:rsid w:val="005A09C3"/>
    <w:rsid w:val="005A0F58"/>
    <w:rsid w:val="005A15E2"/>
    <w:rsid w:val="005A16FC"/>
    <w:rsid w:val="005A1EBC"/>
    <w:rsid w:val="005A209E"/>
    <w:rsid w:val="005A2924"/>
    <w:rsid w:val="005A2B9C"/>
    <w:rsid w:val="005A3169"/>
    <w:rsid w:val="005A319E"/>
    <w:rsid w:val="005A3A83"/>
    <w:rsid w:val="005A3B8A"/>
    <w:rsid w:val="005A3F0B"/>
    <w:rsid w:val="005A3F8B"/>
    <w:rsid w:val="005A528C"/>
    <w:rsid w:val="005A53D2"/>
    <w:rsid w:val="005A5832"/>
    <w:rsid w:val="005A59D0"/>
    <w:rsid w:val="005A5B77"/>
    <w:rsid w:val="005A5C22"/>
    <w:rsid w:val="005A5FF0"/>
    <w:rsid w:val="005A63D5"/>
    <w:rsid w:val="005A696B"/>
    <w:rsid w:val="005A6CD4"/>
    <w:rsid w:val="005A6EB5"/>
    <w:rsid w:val="005A7525"/>
    <w:rsid w:val="005A7A0B"/>
    <w:rsid w:val="005A7A6B"/>
    <w:rsid w:val="005A7E7A"/>
    <w:rsid w:val="005B0795"/>
    <w:rsid w:val="005B1143"/>
    <w:rsid w:val="005B23BD"/>
    <w:rsid w:val="005B2800"/>
    <w:rsid w:val="005B28C4"/>
    <w:rsid w:val="005B2BEB"/>
    <w:rsid w:val="005B2DF9"/>
    <w:rsid w:val="005B3419"/>
    <w:rsid w:val="005B3497"/>
    <w:rsid w:val="005B3526"/>
    <w:rsid w:val="005B35C6"/>
    <w:rsid w:val="005B3D57"/>
    <w:rsid w:val="005B41B3"/>
    <w:rsid w:val="005B4467"/>
    <w:rsid w:val="005B4A2A"/>
    <w:rsid w:val="005B4DA3"/>
    <w:rsid w:val="005B556E"/>
    <w:rsid w:val="005B5803"/>
    <w:rsid w:val="005B5891"/>
    <w:rsid w:val="005B58DF"/>
    <w:rsid w:val="005B6323"/>
    <w:rsid w:val="005B63D0"/>
    <w:rsid w:val="005B656E"/>
    <w:rsid w:val="005B7050"/>
    <w:rsid w:val="005B7218"/>
    <w:rsid w:val="005B73F7"/>
    <w:rsid w:val="005B7858"/>
    <w:rsid w:val="005B7C71"/>
    <w:rsid w:val="005B7D8E"/>
    <w:rsid w:val="005C0624"/>
    <w:rsid w:val="005C06FA"/>
    <w:rsid w:val="005C0D9A"/>
    <w:rsid w:val="005C173E"/>
    <w:rsid w:val="005C1763"/>
    <w:rsid w:val="005C1B9C"/>
    <w:rsid w:val="005C2181"/>
    <w:rsid w:val="005C29C5"/>
    <w:rsid w:val="005C35A0"/>
    <w:rsid w:val="005C35AB"/>
    <w:rsid w:val="005C3F9E"/>
    <w:rsid w:val="005C46A4"/>
    <w:rsid w:val="005C4A7F"/>
    <w:rsid w:val="005C4EBE"/>
    <w:rsid w:val="005C506A"/>
    <w:rsid w:val="005C5099"/>
    <w:rsid w:val="005C50BE"/>
    <w:rsid w:val="005C5161"/>
    <w:rsid w:val="005C54B9"/>
    <w:rsid w:val="005C5576"/>
    <w:rsid w:val="005C559F"/>
    <w:rsid w:val="005C5A01"/>
    <w:rsid w:val="005C5EB6"/>
    <w:rsid w:val="005C5FAF"/>
    <w:rsid w:val="005C6069"/>
    <w:rsid w:val="005C624A"/>
    <w:rsid w:val="005C686B"/>
    <w:rsid w:val="005C6E1E"/>
    <w:rsid w:val="005C6E75"/>
    <w:rsid w:val="005C6F8F"/>
    <w:rsid w:val="005C724A"/>
    <w:rsid w:val="005C783F"/>
    <w:rsid w:val="005C7E87"/>
    <w:rsid w:val="005D0528"/>
    <w:rsid w:val="005D0750"/>
    <w:rsid w:val="005D09ED"/>
    <w:rsid w:val="005D0AC3"/>
    <w:rsid w:val="005D0B42"/>
    <w:rsid w:val="005D14BE"/>
    <w:rsid w:val="005D1508"/>
    <w:rsid w:val="005D164E"/>
    <w:rsid w:val="005D17B1"/>
    <w:rsid w:val="005D1B61"/>
    <w:rsid w:val="005D1E5A"/>
    <w:rsid w:val="005D2424"/>
    <w:rsid w:val="005D2546"/>
    <w:rsid w:val="005D2928"/>
    <w:rsid w:val="005D2C25"/>
    <w:rsid w:val="005D2C99"/>
    <w:rsid w:val="005D311D"/>
    <w:rsid w:val="005D36B1"/>
    <w:rsid w:val="005D36B9"/>
    <w:rsid w:val="005D3AF5"/>
    <w:rsid w:val="005D3B62"/>
    <w:rsid w:val="005D3EF4"/>
    <w:rsid w:val="005D422E"/>
    <w:rsid w:val="005D4CA2"/>
    <w:rsid w:val="005D58AC"/>
    <w:rsid w:val="005D640B"/>
    <w:rsid w:val="005D65E4"/>
    <w:rsid w:val="005D6B52"/>
    <w:rsid w:val="005D70C0"/>
    <w:rsid w:val="005D7740"/>
    <w:rsid w:val="005D7844"/>
    <w:rsid w:val="005D7939"/>
    <w:rsid w:val="005E02D0"/>
    <w:rsid w:val="005E051D"/>
    <w:rsid w:val="005E077B"/>
    <w:rsid w:val="005E0D97"/>
    <w:rsid w:val="005E0F9E"/>
    <w:rsid w:val="005E2632"/>
    <w:rsid w:val="005E2A8C"/>
    <w:rsid w:val="005E2CC5"/>
    <w:rsid w:val="005E3065"/>
    <w:rsid w:val="005E322A"/>
    <w:rsid w:val="005E37D6"/>
    <w:rsid w:val="005E4042"/>
    <w:rsid w:val="005E40B4"/>
    <w:rsid w:val="005E4424"/>
    <w:rsid w:val="005E4527"/>
    <w:rsid w:val="005E4659"/>
    <w:rsid w:val="005E5AD4"/>
    <w:rsid w:val="005E5E48"/>
    <w:rsid w:val="005E735C"/>
    <w:rsid w:val="005E765C"/>
    <w:rsid w:val="005E78D2"/>
    <w:rsid w:val="005E79EF"/>
    <w:rsid w:val="005F01C0"/>
    <w:rsid w:val="005F03EE"/>
    <w:rsid w:val="005F0686"/>
    <w:rsid w:val="005F093D"/>
    <w:rsid w:val="005F097F"/>
    <w:rsid w:val="005F0E55"/>
    <w:rsid w:val="005F13DB"/>
    <w:rsid w:val="005F226A"/>
    <w:rsid w:val="005F26E8"/>
    <w:rsid w:val="005F279D"/>
    <w:rsid w:val="005F3915"/>
    <w:rsid w:val="005F3DAE"/>
    <w:rsid w:val="005F3F20"/>
    <w:rsid w:val="005F3FEB"/>
    <w:rsid w:val="005F40EF"/>
    <w:rsid w:val="005F4601"/>
    <w:rsid w:val="005F464E"/>
    <w:rsid w:val="005F48F3"/>
    <w:rsid w:val="005F4AA6"/>
    <w:rsid w:val="005F4B76"/>
    <w:rsid w:val="005F514B"/>
    <w:rsid w:val="005F516C"/>
    <w:rsid w:val="005F5C4A"/>
    <w:rsid w:val="005F6468"/>
    <w:rsid w:val="005F65A4"/>
    <w:rsid w:val="005F65BC"/>
    <w:rsid w:val="005F6C4D"/>
    <w:rsid w:val="005F77C2"/>
    <w:rsid w:val="005F7AA0"/>
    <w:rsid w:val="00600646"/>
    <w:rsid w:val="00600728"/>
    <w:rsid w:val="0060079E"/>
    <w:rsid w:val="00600A34"/>
    <w:rsid w:val="00600AEB"/>
    <w:rsid w:val="00601307"/>
    <w:rsid w:val="0060175E"/>
    <w:rsid w:val="006019EF"/>
    <w:rsid w:val="00601A83"/>
    <w:rsid w:val="00601F0F"/>
    <w:rsid w:val="00602D31"/>
    <w:rsid w:val="00602E9B"/>
    <w:rsid w:val="00603257"/>
    <w:rsid w:val="00603A1C"/>
    <w:rsid w:val="00603B06"/>
    <w:rsid w:val="00604538"/>
    <w:rsid w:val="0060458C"/>
    <w:rsid w:val="0060525A"/>
    <w:rsid w:val="0060619A"/>
    <w:rsid w:val="00606720"/>
    <w:rsid w:val="00606DEB"/>
    <w:rsid w:val="006070D6"/>
    <w:rsid w:val="0060746B"/>
    <w:rsid w:val="006103C2"/>
    <w:rsid w:val="006109AA"/>
    <w:rsid w:val="00610A16"/>
    <w:rsid w:val="00610DAE"/>
    <w:rsid w:val="00610E1E"/>
    <w:rsid w:val="0061113D"/>
    <w:rsid w:val="006114B9"/>
    <w:rsid w:val="00612742"/>
    <w:rsid w:val="0061328B"/>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839"/>
    <w:rsid w:val="00620A79"/>
    <w:rsid w:val="00620B5C"/>
    <w:rsid w:val="00620CC5"/>
    <w:rsid w:val="00620D0D"/>
    <w:rsid w:val="00621031"/>
    <w:rsid w:val="00621046"/>
    <w:rsid w:val="00621BA8"/>
    <w:rsid w:val="00621CB4"/>
    <w:rsid w:val="00621E3F"/>
    <w:rsid w:val="006230E3"/>
    <w:rsid w:val="0062380E"/>
    <w:rsid w:val="006238DA"/>
    <w:rsid w:val="006239AF"/>
    <w:rsid w:val="00623AA7"/>
    <w:rsid w:val="006243DC"/>
    <w:rsid w:val="00624FB7"/>
    <w:rsid w:val="00625095"/>
    <w:rsid w:val="0062522F"/>
    <w:rsid w:val="00625305"/>
    <w:rsid w:val="006254D8"/>
    <w:rsid w:val="006254F3"/>
    <w:rsid w:val="00625C09"/>
    <w:rsid w:val="00626976"/>
    <w:rsid w:val="00626D9F"/>
    <w:rsid w:val="0062721A"/>
    <w:rsid w:val="0062762A"/>
    <w:rsid w:val="0062793A"/>
    <w:rsid w:val="00627ADA"/>
    <w:rsid w:val="00627DFA"/>
    <w:rsid w:val="00627E79"/>
    <w:rsid w:val="00630335"/>
    <w:rsid w:val="00630DB3"/>
    <w:rsid w:val="00631A2B"/>
    <w:rsid w:val="00632A05"/>
    <w:rsid w:val="00632A9E"/>
    <w:rsid w:val="00632E76"/>
    <w:rsid w:val="00633169"/>
    <w:rsid w:val="0063330E"/>
    <w:rsid w:val="0063338D"/>
    <w:rsid w:val="00633C6E"/>
    <w:rsid w:val="00634110"/>
    <w:rsid w:val="0063412F"/>
    <w:rsid w:val="006344C3"/>
    <w:rsid w:val="0063455B"/>
    <w:rsid w:val="0063485D"/>
    <w:rsid w:val="00634F4B"/>
    <w:rsid w:val="006350AA"/>
    <w:rsid w:val="006350AC"/>
    <w:rsid w:val="006358FA"/>
    <w:rsid w:val="006359B2"/>
    <w:rsid w:val="00635DE8"/>
    <w:rsid w:val="00636166"/>
    <w:rsid w:val="00636AB7"/>
    <w:rsid w:val="006378E5"/>
    <w:rsid w:val="00637E0B"/>
    <w:rsid w:val="00640206"/>
    <w:rsid w:val="0064037A"/>
    <w:rsid w:val="00640470"/>
    <w:rsid w:val="00640ECA"/>
    <w:rsid w:val="006422D2"/>
    <w:rsid w:val="006427FF"/>
    <w:rsid w:val="00642BCC"/>
    <w:rsid w:val="0064311C"/>
    <w:rsid w:val="00643149"/>
    <w:rsid w:val="006431AC"/>
    <w:rsid w:val="00643778"/>
    <w:rsid w:val="00643CCF"/>
    <w:rsid w:val="00643CD4"/>
    <w:rsid w:val="006440B1"/>
    <w:rsid w:val="0064418F"/>
    <w:rsid w:val="006443F4"/>
    <w:rsid w:val="00644B7D"/>
    <w:rsid w:val="006450C3"/>
    <w:rsid w:val="0064516E"/>
    <w:rsid w:val="00645243"/>
    <w:rsid w:val="006452D8"/>
    <w:rsid w:val="0064555C"/>
    <w:rsid w:val="00645D90"/>
    <w:rsid w:val="006460D8"/>
    <w:rsid w:val="00646472"/>
    <w:rsid w:val="0064687E"/>
    <w:rsid w:val="00646BCB"/>
    <w:rsid w:val="00646C65"/>
    <w:rsid w:val="00647092"/>
    <w:rsid w:val="006471C9"/>
    <w:rsid w:val="006475E9"/>
    <w:rsid w:val="00647B32"/>
    <w:rsid w:val="00647B60"/>
    <w:rsid w:val="00650B4A"/>
    <w:rsid w:val="00650C81"/>
    <w:rsid w:val="0065176A"/>
    <w:rsid w:val="006521F0"/>
    <w:rsid w:val="0065246C"/>
    <w:rsid w:val="00652479"/>
    <w:rsid w:val="00652AF4"/>
    <w:rsid w:val="0065322E"/>
    <w:rsid w:val="006533BE"/>
    <w:rsid w:val="0065352B"/>
    <w:rsid w:val="00653872"/>
    <w:rsid w:val="00653FAC"/>
    <w:rsid w:val="006541E1"/>
    <w:rsid w:val="0065459A"/>
    <w:rsid w:val="0065527C"/>
    <w:rsid w:val="00655948"/>
    <w:rsid w:val="00655AFE"/>
    <w:rsid w:val="00655DC5"/>
    <w:rsid w:val="00656094"/>
    <w:rsid w:val="006571C2"/>
    <w:rsid w:val="00657D18"/>
    <w:rsid w:val="00657DAE"/>
    <w:rsid w:val="00657E14"/>
    <w:rsid w:val="00657E59"/>
    <w:rsid w:val="00657F47"/>
    <w:rsid w:val="00660048"/>
    <w:rsid w:val="00660B21"/>
    <w:rsid w:val="00660EEA"/>
    <w:rsid w:val="006616DF"/>
    <w:rsid w:val="00661ADA"/>
    <w:rsid w:val="00661B82"/>
    <w:rsid w:val="00661F3D"/>
    <w:rsid w:val="00661FE1"/>
    <w:rsid w:val="0066226E"/>
    <w:rsid w:val="006622A5"/>
    <w:rsid w:val="0066271B"/>
    <w:rsid w:val="00662F78"/>
    <w:rsid w:val="00663041"/>
    <w:rsid w:val="006633B4"/>
    <w:rsid w:val="006637B8"/>
    <w:rsid w:val="006637BA"/>
    <w:rsid w:val="006637C2"/>
    <w:rsid w:val="006639F8"/>
    <w:rsid w:val="00663FA5"/>
    <w:rsid w:val="00664516"/>
    <w:rsid w:val="00664744"/>
    <w:rsid w:val="006648BF"/>
    <w:rsid w:val="00665103"/>
    <w:rsid w:val="0066532D"/>
    <w:rsid w:val="0066585C"/>
    <w:rsid w:val="0066632F"/>
    <w:rsid w:val="006665E1"/>
    <w:rsid w:val="00666765"/>
    <w:rsid w:val="006667C0"/>
    <w:rsid w:val="00667224"/>
    <w:rsid w:val="0066725E"/>
    <w:rsid w:val="0066731A"/>
    <w:rsid w:val="00667613"/>
    <w:rsid w:val="006679A6"/>
    <w:rsid w:val="00670662"/>
    <w:rsid w:val="00670812"/>
    <w:rsid w:val="00670B50"/>
    <w:rsid w:val="00670D18"/>
    <w:rsid w:val="00671681"/>
    <w:rsid w:val="00671693"/>
    <w:rsid w:val="00671869"/>
    <w:rsid w:val="00671925"/>
    <w:rsid w:val="00671949"/>
    <w:rsid w:val="00671DB7"/>
    <w:rsid w:val="006722CE"/>
    <w:rsid w:val="00672326"/>
    <w:rsid w:val="00672606"/>
    <w:rsid w:val="00672C77"/>
    <w:rsid w:val="00672F2F"/>
    <w:rsid w:val="006732C8"/>
    <w:rsid w:val="006735B4"/>
    <w:rsid w:val="00673CBF"/>
    <w:rsid w:val="00673E75"/>
    <w:rsid w:val="00674003"/>
    <w:rsid w:val="00674269"/>
    <w:rsid w:val="00674E04"/>
    <w:rsid w:val="0067501D"/>
    <w:rsid w:val="006756A5"/>
    <w:rsid w:val="00675BCC"/>
    <w:rsid w:val="00675E5A"/>
    <w:rsid w:val="00675F16"/>
    <w:rsid w:val="00676164"/>
    <w:rsid w:val="006761BC"/>
    <w:rsid w:val="006767A0"/>
    <w:rsid w:val="006767AE"/>
    <w:rsid w:val="006769EE"/>
    <w:rsid w:val="00676B39"/>
    <w:rsid w:val="006777A1"/>
    <w:rsid w:val="006778BE"/>
    <w:rsid w:val="00677C2F"/>
    <w:rsid w:val="00677CF4"/>
    <w:rsid w:val="00677EB0"/>
    <w:rsid w:val="00680BA5"/>
    <w:rsid w:val="00680C30"/>
    <w:rsid w:val="00680C86"/>
    <w:rsid w:val="0068125A"/>
    <w:rsid w:val="00681773"/>
    <w:rsid w:val="00681A26"/>
    <w:rsid w:val="00681B4C"/>
    <w:rsid w:val="00681D39"/>
    <w:rsid w:val="00681E45"/>
    <w:rsid w:val="00681E80"/>
    <w:rsid w:val="00682053"/>
    <w:rsid w:val="00682085"/>
    <w:rsid w:val="00682233"/>
    <w:rsid w:val="006825E7"/>
    <w:rsid w:val="00682849"/>
    <w:rsid w:val="00682BCC"/>
    <w:rsid w:val="00682DEF"/>
    <w:rsid w:val="006832A7"/>
    <w:rsid w:val="0068341F"/>
    <w:rsid w:val="00683BE0"/>
    <w:rsid w:val="00683DA8"/>
    <w:rsid w:val="00683DF5"/>
    <w:rsid w:val="00683FD6"/>
    <w:rsid w:val="0068470D"/>
    <w:rsid w:val="00685627"/>
    <w:rsid w:val="00685A84"/>
    <w:rsid w:val="00685EA8"/>
    <w:rsid w:val="00685FB6"/>
    <w:rsid w:val="0068711B"/>
    <w:rsid w:val="0068712A"/>
    <w:rsid w:val="0068712E"/>
    <w:rsid w:val="006879AA"/>
    <w:rsid w:val="00687A30"/>
    <w:rsid w:val="00687A9B"/>
    <w:rsid w:val="00690E64"/>
    <w:rsid w:val="006915EE"/>
    <w:rsid w:val="0069161A"/>
    <w:rsid w:val="00691AFE"/>
    <w:rsid w:val="00692D2D"/>
    <w:rsid w:val="00693262"/>
    <w:rsid w:val="0069396C"/>
    <w:rsid w:val="00693B3B"/>
    <w:rsid w:val="00693BFC"/>
    <w:rsid w:val="00693C8C"/>
    <w:rsid w:val="00693FC2"/>
    <w:rsid w:val="00694073"/>
    <w:rsid w:val="00694574"/>
    <w:rsid w:val="006945DD"/>
    <w:rsid w:val="00694F9A"/>
    <w:rsid w:val="0069533F"/>
    <w:rsid w:val="00695720"/>
    <w:rsid w:val="006957C0"/>
    <w:rsid w:val="00695F48"/>
    <w:rsid w:val="00696158"/>
    <w:rsid w:val="00696AF0"/>
    <w:rsid w:val="006972F0"/>
    <w:rsid w:val="00697391"/>
    <w:rsid w:val="0069756F"/>
    <w:rsid w:val="00697BF5"/>
    <w:rsid w:val="006A0096"/>
    <w:rsid w:val="006A066A"/>
    <w:rsid w:val="006A0680"/>
    <w:rsid w:val="006A07AF"/>
    <w:rsid w:val="006A092A"/>
    <w:rsid w:val="006A0BDD"/>
    <w:rsid w:val="006A11E8"/>
    <w:rsid w:val="006A12EE"/>
    <w:rsid w:val="006A1A48"/>
    <w:rsid w:val="006A1D0E"/>
    <w:rsid w:val="006A2386"/>
    <w:rsid w:val="006A240F"/>
    <w:rsid w:val="006A25D8"/>
    <w:rsid w:val="006A296B"/>
    <w:rsid w:val="006A2A91"/>
    <w:rsid w:val="006A2C19"/>
    <w:rsid w:val="006A2F3A"/>
    <w:rsid w:val="006A3483"/>
    <w:rsid w:val="006A37D4"/>
    <w:rsid w:val="006A387E"/>
    <w:rsid w:val="006A3F6B"/>
    <w:rsid w:val="006A4078"/>
    <w:rsid w:val="006A42C2"/>
    <w:rsid w:val="006A5267"/>
    <w:rsid w:val="006A5790"/>
    <w:rsid w:val="006A5D34"/>
    <w:rsid w:val="006A5DB5"/>
    <w:rsid w:val="006A5E3E"/>
    <w:rsid w:val="006A5F57"/>
    <w:rsid w:val="006A635C"/>
    <w:rsid w:val="006A63D8"/>
    <w:rsid w:val="006A6553"/>
    <w:rsid w:val="006A662A"/>
    <w:rsid w:val="006A6668"/>
    <w:rsid w:val="006A6D57"/>
    <w:rsid w:val="006A6EEA"/>
    <w:rsid w:val="006A6F7F"/>
    <w:rsid w:val="006A7542"/>
    <w:rsid w:val="006A7AFC"/>
    <w:rsid w:val="006B010C"/>
    <w:rsid w:val="006B05A7"/>
    <w:rsid w:val="006B0ABA"/>
    <w:rsid w:val="006B0FA8"/>
    <w:rsid w:val="006B1281"/>
    <w:rsid w:val="006B1401"/>
    <w:rsid w:val="006B144A"/>
    <w:rsid w:val="006B167B"/>
    <w:rsid w:val="006B1688"/>
    <w:rsid w:val="006B1A70"/>
    <w:rsid w:val="006B1A86"/>
    <w:rsid w:val="006B28BF"/>
    <w:rsid w:val="006B28FB"/>
    <w:rsid w:val="006B2B74"/>
    <w:rsid w:val="006B3118"/>
    <w:rsid w:val="006B3A3F"/>
    <w:rsid w:val="006B44AD"/>
    <w:rsid w:val="006B4D30"/>
    <w:rsid w:val="006B52F0"/>
    <w:rsid w:val="006B55A7"/>
    <w:rsid w:val="006B58E0"/>
    <w:rsid w:val="006B599B"/>
    <w:rsid w:val="006B5C04"/>
    <w:rsid w:val="006B63E2"/>
    <w:rsid w:val="006B6929"/>
    <w:rsid w:val="006B753A"/>
    <w:rsid w:val="006B7ED0"/>
    <w:rsid w:val="006C033B"/>
    <w:rsid w:val="006C03C2"/>
    <w:rsid w:val="006C0999"/>
    <w:rsid w:val="006C0CF3"/>
    <w:rsid w:val="006C11AC"/>
    <w:rsid w:val="006C1529"/>
    <w:rsid w:val="006C160C"/>
    <w:rsid w:val="006C1623"/>
    <w:rsid w:val="006C2DA2"/>
    <w:rsid w:val="006C2E87"/>
    <w:rsid w:val="006C35C0"/>
    <w:rsid w:val="006C3768"/>
    <w:rsid w:val="006C390E"/>
    <w:rsid w:val="006C3A1C"/>
    <w:rsid w:val="006C4079"/>
    <w:rsid w:val="006C422D"/>
    <w:rsid w:val="006C479D"/>
    <w:rsid w:val="006C57FE"/>
    <w:rsid w:val="006C58E9"/>
    <w:rsid w:val="006C599D"/>
    <w:rsid w:val="006C5FEF"/>
    <w:rsid w:val="006C6231"/>
    <w:rsid w:val="006C6E30"/>
    <w:rsid w:val="006C72C7"/>
    <w:rsid w:val="006C7627"/>
    <w:rsid w:val="006C76BB"/>
    <w:rsid w:val="006C7760"/>
    <w:rsid w:val="006C7C18"/>
    <w:rsid w:val="006C7F21"/>
    <w:rsid w:val="006D0522"/>
    <w:rsid w:val="006D05C4"/>
    <w:rsid w:val="006D0AD8"/>
    <w:rsid w:val="006D0B83"/>
    <w:rsid w:val="006D1361"/>
    <w:rsid w:val="006D18D2"/>
    <w:rsid w:val="006D19B4"/>
    <w:rsid w:val="006D1B1C"/>
    <w:rsid w:val="006D21E4"/>
    <w:rsid w:val="006D24C5"/>
    <w:rsid w:val="006D29A2"/>
    <w:rsid w:val="006D2B5B"/>
    <w:rsid w:val="006D2BCF"/>
    <w:rsid w:val="006D389E"/>
    <w:rsid w:val="006D3A10"/>
    <w:rsid w:val="006D3F3C"/>
    <w:rsid w:val="006D4037"/>
    <w:rsid w:val="006D48F8"/>
    <w:rsid w:val="006D4B9A"/>
    <w:rsid w:val="006D4E4D"/>
    <w:rsid w:val="006D52BA"/>
    <w:rsid w:val="006D5842"/>
    <w:rsid w:val="006D5D0F"/>
    <w:rsid w:val="006D5E06"/>
    <w:rsid w:val="006D6610"/>
    <w:rsid w:val="006D67FA"/>
    <w:rsid w:val="006D6F04"/>
    <w:rsid w:val="006D7230"/>
    <w:rsid w:val="006D7583"/>
    <w:rsid w:val="006D76DC"/>
    <w:rsid w:val="006E0113"/>
    <w:rsid w:val="006E01A4"/>
    <w:rsid w:val="006E038E"/>
    <w:rsid w:val="006E0AE4"/>
    <w:rsid w:val="006E0B4E"/>
    <w:rsid w:val="006E12CF"/>
    <w:rsid w:val="006E1373"/>
    <w:rsid w:val="006E18E1"/>
    <w:rsid w:val="006E205A"/>
    <w:rsid w:val="006E210A"/>
    <w:rsid w:val="006E2163"/>
    <w:rsid w:val="006E264D"/>
    <w:rsid w:val="006E28FE"/>
    <w:rsid w:val="006E2925"/>
    <w:rsid w:val="006E2AAA"/>
    <w:rsid w:val="006E2BDC"/>
    <w:rsid w:val="006E2C05"/>
    <w:rsid w:val="006E2F94"/>
    <w:rsid w:val="006E377B"/>
    <w:rsid w:val="006E3D20"/>
    <w:rsid w:val="006E3D34"/>
    <w:rsid w:val="006E4405"/>
    <w:rsid w:val="006E4577"/>
    <w:rsid w:val="006E5492"/>
    <w:rsid w:val="006E5509"/>
    <w:rsid w:val="006E5B2F"/>
    <w:rsid w:val="006E613A"/>
    <w:rsid w:val="006E6208"/>
    <w:rsid w:val="006E6C03"/>
    <w:rsid w:val="006E7CE6"/>
    <w:rsid w:val="006E7E1F"/>
    <w:rsid w:val="006F02BB"/>
    <w:rsid w:val="006F06C4"/>
    <w:rsid w:val="006F08BF"/>
    <w:rsid w:val="006F09F8"/>
    <w:rsid w:val="006F0ABF"/>
    <w:rsid w:val="006F1495"/>
    <w:rsid w:val="006F16AF"/>
    <w:rsid w:val="006F28BB"/>
    <w:rsid w:val="006F3019"/>
    <w:rsid w:val="006F329C"/>
    <w:rsid w:val="006F3A8B"/>
    <w:rsid w:val="006F3E3D"/>
    <w:rsid w:val="006F406E"/>
    <w:rsid w:val="006F4095"/>
    <w:rsid w:val="006F4500"/>
    <w:rsid w:val="006F4644"/>
    <w:rsid w:val="006F4808"/>
    <w:rsid w:val="006F4DC8"/>
    <w:rsid w:val="006F504A"/>
    <w:rsid w:val="006F5687"/>
    <w:rsid w:val="006F5F49"/>
    <w:rsid w:val="006F629C"/>
    <w:rsid w:val="006F6704"/>
    <w:rsid w:val="006F6806"/>
    <w:rsid w:val="006F6AE3"/>
    <w:rsid w:val="006F6C6C"/>
    <w:rsid w:val="006F7165"/>
    <w:rsid w:val="006F7634"/>
    <w:rsid w:val="006F7653"/>
    <w:rsid w:val="006F7CDD"/>
    <w:rsid w:val="006F7EC2"/>
    <w:rsid w:val="006F7FE2"/>
    <w:rsid w:val="007000F7"/>
    <w:rsid w:val="007003E4"/>
    <w:rsid w:val="00700614"/>
    <w:rsid w:val="00701411"/>
    <w:rsid w:val="00701FC4"/>
    <w:rsid w:val="00702002"/>
    <w:rsid w:val="007023E1"/>
    <w:rsid w:val="0070265E"/>
    <w:rsid w:val="0070408C"/>
    <w:rsid w:val="007042D1"/>
    <w:rsid w:val="00704A5E"/>
    <w:rsid w:val="00704B94"/>
    <w:rsid w:val="00705192"/>
    <w:rsid w:val="007051E9"/>
    <w:rsid w:val="00705506"/>
    <w:rsid w:val="00705B6D"/>
    <w:rsid w:val="0070704C"/>
    <w:rsid w:val="0070755B"/>
    <w:rsid w:val="007076C6"/>
    <w:rsid w:val="007101A4"/>
    <w:rsid w:val="007104A2"/>
    <w:rsid w:val="0071069C"/>
    <w:rsid w:val="00711282"/>
    <w:rsid w:val="00711840"/>
    <w:rsid w:val="0071195B"/>
    <w:rsid w:val="00711A5C"/>
    <w:rsid w:val="00711B3B"/>
    <w:rsid w:val="00711EF0"/>
    <w:rsid w:val="00711F60"/>
    <w:rsid w:val="007127E7"/>
    <w:rsid w:val="007128FB"/>
    <w:rsid w:val="00712B79"/>
    <w:rsid w:val="007131D5"/>
    <w:rsid w:val="007134FA"/>
    <w:rsid w:val="0071360F"/>
    <w:rsid w:val="00713FF9"/>
    <w:rsid w:val="00714067"/>
    <w:rsid w:val="0071407D"/>
    <w:rsid w:val="00714AA9"/>
    <w:rsid w:val="00714D52"/>
    <w:rsid w:val="00714E72"/>
    <w:rsid w:val="007154E7"/>
    <w:rsid w:val="007159FC"/>
    <w:rsid w:val="00715A2F"/>
    <w:rsid w:val="00715B3E"/>
    <w:rsid w:val="00715E66"/>
    <w:rsid w:val="0071677B"/>
    <w:rsid w:val="00717387"/>
    <w:rsid w:val="00717AB0"/>
    <w:rsid w:val="00717AB2"/>
    <w:rsid w:val="00717B43"/>
    <w:rsid w:val="00717D05"/>
    <w:rsid w:val="00717DE8"/>
    <w:rsid w:val="00717EA1"/>
    <w:rsid w:val="00717EAC"/>
    <w:rsid w:val="007204A7"/>
    <w:rsid w:val="00720A58"/>
    <w:rsid w:val="00720A86"/>
    <w:rsid w:val="00720C36"/>
    <w:rsid w:val="00720E2C"/>
    <w:rsid w:val="0072114D"/>
    <w:rsid w:val="00721910"/>
    <w:rsid w:val="00722721"/>
    <w:rsid w:val="00722D7A"/>
    <w:rsid w:val="00722FC7"/>
    <w:rsid w:val="00723124"/>
    <w:rsid w:val="0072364C"/>
    <w:rsid w:val="007236E8"/>
    <w:rsid w:val="00724307"/>
    <w:rsid w:val="0072438B"/>
    <w:rsid w:val="00724408"/>
    <w:rsid w:val="007249E2"/>
    <w:rsid w:val="00724AD2"/>
    <w:rsid w:val="00724BBF"/>
    <w:rsid w:val="00726037"/>
    <w:rsid w:val="0072688D"/>
    <w:rsid w:val="00726895"/>
    <w:rsid w:val="00726D53"/>
    <w:rsid w:val="00727711"/>
    <w:rsid w:val="0072775A"/>
    <w:rsid w:val="00727810"/>
    <w:rsid w:val="00727A31"/>
    <w:rsid w:val="0073080F"/>
    <w:rsid w:val="00730A1D"/>
    <w:rsid w:val="00730B04"/>
    <w:rsid w:val="00730C5A"/>
    <w:rsid w:val="00730CB7"/>
    <w:rsid w:val="00730CE1"/>
    <w:rsid w:val="007315A1"/>
    <w:rsid w:val="00731963"/>
    <w:rsid w:val="00731F45"/>
    <w:rsid w:val="00732003"/>
    <w:rsid w:val="0073204E"/>
    <w:rsid w:val="007325C7"/>
    <w:rsid w:val="00733211"/>
    <w:rsid w:val="00733935"/>
    <w:rsid w:val="00733D1E"/>
    <w:rsid w:val="00734224"/>
    <w:rsid w:val="00734308"/>
    <w:rsid w:val="00734596"/>
    <w:rsid w:val="00734D27"/>
    <w:rsid w:val="00735055"/>
    <w:rsid w:val="0073509B"/>
    <w:rsid w:val="0073597E"/>
    <w:rsid w:val="00735DDA"/>
    <w:rsid w:val="00736D0A"/>
    <w:rsid w:val="00737172"/>
    <w:rsid w:val="007373BD"/>
    <w:rsid w:val="0073783B"/>
    <w:rsid w:val="00737A9E"/>
    <w:rsid w:val="00737F69"/>
    <w:rsid w:val="00740685"/>
    <w:rsid w:val="00740706"/>
    <w:rsid w:val="00740A59"/>
    <w:rsid w:val="00740BCB"/>
    <w:rsid w:val="00740D0C"/>
    <w:rsid w:val="00740D78"/>
    <w:rsid w:val="00740FEF"/>
    <w:rsid w:val="00741123"/>
    <w:rsid w:val="00741A86"/>
    <w:rsid w:val="00742042"/>
    <w:rsid w:val="00742100"/>
    <w:rsid w:val="007425B1"/>
    <w:rsid w:val="0074278E"/>
    <w:rsid w:val="00742B40"/>
    <w:rsid w:val="00742C07"/>
    <w:rsid w:val="00742D90"/>
    <w:rsid w:val="00743527"/>
    <w:rsid w:val="007440BE"/>
    <w:rsid w:val="007449E1"/>
    <w:rsid w:val="00744D45"/>
    <w:rsid w:val="00745222"/>
    <w:rsid w:val="007452F8"/>
    <w:rsid w:val="007454C4"/>
    <w:rsid w:val="00746597"/>
    <w:rsid w:val="007468DB"/>
    <w:rsid w:val="00746C0F"/>
    <w:rsid w:val="00746E07"/>
    <w:rsid w:val="00746F98"/>
    <w:rsid w:val="00746F9F"/>
    <w:rsid w:val="007476C5"/>
    <w:rsid w:val="00747958"/>
    <w:rsid w:val="0075062E"/>
    <w:rsid w:val="00750AC1"/>
    <w:rsid w:val="0075101B"/>
    <w:rsid w:val="007513D5"/>
    <w:rsid w:val="0075145A"/>
    <w:rsid w:val="00751A80"/>
    <w:rsid w:val="00751A8B"/>
    <w:rsid w:val="0075265B"/>
    <w:rsid w:val="00752669"/>
    <w:rsid w:val="00753144"/>
    <w:rsid w:val="00753A7F"/>
    <w:rsid w:val="00753AE0"/>
    <w:rsid w:val="00754278"/>
    <w:rsid w:val="007545A4"/>
    <w:rsid w:val="007546B8"/>
    <w:rsid w:val="00755057"/>
    <w:rsid w:val="0075599B"/>
    <w:rsid w:val="00756120"/>
    <w:rsid w:val="00756D8F"/>
    <w:rsid w:val="00756E46"/>
    <w:rsid w:val="007570A8"/>
    <w:rsid w:val="007574F9"/>
    <w:rsid w:val="00757FBA"/>
    <w:rsid w:val="00760526"/>
    <w:rsid w:val="0076089F"/>
    <w:rsid w:val="00761193"/>
    <w:rsid w:val="007620DE"/>
    <w:rsid w:val="0076257B"/>
    <w:rsid w:val="0076264F"/>
    <w:rsid w:val="00762904"/>
    <w:rsid w:val="00762EFA"/>
    <w:rsid w:val="00763351"/>
    <w:rsid w:val="0076388B"/>
    <w:rsid w:val="00763AAA"/>
    <w:rsid w:val="00763B5F"/>
    <w:rsid w:val="00763F6C"/>
    <w:rsid w:val="00763FD0"/>
    <w:rsid w:val="0076429C"/>
    <w:rsid w:val="00764708"/>
    <w:rsid w:val="00764C1F"/>
    <w:rsid w:val="00764DB5"/>
    <w:rsid w:val="0076537E"/>
    <w:rsid w:val="007656C9"/>
    <w:rsid w:val="007656F6"/>
    <w:rsid w:val="0076574E"/>
    <w:rsid w:val="007657DA"/>
    <w:rsid w:val="00765E34"/>
    <w:rsid w:val="007660E4"/>
    <w:rsid w:val="007662FE"/>
    <w:rsid w:val="00766551"/>
    <w:rsid w:val="0076670F"/>
    <w:rsid w:val="00767C12"/>
    <w:rsid w:val="00767EF6"/>
    <w:rsid w:val="007701BF"/>
    <w:rsid w:val="0077040C"/>
    <w:rsid w:val="007705D1"/>
    <w:rsid w:val="00770E92"/>
    <w:rsid w:val="00771734"/>
    <w:rsid w:val="007721DB"/>
    <w:rsid w:val="0077275D"/>
    <w:rsid w:val="007728D3"/>
    <w:rsid w:val="00772DCD"/>
    <w:rsid w:val="00772E1D"/>
    <w:rsid w:val="007730AA"/>
    <w:rsid w:val="0077327B"/>
    <w:rsid w:val="0077345C"/>
    <w:rsid w:val="0077355D"/>
    <w:rsid w:val="00773D5E"/>
    <w:rsid w:val="00773EF8"/>
    <w:rsid w:val="00773F1D"/>
    <w:rsid w:val="00774781"/>
    <w:rsid w:val="007749D1"/>
    <w:rsid w:val="0077520F"/>
    <w:rsid w:val="00775330"/>
    <w:rsid w:val="007753E1"/>
    <w:rsid w:val="007762E3"/>
    <w:rsid w:val="007762E5"/>
    <w:rsid w:val="00776560"/>
    <w:rsid w:val="0077672E"/>
    <w:rsid w:val="0077683C"/>
    <w:rsid w:val="00776CD8"/>
    <w:rsid w:val="00776CF0"/>
    <w:rsid w:val="00776D17"/>
    <w:rsid w:val="00777061"/>
    <w:rsid w:val="007771B6"/>
    <w:rsid w:val="00777AB7"/>
    <w:rsid w:val="007801A8"/>
    <w:rsid w:val="00780369"/>
    <w:rsid w:val="007805F6"/>
    <w:rsid w:val="0078078C"/>
    <w:rsid w:val="007812AA"/>
    <w:rsid w:val="0078139C"/>
    <w:rsid w:val="007814FE"/>
    <w:rsid w:val="0078263C"/>
    <w:rsid w:val="00782AAE"/>
    <w:rsid w:val="00783594"/>
    <w:rsid w:val="007836B0"/>
    <w:rsid w:val="00783E29"/>
    <w:rsid w:val="00783F5A"/>
    <w:rsid w:val="00784802"/>
    <w:rsid w:val="00784AC7"/>
    <w:rsid w:val="0078530B"/>
    <w:rsid w:val="00785394"/>
    <w:rsid w:val="00785686"/>
    <w:rsid w:val="00785828"/>
    <w:rsid w:val="007859BF"/>
    <w:rsid w:val="00785ABE"/>
    <w:rsid w:val="00785C42"/>
    <w:rsid w:val="00785E93"/>
    <w:rsid w:val="00786462"/>
    <w:rsid w:val="0078695B"/>
    <w:rsid w:val="0078718A"/>
    <w:rsid w:val="00787739"/>
    <w:rsid w:val="00787BD8"/>
    <w:rsid w:val="00787F73"/>
    <w:rsid w:val="0079037A"/>
    <w:rsid w:val="0079061F"/>
    <w:rsid w:val="00790F21"/>
    <w:rsid w:val="00790F49"/>
    <w:rsid w:val="00790FBA"/>
    <w:rsid w:val="007913B8"/>
    <w:rsid w:val="0079172E"/>
    <w:rsid w:val="00791D3F"/>
    <w:rsid w:val="00791E4C"/>
    <w:rsid w:val="00792095"/>
    <w:rsid w:val="007921A2"/>
    <w:rsid w:val="00792590"/>
    <w:rsid w:val="00792EB5"/>
    <w:rsid w:val="00793099"/>
    <w:rsid w:val="007938F6"/>
    <w:rsid w:val="00793D3C"/>
    <w:rsid w:val="00793F7A"/>
    <w:rsid w:val="0079404B"/>
    <w:rsid w:val="007943E3"/>
    <w:rsid w:val="00794AC2"/>
    <w:rsid w:val="00794C65"/>
    <w:rsid w:val="00795205"/>
    <w:rsid w:val="00795525"/>
    <w:rsid w:val="007955BB"/>
    <w:rsid w:val="00795714"/>
    <w:rsid w:val="00795737"/>
    <w:rsid w:val="00795AC1"/>
    <w:rsid w:val="00795E13"/>
    <w:rsid w:val="00796125"/>
    <w:rsid w:val="00796B16"/>
    <w:rsid w:val="007973F8"/>
    <w:rsid w:val="007A0019"/>
    <w:rsid w:val="007A0119"/>
    <w:rsid w:val="007A07A1"/>
    <w:rsid w:val="007A0DCD"/>
    <w:rsid w:val="007A1459"/>
    <w:rsid w:val="007A1E81"/>
    <w:rsid w:val="007A2206"/>
    <w:rsid w:val="007A2576"/>
    <w:rsid w:val="007A3170"/>
    <w:rsid w:val="007A3991"/>
    <w:rsid w:val="007A3B72"/>
    <w:rsid w:val="007A4136"/>
    <w:rsid w:val="007A41DF"/>
    <w:rsid w:val="007A4281"/>
    <w:rsid w:val="007A46BD"/>
    <w:rsid w:val="007A4C33"/>
    <w:rsid w:val="007A4C3E"/>
    <w:rsid w:val="007A4E24"/>
    <w:rsid w:val="007A4EC3"/>
    <w:rsid w:val="007A5371"/>
    <w:rsid w:val="007A5392"/>
    <w:rsid w:val="007A5C0C"/>
    <w:rsid w:val="007A5F0F"/>
    <w:rsid w:val="007A6021"/>
    <w:rsid w:val="007A64FD"/>
    <w:rsid w:val="007A6688"/>
    <w:rsid w:val="007A68B6"/>
    <w:rsid w:val="007A6CCF"/>
    <w:rsid w:val="007A6D55"/>
    <w:rsid w:val="007A7147"/>
    <w:rsid w:val="007A7599"/>
    <w:rsid w:val="007A7E47"/>
    <w:rsid w:val="007B0182"/>
    <w:rsid w:val="007B0235"/>
    <w:rsid w:val="007B0B14"/>
    <w:rsid w:val="007B120D"/>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0D"/>
    <w:rsid w:val="007B581C"/>
    <w:rsid w:val="007B5A07"/>
    <w:rsid w:val="007B5BF4"/>
    <w:rsid w:val="007B61DC"/>
    <w:rsid w:val="007B636A"/>
    <w:rsid w:val="007B6C9A"/>
    <w:rsid w:val="007B70A7"/>
    <w:rsid w:val="007B7942"/>
    <w:rsid w:val="007B7C28"/>
    <w:rsid w:val="007B7C71"/>
    <w:rsid w:val="007C0022"/>
    <w:rsid w:val="007C01B0"/>
    <w:rsid w:val="007C02ED"/>
    <w:rsid w:val="007C063B"/>
    <w:rsid w:val="007C06A7"/>
    <w:rsid w:val="007C08AC"/>
    <w:rsid w:val="007C0959"/>
    <w:rsid w:val="007C097D"/>
    <w:rsid w:val="007C0C35"/>
    <w:rsid w:val="007C1037"/>
    <w:rsid w:val="007C13AC"/>
    <w:rsid w:val="007C14F4"/>
    <w:rsid w:val="007C1530"/>
    <w:rsid w:val="007C1B96"/>
    <w:rsid w:val="007C2376"/>
    <w:rsid w:val="007C243D"/>
    <w:rsid w:val="007C29D3"/>
    <w:rsid w:val="007C2D2A"/>
    <w:rsid w:val="007C3743"/>
    <w:rsid w:val="007C3751"/>
    <w:rsid w:val="007C3A9C"/>
    <w:rsid w:val="007C42A9"/>
    <w:rsid w:val="007C4574"/>
    <w:rsid w:val="007C48F6"/>
    <w:rsid w:val="007C4D41"/>
    <w:rsid w:val="007C4DA8"/>
    <w:rsid w:val="007C4E2F"/>
    <w:rsid w:val="007C51C0"/>
    <w:rsid w:val="007C52D9"/>
    <w:rsid w:val="007C53D8"/>
    <w:rsid w:val="007C58A5"/>
    <w:rsid w:val="007C5BDD"/>
    <w:rsid w:val="007C5F65"/>
    <w:rsid w:val="007C60A9"/>
    <w:rsid w:val="007C6268"/>
    <w:rsid w:val="007C650D"/>
    <w:rsid w:val="007C65A5"/>
    <w:rsid w:val="007C6996"/>
    <w:rsid w:val="007C6A2A"/>
    <w:rsid w:val="007C6CB5"/>
    <w:rsid w:val="007C6E53"/>
    <w:rsid w:val="007C70C7"/>
    <w:rsid w:val="007C7D19"/>
    <w:rsid w:val="007C7EB2"/>
    <w:rsid w:val="007C7FD0"/>
    <w:rsid w:val="007D01FA"/>
    <w:rsid w:val="007D0F12"/>
    <w:rsid w:val="007D11AF"/>
    <w:rsid w:val="007D1591"/>
    <w:rsid w:val="007D163B"/>
    <w:rsid w:val="007D16E6"/>
    <w:rsid w:val="007D1801"/>
    <w:rsid w:val="007D1B9F"/>
    <w:rsid w:val="007D1ED6"/>
    <w:rsid w:val="007D2196"/>
    <w:rsid w:val="007D2ACE"/>
    <w:rsid w:val="007D2D79"/>
    <w:rsid w:val="007D3C0A"/>
    <w:rsid w:val="007D49B4"/>
    <w:rsid w:val="007D4D91"/>
    <w:rsid w:val="007D511F"/>
    <w:rsid w:val="007D54AB"/>
    <w:rsid w:val="007D55FB"/>
    <w:rsid w:val="007D596C"/>
    <w:rsid w:val="007D5EAE"/>
    <w:rsid w:val="007D61EB"/>
    <w:rsid w:val="007D670A"/>
    <w:rsid w:val="007D69AE"/>
    <w:rsid w:val="007D6BB5"/>
    <w:rsid w:val="007D7248"/>
    <w:rsid w:val="007D7298"/>
    <w:rsid w:val="007D7966"/>
    <w:rsid w:val="007E0441"/>
    <w:rsid w:val="007E047B"/>
    <w:rsid w:val="007E0866"/>
    <w:rsid w:val="007E0A41"/>
    <w:rsid w:val="007E1361"/>
    <w:rsid w:val="007E1821"/>
    <w:rsid w:val="007E18DB"/>
    <w:rsid w:val="007E1AA5"/>
    <w:rsid w:val="007E1DA8"/>
    <w:rsid w:val="007E258D"/>
    <w:rsid w:val="007E26CB"/>
    <w:rsid w:val="007E2B43"/>
    <w:rsid w:val="007E34AD"/>
    <w:rsid w:val="007E3549"/>
    <w:rsid w:val="007E386A"/>
    <w:rsid w:val="007E3C6E"/>
    <w:rsid w:val="007E3E4E"/>
    <w:rsid w:val="007E430F"/>
    <w:rsid w:val="007E4719"/>
    <w:rsid w:val="007E474B"/>
    <w:rsid w:val="007E4800"/>
    <w:rsid w:val="007E4A53"/>
    <w:rsid w:val="007E4C6D"/>
    <w:rsid w:val="007E4E83"/>
    <w:rsid w:val="007E51A4"/>
    <w:rsid w:val="007E5FB7"/>
    <w:rsid w:val="007E61D3"/>
    <w:rsid w:val="007E6284"/>
    <w:rsid w:val="007E680E"/>
    <w:rsid w:val="007E690E"/>
    <w:rsid w:val="007E6D3A"/>
    <w:rsid w:val="007E6DD0"/>
    <w:rsid w:val="007E742D"/>
    <w:rsid w:val="007E790B"/>
    <w:rsid w:val="007E7951"/>
    <w:rsid w:val="007F0683"/>
    <w:rsid w:val="007F13D5"/>
    <w:rsid w:val="007F1942"/>
    <w:rsid w:val="007F1A4A"/>
    <w:rsid w:val="007F1AEE"/>
    <w:rsid w:val="007F21D5"/>
    <w:rsid w:val="007F28F7"/>
    <w:rsid w:val="007F2ED2"/>
    <w:rsid w:val="007F31AF"/>
    <w:rsid w:val="007F4243"/>
    <w:rsid w:val="007F43DB"/>
    <w:rsid w:val="007F48F3"/>
    <w:rsid w:val="007F4DBC"/>
    <w:rsid w:val="007F5120"/>
    <w:rsid w:val="007F51C7"/>
    <w:rsid w:val="007F564E"/>
    <w:rsid w:val="007F5F7A"/>
    <w:rsid w:val="007F6227"/>
    <w:rsid w:val="007F6A4C"/>
    <w:rsid w:val="007F6B6E"/>
    <w:rsid w:val="007F776B"/>
    <w:rsid w:val="007F7C44"/>
    <w:rsid w:val="007F7CEB"/>
    <w:rsid w:val="00800011"/>
    <w:rsid w:val="0080082C"/>
    <w:rsid w:val="00800940"/>
    <w:rsid w:val="00800C86"/>
    <w:rsid w:val="0080106A"/>
    <w:rsid w:val="00801AC1"/>
    <w:rsid w:val="00801F9D"/>
    <w:rsid w:val="00802285"/>
    <w:rsid w:val="0080249D"/>
    <w:rsid w:val="008024DE"/>
    <w:rsid w:val="00802B1C"/>
    <w:rsid w:val="00802FB1"/>
    <w:rsid w:val="008035AD"/>
    <w:rsid w:val="00803793"/>
    <w:rsid w:val="00803E36"/>
    <w:rsid w:val="00804794"/>
    <w:rsid w:val="0080498D"/>
    <w:rsid w:val="00804A79"/>
    <w:rsid w:val="00804B35"/>
    <w:rsid w:val="00804BEB"/>
    <w:rsid w:val="0080500E"/>
    <w:rsid w:val="00805E5C"/>
    <w:rsid w:val="00805FF2"/>
    <w:rsid w:val="0080619A"/>
    <w:rsid w:val="0080622A"/>
    <w:rsid w:val="00806270"/>
    <w:rsid w:val="008071C6"/>
    <w:rsid w:val="00807C06"/>
    <w:rsid w:val="00807C5C"/>
    <w:rsid w:val="0081028B"/>
    <w:rsid w:val="008109F9"/>
    <w:rsid w:val="0081133C"/>
    <w:rsid w:val="0081142F"/>
    <w:rsid w:val="008114DD"/>
    <w:rsid w:val="00811B8D"/>
    <w:rsid w:val="00812173"/>
    <w:rsid w:val="008121B5"/>
    <w:rsid w:val="0081237B"/>
    <w:rsid w:val="008127CF"/>
    <w:rsid w:val="008127F0"/>
    <w:rsid w:val="00812809"/>
    <w:rsid w:val="0081296F"/>
    <w:rsid w:val="00812D6E"/>
    <w:rsid w:val="00813328"/>
    <w:rsid w:val="0081332F"/>
    <w:rsid w:val="00813A99"/>
    <w:rsid w:val="00813C80"/>
    <w:rsid w:val="00813F88"/>
    <w:rsid w:val="00813FE7"/>
    <w:rsid w:val="00814564"/>
    <w:rsid w:val="008146A8"/>
    <w:rsid w:val="00814C55"/>
    <w:rsid w:val="00814DC3"/>
    <w:rsid w:val="008150A1"/>
    <w:rsid w:val="008152DD"/>
    <w:rsid w:val="008153EA"/>
    <w:rsid w:val="00815619"/>
    <w:rsid w:val="008156B6"/>
    <w:rsid w:val="00815835"/>
    <w:rsid w:val="00815858"/>
    <w:rsid w:val="00816C9E"/>
    <w:rsid w:val="00816DAF"/>
    <w:rsid w:val="00817472"/>
    <w:rsid w:val="008176D0"/>
    <w:rsid w:val="008177DF"/>
    <w:rsid w:val="00817CE6"/>
    <w:rsid w:val="008203E2"/>
    <w:rsid w:val="008203EE"/>
    <w:rsid w:val="00820FBE"/>
    <w:rsid w:val="00821455"/>
    <w:rsid w:val="00821BC6"/>
    <w:rsid w:val="00822075"/>
    <w:rsid w:val="0082274E"/>
    <w:rsid w:val="00822D2B"/>
    <w:rsid w:val="00823002"/>
    <w:rsid w:val="008239DE"/>
    <w:rsid w:val="00823AD6"/>
    <w:rsid w:val="00823D17"/>
    <w:rsid w:val="00823DD2"/>
    <w:rsid w:val="00824525"/>
    <w:rsid w:val="008248A6"/>
    <w:rsid w:val="00824A8D"/>
    <w:rsid w:val="00824F16"/>
    <w:rsid w:val="00824F42"/>
    <w:rsid w:val="00825371"/>
    <w:rsid w:val="008256F5"/>
    <w:rsid w:val="008258C8"/>
    <w:rsid w:val="00825DCB"/>
    <w:rsid w:val="00826134"/>
    <w:rsid w:val="00826563"/>
    <w:rsid w:val="00826A39"/>
    <w:rsid w:val="00826CF4"/>
    <w:rsid w:val="00827355"/>
    <w:rsid w:val="0082786F"/>
    <w:rsid w:val="00827BF2"/>
    <w:rsid w:val="008300B3"/>
    <w:rsid w:val="00830614"/>
    <w:rsid w:val="00830814"/>
    <w:rsid w:val="0083096F"/>
    <w:rsid w:val="008309A1"/>
    <w:rsid w:val="00830AF7"/>
    <w:rsid w:val="0083141D"/>
    <w:rsid w:val="008322BF"/>
    <w:rsid w:val="00832373"/>
    <w:rsid w:val="00832409"/>
    <w:rsid w:val="00832819"/>
    <w:rsid w:val="00832856"/>
    <w:rsid w:val="00832A79"/>
    <w:rsid w:val="00832F28"/>
    <w:rsid w:val="0083330F"/>
    <w:rsid w:val="008335F7"/>
    <w:rsid w:val="00833919"/>
    <w:rsid w:val="00833A5A"/>
    <w:rsid w:val="00833B06"/>
    <w:rsid w:val="00833D38"/>
    <w:rsid w:val="00833D74"/>
    <w:rsid w:val="008341AC"/>
    <w:rsid w:val="00834823"/>
    <w:rsid w:val="00834A9C"/>
    <w:rsid w:val="00834C4A"/>
    <w:rsid w:val="00835200"/>
    <w:rsid w:val="00835569"/>
    <w:rsid w:val="00835653"/>
    <w:rsid w:val="00835F50"/>
    <w:rsid w:val="00836530"/>
    <w:rsid w:val="00836619"/>
    <w:rsid w:val="008368EB"/>
    <w:rsid w:val="00836A58"/>
    <w:rsid w:val="00836B0B"/>
    <w:rsid w:val="00836C0B"/>
    <w:rsid w:val="00837650"/>
    <w:rsid w:val="008378CA"/>
    <w:rsid w:val="0084046F"/>
    <w:rsid w:val="00840543"/>
    <w:rsid w:val="008408B0"/>
    <w:rsid w:val="00840AE8"/>
    <w:rsid w:val="00840BB3"/>
    <w:rsid w:val="00840BEC"/>
    <w:rsid w:val="008411F9"/>
    <w:rsid w:val="008414EE"/>
    <w:rsid w:val="008417C0"/>
    <w:rsid w:val="008418CD"/>
    <w:rsid w:val="00841A02"/>
    <w:rsid w:val="00841CB0"/>
    <w:rsid w:val="008423A3"/>
    <w:rsid w:val="00842511"/>
    <w:rsid w:val="00842607"/>
    <w:rsid w:val="00842772"/>
    <w:rsid w:val="00842A26"/>
    <w:rsid w:val="00842D01"/>
    <w:rsid w:val="00842D7B"/>
    <w:rsid w:val="00842DD9"/>
    <w:rsid w:val="0084328A"/>
    <w:rsid w:val="0084358D"/>
    <w:rsid w:val="00843ADF"/>
    <w:rsid w:val="00843EB9"/>
    <w:rsid w:val="00844D80"/>
    <w:rsid w:val="00844FB4"/>
    <w:rsid w:val="0084503A"/>
    <w:rsid w:val="0084568C"/>
    <w:rsid w:val="00845960"/>
    <w:rsid w:val="00845A09"/>
    <w:rsid w:val="00845C55"/>
    <w:rsid w:val="00845FD8"/>
    <w:rsid w:val="0084619E"/>
    <w:rsid w:val="0084681D"/>
    <w:rsid w:val="00846A30"/>
    <w:rsid w:val="00846F8E"/>
    <w:rsid w:val="00847165"/>
    <w:rsid w:val="0084731A"/>
    <w:rsid w:val="0084738C"/>
    <w:rsid w:val="00847AC9"/>
    <w:rsid w:val="00847BA2"/>
    <w:rsid w:val="00847CDC"/>
    <w:rsid w:val="00847D3B"/>
    <w:rsid w:val="00847D57"/>
    <w:rsid w:val="00847E66"/>
    <w:rsid w:val="00847EE3"/>
    <w:rsid w:val="008512B6"/>
    <w:rsid w:val="008527E7"/>
    <w:rsid w:val="008535A3"/>
    <w:rsid w:val="008537AB"/>
    <w:rsid w:val="00853C56"/>
    <w:rsid w:val="008543A3"/>
    <w:rsid w:val="0085469B"/>
    <w:rsid w:val="00854B26"/>
    <w:rsid w:val="00854DDE"/>
    <w:rsid w:val="00855195"/>
    <w:rsid w:val="00855247"/>
    <w:rsid w:val="008556D0"/>
    <w:rsid w:val="0085621A"/>
    <w:rsid w:val="008563A7"/>
    <w:rsid w:val="008564FF"/>
    <w:rsid w:val="008565BD"/>
    <w:rsid w:val="00856CC6"/>
    <w:rsid w:val="00857A46"/>
    <w:rsid w:val="00857ED6"/>
    <w:rsid w:val="008604C4"/>
    <w:rsid w:val="008608D1"/>
    <w:rsid w:val="00860C3D"/>
    <w:rsid w:val="00860FEA"/>
    <w:rsid w:val="00861716"/>
    <w:rsid w:val="008619A2"/>
    <w:rsid w:val="008619B9"/>
    <w:rsid w:val="00861C57"/>
    <w:rsid w:val="00861CA3"/>
    <w:rsid w:val="008624F6"/>
    <w:rsid w:val="00862FDF"/>
    <w:rsid w:val="008632BD"/>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6F8F"/>
    <w:rsid w:val="008672B7"/>
    <w:rsid w:val="00870AA1"/>
    <w:rsid w:val="0087134D"/>
    <w:rsid w:val="00871FE2"/>
    <w:rsid w:val="00872014"/>
    <w:rsid w:val="0087270A"/>
    <w:rsid w:val="0087273A"/>
    <w:rsid w:val="00872C2F"/>
    <w:rsid w:val="0087362F"/>
    <w:rsid w:val="00873CC8"/>
    <w:rsid w:val="00873DB2"/>
    <w:rsid w:val="00875831"/>
    <w:rsid w:val="00875D10"/>
    <w:rsid w:val="00875E26"/>
    <w:rsid w:val="0087609C"/>
    <w:rsid w:val="008760D2"/>
    <w:rsid w:val="00876979"/>
    <w:rsid w:val="008778FC"/>
    <w:rsid w:val="00877DA2"/>
    <w:rsid w:val="00880392"/>
    <w:rsid w:val="0088088B"/>
    <w:rsid w:val="00880EC4"/>
    <w:rsid w:val="00881298"/>
    <w:rsid w:val="00881527"/>
    <w:rsid w:val="00881647"/>
    <w:rsid w:val="00881C5B"/>
    <w:rsid w:val="0088232E"/>
    <w:rsid w:val="00882881"/>
    <w:rsid w:val="00882A67"/>
    <w:rsid w:val="00883181"/>
    <w:rsid w:val="00883A33"/>
    <w:rsid w:val="00883CD9"/>
    <w:rsid w:val="00883E93"/>
    <w:rsid w:val="00884350"/>
    <w:rsid w:val="00884385"/>
    <w:rsid w:val="0088445B"/>
    <w:rsid w:val="00884B98"/>
    <w:rsid w:val="00884D97"/>
    <w:rsid w:val="00885240"/>
    <w:rsid w:val="00885973"/>
    <w:rsid w:val="00885B84"/>
    <w:rsid w:val="00886106"/>
    <w:rsid w:val="008873EE"/>
    <w:rsid w:val="0088762F"/>
    <w:rsid w:val="00887C7A"/>
    <w:rsid w:val="00887FCA"/>
    <w:rsid w:val="00890221"/>
    <w:rsid w:val="00890388"/>
    <w:rsid w:val="00890730"/>
    <w:rsid w:val="00891355"/>
    <w:rsid w:val="00891392"/>
    <w:rsid w:val="008915C6"/>
    <w:rsid w:val="00891833"/>
    <w:rsid w:val="00891B2F"/>
    <w:rsid w:val="00891EF3"/>
    <w:rsid w:val="008922B1"/>
    <w:rsid w:val="0089267E"/>
    <w:rsid w:val="00892AE2"/>
    <w:rsid w:val="00892B40"/>
    <w:rsid w:val="00893128"/>
    <w:rsid w:val="0089348C"/>
    <w:rsid w:val="0089451E"/>
    <w:rsid w:val="00894601"/>
    <w:rsid w:val="0089475A"/>
    <w:rsid w:val="00894AB7"/>
    <w:rsid w:val="00894B93"/>
    <w:rsid w:val="00894C62"/>
    <w:rsid w:val="00894D5F"/>
    <w:rsid w:val="008950EE"/>
    <w:rsid w:val="0089541F"/>
    <w:rsid w:val="0089578D"/>
    <w:rsid w:val="008959B9"/>
    <w:rsid w:val="00895B5E"/>
    <w:rsid w:val="00896173"/>
    <w:rsid w:val="008964EE"/>
    <w:rsid w:val="0089656A"/>
    <w:rsid w:val="00896B5B"/>
    <w:rsid w:val="0089754F"/>
    <w:rsid w:val="008A0341"/>
    <w:rsid w:val="008A06B1"/>
    <w:rsid w:val="008A07C4"/>
    <w:rsid w:val="008A0DF3"/>
    <w:rsid w:val="008A0E09"/>
    <w:rsid w:val="008A1339"/>
    <w:rsid w:val="008A1520"/>
    <w:rsid w:val="008A211B"/>
    <w:rsid w:val="008A21AF"/>
    <w:rsid w:val="008A22CA"/>
    <w:rsid w:val="008A23F0"/>
    <w:rsid w:val="008A2988"/>
    <w:rsid w:val="008A2AE7"/>
    <w:rsid w:val="008A2E2C"/>
    <w:rsid w:val="008A2FF2"/>
    <w:rsid w:val="008A37BD"/>
    <w:rsid w:val="008A3E66"/>
    <w:rsid w:val="008A3F89"/>
    <w:rsid w:val="008A4036"/>
    <w:rsid w:val="008A40E7"/>
    <w:rsid w:val="008A4438"/>
    <w:rsid w:val="008A462F"/>
    <w:rsid w:val="008A5267"/>
    <w:rsid w:val="008A5268"/>
    <w:rsid w:val="008A5656"/>
    <w:rsid w:val="008A5A95"/>
    <w:rsid w:val="008A5B38"/>
    <w:rsid w:val="008A6057"/>
    <w:rsid w:val="008A7228"/>
    <w:rsid w:val="008A7549"/>
    <w:rsid w:val="008A7648"/>
    <w:rsid w:val="008A76EA"/>
    <w:rsid w:val="008A77D6"/>
    <w:rsid w:val="008A7B29"/>
    <w:rsid w:val="008A7CBB"/>
    <w:rsid w:val="008A7D45"/>
    <w:rsid w:val="008B0A2F"/>
    <w:rsid w:val="008B10CB"/>
    <w:rsid w:val="008B1219"/>
    <w:rsid w:val="008B127E"/>
    <w:rsid w:val="008B198F"/>
    <w:rsid w:val="008B19AA"/>
    <w:rsid w:val="008B1D49"/>
    <w:rsid w:val="008B2130"/>
    <w:rsid w:val="008B2220"/>
    <w:rsid w:val="008B2660"/>
    <w:rsid w:val="008B2C7A"/>
    <w:rsid w:val="008B3208"/>
    <w:rsid w:val="008B4293"/>
    <w:rsid w:val="008B4A69"/>
    <w:rsid w:val="008B4CA4"/>
    <w:rsid w:val="008B4CD5"/>
    <w:rsid w:val="008B5551"/>
    <w:rsid w:val="008B5603"/>
    <w:rsid w:val="008B5706"/>
    <w:rsid w:val="008B5BD5"/>
    <w:rsid w:val="008B5F4E"/>
    <w:rsid w:val="008B602D"/>
    <w:rsid w:val="008B6825"/>
    <w:rsid w:val="008B6852"/>
    <w:rsid w:val="008B6B3C"/>
    <w:rsid w:val="008B6F4F"/>
    <w:rsid w:val="008B70C2"/>
    <w:rsid w:val="008B71CE"/>
    <w:rsid w:val="008B76F4"/>
    <w:rsid w:val="008B7909"/>
    <w:rsid w:val="008B7F6E"/>
    <w:rsid w:val="008C00B8"/>
    <w:rsid w:val="008C06A1"/>
    <w:rsid w:val="008C0AE3"/>
    <w:rsid w:val="008C148A"/>
    <w:rsid w:val="008C1789"/>
    <w:rsid w:val="008C1AFB"/>
    <w:rsid w:val="008C1D97"/>
    <w:rsid w:val="008C1EA4"/>
    <w:rsid w:val="008C22B4"/>
    <w:rsid w:val="008C2B58"/>
    <w:rsid w:val="008C2BAD"/>
    <w:rsid w:val="008C2F84"/>
    <w:rsid w:val="008C313A"/>
    <w:rsid w:val="008C31B9"/>
    <w:rsid w:val="008C350B"/>
    <w:rsid w:val="008C3BDB"/>
    <w:rsid w:val="008C3D85"/>
    <w:rsid w:val="008C44DD"/>
    <w:rsid w:val="008C485C"/>
    <w:rsid w:val="008C49D6"/>
    <w:rsid w:val="008C4BE7"/>
    <w:rsid w:val="008C62F3"/>
    <w:rsid w:val="008C66B0"/>
    <w:rsid w:val="008C694F"/>
    <w:rsid w:val="008C6A4B"/>
    <w:rsid w:val="008C6BC8"/>
    <w:rsid w:val="008C6BE8"/>
    <w:rsid w:val="008C6BF5"/>
    <w:rsid w:val="008C6CFD"/>
    <w:rsid w:val="008C79A3"/>
    <w:rsid w:val="008C7AFD"/>
    <w:rsid w:val="008C7C10"/>
    <w:rsid w:val="008C7D55"/>
    <w:rsid w:val="008C7F97"/>
    <w:rsid w:val="008D0165"/>
    <w:rsid w:val="008D0686"/>
    <w:rsid w:val="008D0E3F"/>
    <w:rsid w:val="008D1671"/>
    <w:rsid w:val="008D1B11"/>
    <w:rsid w:val="008D1CCC"/>
    <w:rsid w:val="008D1DDF"/>
    <w:rsid w:val="008D246B"/>
    <w:rsid w:val="008D2DDA"/>
    <w:rsid w:val="008D2E8B"/>
    <w:rsid w:val="008D3366"/>
    <w:rsid w:val="008D3FA9"/>
    <w:rsid w:val="008D419D"/>
    <w:rsid w:val="008D4430"/>
    <w:rsid w:val="008D4487"/>
    <w:rsid w:val="008D4850"/>
    <w:rsid w:val="008D56AD"/>
    <w:rsid w:val="008D5F16"/>
    <w:rsid w:val="008D64ED"/>
    <w:rsid w:val="008D6780"/>
    <w:rsid w:val="008D6AED"/>
    <w:rsid w:val="008D7739"/>
    <w:rsid w:val="008D7790"/>
    <w:rsid w:val="008D782E"/>
    <w:rsid w:val="008D79DD"/>
    <w:rsid w:val="008D7FDC"/>
    <w:rsid w:val="008E01B6"/>
    <w:rsid w:val="008E0BCD"/>
    <w:rsid w:val="008E0C5F"/>
    <w:rsid w:val="008E1700"/>
    <w:rsid w:val="008E19C3"/>
    <w:rsid w:val="008E1DB9"/>
    <w:rsid w:val="008E2381"/>
    <w:rsid w:val="008E24C4"/>
    <w:rsid w:val="008E2536"/>
    <w:rsid w:val="008E2B44"/>
    <w:rsid w:val="008E2D57"/>
    <w:rsid w:val="008E2D96"/>
    <w:rsid w:val="008E349A"/>
    <w:rsid w:val="008E37FC"/>
    <w:rsid w:val="008E3994"/>
    <w:rsid w:val="008E3CEB"/>
    <w:rsid w:val="008E3DEF"/>
    <w:rsid w:val="008E459B"/>
    <w:rsid w:val="008E483E"/>
    <w:rsid w:val="008E4885"/>
    <w:rsid w:val="008E50BF"/>
    <w:rsid w:val="008E54BF"/>
    <w:rsid w:val="008E5BC4"/>
    <w:rsid w:val="008E600E"/>
    <w:rsid w:val="008E619B"/>
    <w:rsid w:val="008E6D56"/>
    <w:rsid w:val="008E6F4A"/>
    <w:rsid w:val="008F0208"/>
    <w:rsid w:val="008F0D40"/>
    <w:rsid w:val="008F0EEF"/>
    <w:rsid w:val="008F0FCF"/>
    <w:rsid w:val="008F105D"/>
    <w:rsid w:val="008F17CE"/>
    <w:rsid w:val="008F1944"/>
    <w:rsid w:val="008F1B14"/>
    <w:rsid w:val="008F33A3"/>
    <w:rsid w:val="008F33D0"/>
    <w:rsid w:val="008F37A1"/>
    <w:rsid w:val="008F38A2"/>
    <w:rsid w:val="008F3987"/>
    <w:rsid w:val="008F3A05"/>
    <w:rsid w:val="008F3AE2"/>
    <w:rsid w:val="008F3B9C"/>
    <w:rsid w:val="008F3BCA"/>
    <w:rsid w:val="008F4181"/>
    <w:rsid w:val="008F46D3"/>
    <w:rsid w:val="008F4A8F"/>
    <w:rsid w:val="008F4B75"/>
    <w:rsid w:val="008F4E0A"/>
    <w:rsid w:val="008F5072"/>
    <w:rsid w:val="008F52AF"/>
    <w:rsid w:val="008F5335"/>
    <w:rsid w:val="008F5CA2"/>
    <w:rsid w:val="008F5D62"/>
    <w:rsid w:val="008F6527"/>
    <w:rsid w:val="008F68E4"/>
    <w:rsid w:val="008F68FC"/>
    <w:rsid w:val="008F6C12"/>
    <w:rsid w:val="008F6D96"/>
    <w:rsid w:val="008F6E78"/>
    <w:rsid w:val="008F7233"/>
    <w:rsid w:val="008F72B5"/>
    <w:rsid w:val="008F7A9E"/>
    <w:rsid w:val="008F7B23"/>
    <w:rsid w:val="008F7BD5"/>
    <w:rsid w:val="008F7CD1"/>
    <w:rsid w:val="008F7DB9"/>
    <w:rsid w:val="00900636"/>
    <w:rsid w:val="00900998"/>
    <w:rsid w:val="00900CEA"/>
    <w:rsid w:val="00900D17"/>
    <w:rsid w:val="00900D6B"/>
    <w:rsid w:val="009011D1"/>
    <w:rsid w:val="009012A6"/>
    <w:rsid w:val="00902204"/>
    <w:rsid w:val="009026F3"/>
    <w:rsid w:val="00902824"/>
    <w:rsid w:val="0090295F"/>
    <w:rsid w:val="00902FAF"/>
    <w:rsid w:val="00903212"/>
    <w:rsid w:val="009032E3"/>
    <w:rsid w:val="009034A9"/>
    <w:rsid w:val="00903723"/>
    <w:rsid w:val="0090408A"/>
    <w:rsid w:val="00904689"/>
    <w:rsid w:val="009046D9"/>
    <w:rsid w:val="00904CDF"/>
    <w:rsid w:val="00905945"/>
    <w:rsid w:val="00905EF6"/>
    <w:rsid w:val="0090601A"/>
    <w:rsid w:val="00906151"/>
    <w:rsid w:val="0090618E"/>
    <w:rsid w:val="009061B5"/>
    <w:rsid w:val="00906743"/>
    <w:rsid w:val="00906B22"/>
    <w:rsid w:val="00906EEE"/>
    <w:rsid w:val="00906FFE"/>
    <w:rsid w:val="009070BD"/>
    <w:rsid w:val="00907111"/>
    <w:rsid w:val="00907596"/>
    <w:rsid w:val="009075D3"/>
    <w:rsid w:val="009075E6"/>
    <w:rsid w:val="00907E98"/>
    <w:rsid w:val="0091099D"/>
    <w:rsid w:val="00910AA5"/>
    <w:rsid w:val="00910FF6"/>
    <w:rsid w:val="0091173A"/>
    <w:rsid w:val="00911AE3"/>
    <w:rsid w:val="00911CC2"/>
    <w:rsid w:val="00912049"/>
    <w:rsid w:val="00912182"/>
    <w:rsid w:val="0091227A"/>
    <w:rsid w:val="009122D6"/>
    <w:rsid w:val="00913571"/>
    <w:rsid w:val="00913660"/>
    <w:rsid w:val="00914620"/>
    <w:rsid w:val="00915151"/>
    <w:rsid w:val="0091541C"/>
    <w:rsid w:val="009156EA"/>
    <w:rsid w:val="00915AF0"/>
    <w:rsid w:val="00915E88"/>
    <w:rsid w:val="00916037"/>
    <w:rsid w:val="00916195"/>
    <w:rsid w:val="009169E7"/>
    <w:rsid w:val="009170A9"/>
    <w:rsid w:val="0091725B"/>
    <w:rsid w:val="0091765A"/>
    <w:rsid w:val="00917B21"/>
    <w:rsid w:val="00917E2B"/>
    <w:rsid w:val="00917EA1"/>
    <w:rsid w:val="009206BE"/>
    <w:rsid w:val="00920DE9"/>
    <w:rsid w:val="00921443"/>
    <w:rsid w:val="009214FB"/>
    <w:rsid w:val="009215EC"/>
    <w:rsid w:val="0092168E"/>
    <w:rsid w:val="00921CC1"/>
    <w:rsid w:val="00921F05"/>
    <w:rsid w:val="00922479"/>
    <w:rsid w:val="009224A8"/>
    <w:rsid w:val="009228F2"/>
    <w:rsid w:val="00922CF5"/>
    <w:rsid w:val="00923016"/>
    <w:rsid w:val="00923073"/>
    <w:rsid w:val="00923096"/>
    <w:rsid w:val="0092339A"/>
    <w:rsid w:val="0092342F"/>
    <w:rsid w:val="00923481"/>
    <w:rsid w:val="00923D07"/>
    <w:rsid w:val="00923F9C"/>
    <w:rsid w:val="00924667"/>
    <w:rsid w:val="00924858"/>
    <w:rsid w:val="00924C5E"/>
    <w:rsid w:val="00924E27"/>
    <w:rsid w:val="0092509F"/>
    <w:rsid w:val="009251DF"/>
    <w:rsid w:val="009252F3"/>
    <w:rsid w:val="009255DF"/>
    <w:rsid w:val="00925642"/>
    <w:rsid w:val="00925694"/>
    <w:rsid w:val="00925FDB"/>
    <w:rsid w:val="0092655B"/>
    <w:rsid w:val="009265F3"/>
    <w:rsid w:val="00926E4D"/>
    <w:rsid w:val="009272E0"/>
    <w:rsid w:val="0092745C"/>
    <w:rsid w:val="009302D8"/>
    <w:rsid w:val="00930860"/>
    <w:rsid w:val="009308A1"/>
    <w:rsid w:val="00930BB2"/>
    <w:rsid w:val="00930DDE"/>
    <w:rsid w:val="0093129C"/>
    <w:rsid w:val="0093148B"/>
    <w:rsid w:val="00931D14"/>
    <w:rsid w:val="00932158"/>
    <w:rsid w:val="00932A00"/>
    <w:rsid w:val="00932F48"/>
    <w:rsid w:val="00933049"/>
    <w:rsid w:val="00933091"/>
    <w:rsid w:val="00933216"/>
    <w:rsid w:val="009332DE"/>
    <w:rsid w:val="0093331A"/>
    <w:rsid w:val="009333E9"/>
    <w:rsid w:val="00933B4A"/>
    <w:rsid w:val="00933B51"/>
    <w:rsid w:val="00933E8C"/>
    <w:rsid w:val="00934125"/>
    <w:rsid w:val="00934442"/>
    <w:rsid w:val="00934695"/>
    <w:rsid w:val="009347BF"/>
    <w:rsid w:val="00934880"/>
    <w:rsid w:val="00934CDC"/>
    <w:rsid w:val="00934F82"/>
    <w:rsid w:val="0093559E"/>
    <w:rsid w:val="00935D35"/>
    <w:rsid w:val="009360C4"/>
    <w:rsid w:val="0093631F"/>
    <w:rsid w:val="0093658F"/>
    <w:rsid w:val="0093728A"/>
    <w:rsid w:val="009375FB"/>
    <w:rsid w:val="00937C75"/>
    <w:rsid w:val="00940241"/>
    <w:rsid w:val="0094025C"/>
    <w:rsid w:val="00940526"/>
    <w:rsid w:val="00940CDE"/>
    <w:rsid w:val="00940E95"/>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870"/>
    <w:rsid w:val="00945AAA"/>
    <w:rsid w:val="0094620E"/>
    <w:rsid w:val="00946942"/>
    <w:rsid w:val="00946CF6"/>
    <w:rsid w:val="00947025"/>
    <w:rsid w:val="0094725D"/>
    <w:rsid w:val="009473A9"/>
    <w:rsid w:val="00947406"/>
    <w:rsid w:val="009475C0"/>
    <w:rsid w:val="009478AB"/>
    <w:rsid w:val="00947974"/>
    <w:rsid w:val="00947EF1"/>
    <w:rsid w:val="009501AD"/>
    <w:rsid w:val="009506DE"/>
    <w:rsid w:val="009509D2"/>
    <w:rsid w:val="00950E9A"/>
    <w:rsid w:val="009512F7"/>
    <w:rsid w:val="00951376"/>
    <w:rsid w:val="00951EB3"/>
    <w:rsid w:val="00951F44"/>
    <w:rsid w:val="0095250E"/>
    <w:rsid w:val="00952539"/>
    <w:rsid w:val="009526B6"/>
    <w:rsid w:val="00952A01"/>
    <w:rsid w:val="00952B32"/>
    <w:rsid w:val="00953496"/>
    <w:rsid w:val="00953EC2"/>
    <w:rsid w:val="00954656"/>
    <w:rsid w:val="009548A4"/>
    <w:rsid w:val="00954983"/>
    <w:rsid w:val="00954B84"/>
    <w:rsid w:val="00954DA7"/>
    <w:rsid w:val="0095510F"/>
    <w:rsid w:val="00955483"/>
    <w:rsid w:val="0095550E"/>
    <w:rsid w:val="00955562"/>
    <w:rsid w:val="0095587F"/>
    <w:rsid w:val="009559BF"/>
    <w:rsid w:val="00955B7C"/>
    <w:rsid w:val="00955F9E"/>
    <w:rsid w:val="009560E4"/>
    <w:rsid w:val="00956324"/>
    <w:rsid w:val="00957BB3"/>
    <w:rsid w:val="00957FD7"/>
    <w:rsid w:val="009601A4"/>
    <w:rsid w:val="00960451"/>
    <w:rsid w:val="00960B32"/>
    <w:rsid w:val="00960CA5"/>
    <w:rsid w:val="00961127"/>
    <w:rsid w:val="00961150"/>
    <w:rsid w:val="0096122A"/>
    <w:rsid w:val="0096133D"/>
    <w:rsid w:val="00961398"/>
    <w:rsid w:val="00961432"/>
    <w:rsid w:val="00961602"/>
    <w:rsid w:val="00961700"/>
    <w:rsid w:val="009617FB"/>
    <w:rsid w:val="00961B35"/>
    <w:rsid w:val="00961CAE"/>
    <w:rsid w:val="00962EEE"/>
    <w:rsid w:val="00962F00"/>
    <w:rsid w:val="00963088"/>
    <w:rsid w:val="00963592"/>
    <w:rsid w:val="00963E9E"/>
    <w:rsid w:val="00963EB8"/>
    <w:rsid w:val="0096443A"/>
    <w:rsid w:val="00964659"/>
    <w:rsid w:val="00964C55"/>
    <w:rsid w:val="009652C7"/>
    <w:rsid w:val="009654D4"/>
    <w:rsid w:val="00965856"/>
    <w:rsid w:val="00965CDC"/>
    <w:rsid w:val="0096686F"/>
    <w:rsid w:val="00966F0A"/>
    <w:rsid w:val="009672D0"/>
    <w:rsid w:val="00967355"/>
    <w:rsid w:val="0096788D"/>
    <w:rsid w:val="00967A21"/>
    <w:rsid w:val="00967C37"/>
    <w:rsid w:val="00967C99"/>
    <w:rsid w:val="00967D81"/>
    <w:rsid w:val="00967F2D"/>
    <w:rsid w:val="009700A0"/>
    <w:rsid w:val="009700FB"/>
    <w:rsid w:val="009703E6"/>
    <w:rsid w:val="00970D80"/>
    <w:rsid w:val="00970DA1"/>
    <w:rsid w:val="009712D0"/>
    <w:rsid w:val="00971726"/>
    <w:rsid w:val="00971861"/>
    <w:rsid w:val="0097199E"/>
    <w:rsid w:val="00971A2C"/>
    <w:rsid w:val="00971E65"/>
    <w:rsid w:val="00971EB0"/>
    <w:rsid w:val="00971EBA"/>
    <w:rsid w:val="00971F88"/>
    <w:rsid w:val="0097236C"/>
    <w:rsid w:val="009723D3"/>
    <w:rsid w:val="0097270C"/>
    <w:rsid w:val="00972729"/>
    <w:rsid w:val="00972B5E"/>
    <w:rsid w:val="009732A0"/>
    <w:rsid w:val="00973455"/>
    <w:rsid w:val="00974663"/>
    <w:rsid w:val="00975273"/>
    <w:rsid w:val="00975502"/>
    <w:rsid w:val="0097597A"/>
    <w:rsid w:val="00975ABC"/>
    <w:rsid w:val="00975BC0"/>
    <w:rsid w:val="0097606C"/>
    <w:rsid w:val="0097666A"/>
    <w:rsid w:val="00976687"/>
    <w:rsid w:val="00976DEF"/>
    <w:rsid w:val="009770C1"/>
    <w:rsid w:val="009774A5"/>
    <w:rsid w:val="0097780A"/>
    <w:rsid w:val="00977AD2"/>
    <w:rsid w:val="009801F0"/>
    <w:rsid w:val="0098023C"/>
    <w:rsid w:val="00980531"/>
    <w:rsid w:val="00980A02"/>
    <w:rsid w:val="00980A17"/>
    <w:rsid w:val="00980AC8"/>
    <w:rsid w:val="00980E93"/>
    <w:rsid w:val="009810B1"/>
    <w:rsid w:val="00981662"/>
    <w:rsid w:val="00981D12"/>
    <w:rsid w:val="0098295D"/>
    <w:rsid w:val="0098296D"/>
    <w:rsid w:val="00982E78"/>
    <w:rsid w:val="009838A3"/>
    <w:rsid w:val="009841E9"/>
    <w:rsid w:val="00984426"/>
    <w:rsid w:val="009847B2"/>
    <w:rsid w:val="00984D64"/>
    <w:rsid w:val="00985221"/>
    <w:rsid w:val="00985CDD"/>
    <w:rsid w:val="00985CEF"/>
    <w:rsid w:val="00986012"/>
    <w:rsid w:val="009861FD"/>
    <w:rsid w:val="0098688A"/>
    <w:rsid w:val="00986C9A"/>
    <w:rsid w:val="00986CAA"/>
    <w:rsid w:val="00986E72"/>
    <w:rsid w:val="00986ECB"/>
    <w:rsid w:val="00987A1B"/>
    <w:rsid w:val="00987AF5"/>
    <w:rsid w:val="00987E02"/>
    <w:rsid w:val="0099003B"/>
    <w:rsid w:val="009904FB"/>
    <w:rsid w:val="00991055"/>
    <w:rsid w:val="0099111E"/>
    <w:rsid w:val="00991194"/>
    <w:rsid w:val="00991C5C"/>
    <w:rsid w:val="00992669"/>
    <w:rsid w:val="0099275E"/>
    <w:rsid w:val="009928D2"/>
    <w:rsid w:val="00992BDA"/>
    <w:rsid w:val="0099338C"/>
    <w:rsid w:val="009934A5"/>
    <w:rsid w:val="00993526"/>
    <w:rsid w:val="00993753"/>
    <w:rsid w:val="009937EF"/>
    <w:rsid w:val="00993A22"/>
    <w:rsid w:val="00993AED"/>
    <w:rsid w:val="00993CB9"/>
    <w:rsid w:val="00994399"/>
    <w:rsid w:val="009953B3"/>
    <w:rsid w:val="00995667"/>
    <w:rsid w:val="0099569A"/>
    <w:rsid w:val="009958F0"/>
    <w:rsid w:val="00995CDC"/>
    <w:rsid w:val="00995F9F"/>
    <w:rsid w:val="009962DD"/>
    <w:rsid w:val="009966B8"/>
    <w:rsid w:val="00996A49"/>
    <w:rsid w:val="00997154"/>
    <w:rsid w:val="009971D9"/>
    <w:rsid w:val="009975BE"/>
    <w:rsid w:val="009978D7"/>
    <w:rsid w:val="009A0189"/>
    <w:rsid w:val="009A0283"/>
    <w:rsid w:val="009A0832"/>
    <w:rsid w:val="009A0A80"/>
    <w:rsid w:val="009A0F65"/>
    <w:rsid w:val="009A1774"/>
    <w:rsid w:val="009A197C"/>
    <w:rsid w:val="009A1A32"/>
    <w:rsid w:val="009A1A86"/>
    <w:rsid w:val="009A27A2"/>
    <w:rsid w:val="009A2A0D"/>
    <w:rsid w:val="009A37DB"/>
    <w:rsid w:val="009A3A8C"/>
    <w:rsid w:val="009A3C6A"/>
    <w:rsid w:val="009A405F"/>
    <w:rsid w:val="009A4518"/>
    <w:rsid w:val="009A456B"/>
    <w:rsid w:val="009A4756"/>
    <w:rsid w:val="009A490B"/>
    <w:rsid w:val="009A4D05"/>
    <w:rsid w:val="009A5165"/>
    <w:rsid w:val="009A5777"/>
    <w:rsid w:val="009A59AC"/>
    <w:rsid w:val="009A5AAF"/>
    <w:rsid w:val="009A5E17"/>
    <w:rsid w:val="009A68FD"/>
    <w:rsid w:val="009A6929"/>
    <w:rsid w:val="009A6B43"/>
    <w:rsid w:val="009A6B45"/>
    <w:rsid w:val="009A72E4"/>
    <w:rsid w:val="009A7677"/>
    <w:rsid w:val="009A779D"/>
    <w:rsid w:val="009A7816"/>
    <w:rsid w:val="009A7B1E"/>
    <w:rsid w:val="009B02D8"/>
    <w:rsid w:val="009B128F"/>
    <w:rsid w:val="009B13A8"/>
    <w:rsid w:val="009B1523"/>
    <w:rsid w:val="009B1618"/>
    <w:rsid w:val="009B1EA8"/>
    <w:rsid w:val="009B23B6"/>
    <w:rsid w:val="009B2791"/>
    <w:rsid w:val="009B29EC"/>
    <w:rsid w:val="009B2A8A"/>
    <w:rsid w:val="009B2F15"/>
    <w:rsid w:val="009B3505"/>
    <w:rsid w:val="009B35E6"/>
    <w:rsid w:val="009B363A"/>
    <w:rsid w:val="009B3790"/>
    <w:rsid w:val="009B3F20"/>
    <w:rsid w:val="009B459D"/>
    <w:rsid w:val="009B4A8F"/>
    <w:rsid w:val="009B5A21"/>
    <w:rsid w:val="009B5E00"/>
    <w:rsid w:val="009B5EAD"/>
    <w:rsid w:val="009B63FF"/>
    <w:rsid w:val="009B67F2"/>
    <w:rsid w:val="009B6BFD"/>
    <w:rsid w:val="009B6D68"/>
    <w:rsid w:val="009B6F24"/>
    <w:rsid w:val="009B7194"/>
    <w:rsid w:val="009B72CB"/>
    <w:rsid w:val="009B733F"/>
    <w:rsid w:val="009B773C"/>
    <w:rsid w:val="009B7839"/>
    <w:rsid w:val="009B7868"/>
    <w:rsid w:val="009B7F1B"/>
    <w:rsid w:val="009C0028"/>
    <w:rsid w:val="009C08BE"/>
    <w:rsid w:val="009C0AA0"/>
    <w:rsid w:val="009C12ED"/>
    <w:rsid w:val="009C1495"/>
    <w:rsid w:val="009C1900"/>
    <w:rsid w:val="009C1B75"/>
    <w:rsid w:val="009C1BFA"/>
    <w:rsid w:val="009C1C1A"/>
    <w:rsid w:val="009C1D34"/>
    <w:rsid w:val="009C2097"/>
    <w:rsid w:val="009C218A"/>
    <w:rsid w:val="009C24E6"/>
    <w:rsid w:val="009C2FC3"/>
    <w:rsid w:val="009C3259"/>
    <w:rsid w:val="009C3EA0"/>
    <w:rsid w:val="009C3EC4"/>
    <w:rsid w:val="009C4310"/>
    <w:rsid w:val="009C4480"/>
    <w:rsid w:val="009C45C0"/>
    <w:rsid w:val="009C46EE"/>
    <w:rsid w:val="009C47B0"/>
    <w:rsid w:val="009C4836"/>
    <w:rsid w:val="009C497D"/>
    <w:rsid w:val="009C4CF3"/>
    <w:rsid w:val="009C4D45"/>
    <w:rsid w:val="009C520F"/>
    <w:rsid w:val="009C5D2A"/>
    <w:rsid w:val="009C5F26"/>
    <w:rsid w:val="009C60C8"/>
    <w:rsid w:val="009C6D3D"/>
    <w:rsid w:val="009C7050"/>
    <w:rsid w:val="009C7076"/>
    <w:rsid w:val="009C72D3"/>
    <w:rsid w:val="009D0058"/>
    <w:rsid w:val="009D00D1"/>
    <w:rsid w:val="009D0875"/>
    <w:rsid w:val="009D0AB0"/>
    <w:rsid w:val="009D0B24"/>
    <w:rsid w:val="009D0DA8"/>
    <w:rsid w:val="009D0EF5"/>
    <w:rsid w:val="009D1463"/>
    <w:rsid w:val="009D14B7"/>
    <w:rsid w:val="009D1F77"/>
    <w:rsid w:val="009D263C"/>
    <w:rsid w:val="009D2753"/>
    <w:rsid w:val="009D2783"/>
    <w:rsid w:val="009D2872"/>
    <w:rsid w:val="009D2BE9"/>
    <w:rsid w:val="009D2C0A"/>
    <w:rsid w:val="009D2C35"/>
    <w:rsid w:val="009D2D2E"/>
    <w:rsid w:val="009D400F"/>
    <w:rsid w:val="009D4092"/>
    <w:rsid w:val="009D4204"/>
    <w:rsid w:val="009D4487"/>
    <w:rsid w:val="009D4595"/>
    <w:rsid w:val="009D46AA"/>
    <w:rsid w:val="009D490E"/>
    <w:rsid w:val="009D4C7A"/>
    <w:rsid w:val="009D4D88"/>
    <w:rsid w:val="009D50C6"/>
    <w:rsid w:val="009D5247"/>
    <w:rsid w:val="009D5678"/>
    <w:rsid w:val="009D573D"/>
    <w:rsid w:val="009D587C"/>
    <w:rsid w:val="009D594A"/>
    <w:rsid w:val="009D5C88"/>
    <w:rsid w:val="009D60F8"/>
    <w:rsid w:val="009D61DE"/>
    <w:rsid w:val="009D62C0"/>
    <w:rsid w:val="009D64AE"/>
    <w:rsid w:val="009D6A9A"/>
    <w:rsid w:val="009D7203"/>
    <w:rsid w:val="009D72B4"/>
    <w:rsid w:val="009D74C7"/>
    <w:rsid w:val="009E015A"/>
    <w:rsid w:val="009E0655"/>
    <w:rsid w:val="009E0DDC"/>
    <w:rsid w:val="009E1D8D"/>
    <w:rsid w:val="009E20B5"/>
    <w:rsid w:val="009E2C78"/>
    <w:rsid w:val="009E2D24"/>
    <w:rsid w:val="009E3156"/>
    <w:rsid w:val="009E31C5"/>
    <w:rsid w:val="009E356F"/>
    <w:rsid w:val="009E3878"/>
    <w:rsid w:val="009E39AF"/>
    <w:rsid w:val="009E3E27"/>
    <w:rsid w:val="009E3F29"/>
    <w:rsid w:val="009E433C"/>
    <w:rsid w:val="009E4C0F"/>
    <w:rsid w:val="009E535D"/>
    <w:rsid w:val="009E59AA"/>
    <w:rsid w:val="009E5E16"/>
    <w:rsid w:val="009E64AD"/>
    <w:rsid w:val="009E6BBC"/>
    <w:rsid w:val="009E6DF4"/>
    <w:rsid w:val="009E6FC2"/>
    <w:rsid w:val="009E706B"/>
    <w:rsid w:val="009E760B"/>
    <w:rsid w:val="009E77EC"/>
    <w:rsid w:val="009E7EB9"/>
    <w:rsid w:val="009F028C"/>
    <w:rsid w:val="009F04B6"/>
    <w:rsid w:val="009F04C0"/>
    <w:rsid w:val="009F0A25"/>
    <w:rsid w:val="009F0B00"/>
    <w:rsid w:val="009F1047"/>
    <w:rsid w:val="009F1241"/>
    <w:rsid w:val="009F264D"/>
    <w:rsid w:val="009F2792"/>
    <w:rsid w:val="009F2C44"/>
    <w:rsid w:val="009F3152"/>
    <w:rsid w:val="009F346F"/>
    <w:rsid w:val="009F3C47"/>
    <w:rsid w:val="009F3C84"/>
    <w:rsid w:val="009F3F57"/>
    <w:rsid w:val="009F402A"/>
    <w:rsid w:val="009F4121"/>
    <w:rsid w:val="009F4194"/>
    <w:rsid w:val="009F44CC"/>
    <w:rsid w:val="009F4A0C"/>
    <w:rsid w:val="009F5579"/>
    <w:rsid w:val="009F5BDC"/>
    <w:rsid w:val="009F5F37"/>
    <w:rsid w:val="009F6ED5"/>
    <w:rsid w:val="009F7645"/>
    <w:rsid w:val="009F7662"/>
    <w:rsid w:val="009F7A37"/>
    <w:rsid w:val="00A00023"/>
    <w:rsid w:val="00A00029"/>
    <w:rsid w:val="00A004F9"/>
    <w:rsid w:val="00A009B6"/>
    <w:rsid w:val="00A00B8B"/>
    <w:rsid w:val="00A00D66"/>
    <w:rsid w:val="00A01170"/>
    <w:rsid w:val="00A012AA"/>
    <w:rsid w:val="00A01559"/>
    <w:rsid w:val="00A01ED8"/>
    <w:rsid w:val="00A02036"/>
    <w:rsid w:val="00A02F03"/>
    <w:rsid w:val="00A031CA"/>
    <w:rsid w:val="00A036E1"/>
    <w:rsid w:val="00A038BB"/>
    <w:rsid w:val="00A03DB5"/>
    <w:rsid w:val="00A03FB4"/>
    <w:rsid w:val="00A0445F"/>
    <w:rsid w:val="00A04517"/>
    <w:rsid w:val="00A049A1"/>
    <w:rsid w:val="00A04A43"/>
    <w:rsid w:val="00A0504E"/>
    <w:rsid w:val="00A0529B"/>
    <w:rsid w:val="00A055A8"/>
    <w:rsid w:val="00A066BB"/>
    <w:rsid w:val="00A068AA"/>
    <w:rsid w:val="00A069CC"/>
    <w:rsid w:val="00A069E1"/>
    <w:rsid w:val="00A06AA9"/>
    <w:rsid w:val="00A06DB4"/>
    <w:rsid w:val="00A06DD6"/>
    <w:rsid w:val="00A07444"/>
    <w:rsid w:val="00A075FC"/>
    <w:rsid w:val="00A07DE4"/>
    <w:rsid w:val="00A10BCD"/>
    <w:rsid w:val="00A10D4F"/>
    <w:rsid w:val="00A1115D"/>
    <w:rsid w:val="00A1134E"/>
    <w:rsid w:val="00A1190C"/>
    <w:rsid w:val="00A11D7D"/>
    <w:rsid w:val="00A11E36"/>
    <w:rsid w:val="00A120FA"/>
    <w:rsid w:val="00A127E4"/>
    <w:rsid w:val="00A13018"/>
    <w:rsid w:val="00A13033"/>
    <w:rsid w:val="00A138C7"/>
    <w:rsid w:val="00A13BC6"/>
    <w:rsid w:val="00A13CE6"/>
    <w:rsid w:val="00A14621"/>
    <w:rsid w:val="00A146C4"/>
    <w:rsid w:val="00A14B53"/>
    <w:rsid w:val="00A14B59"/>
    <w:rsid w:val="00A14B5B"/>
    <w:rsid w:val="00A14E54"/>
    <w:rsid w:val="00A15448"/>
    <w:rsid w:val="00A162FE"/>
    <w:rsid w:val="00A16426"/>
    <w:rsid w:val="00A16623"/>
    <w:rsid w:val="00A16795"/>
    <w:rsid w:val="00A175B5"/>
    <w:rsid w:val="00A17671"/>
    <w:rsid w:val="00A17D19"/>
    <w:rsid w:val="00A204F1"/>
    <w:rsid w:val="00A20CD8"/>
    <w:rsid w:val="00A21045"/>
    <w:rsid w:val="00A2113F"/>
    <w:rsid w:val="00A21A24"/>
    <w:rsid w:val="00A21ED7"/>
    <w:rsid w:val="00A22793"/>
    <w:rsid w:val="00A229F1"/>
    <w:rsid w:val="00A22BBD"/>
    <w:rsid w:val="00A22D05"/>
    <w:rsid w:val="00A23DD4"/>
    <w:rsid w:val="00A242F7"/>
    <w:rsid w:val="00A2436E"/>
    <w:rsid w:val="00A24573"/>
    <w:rsid w:val="00A245DC"/>
    <w:rsid w:val="00A2480A"/>
    <w:rsid w:val="00A2491B"/>
    <w:rsid w:val="00A2499C"/>
    <w:rsid w:val="00A2507B"/>
    <w:rsid w:val="00A25FD1"/>
    <w:rsid w:val="00A261F1"/>
    <w:rsid w:val="00A263C8"/>
    <w:rsid w:val="00A2658D"/>
    <w:rsid w:val="00A267C2"/>
    <w:rsid w:val="00A26A26"/>
    <w:rsid w:val="00A2725E"/>
    <w:rsid w:val="00A272A4"/>
    <w:rsid w:val="00A2746C"/>
    <w:rsid w:val="00A274C6"/>
    <w:rsid w:val="00A27C01"/>
    <w:rsid w:val="00A30679"/>
    <w:rsid w:val="00A30B27"/>
    <w:rsid w:val="00A30D6C"/>
    <w:rsid w:val="00A30EDC"/>
    <w:rsid w:val="00A317DB"/>
    <w:rsid w:val="00A31A1F"/>
    <w:rsid w:val="00A32068"/>
    <w:rsid w:val="00A32610"/>
    <w:rsid w:val="00A3274E"/>
    <w:rsid w:val="00A32B20"/>
    <w:rsid w:val="00A33004"/>
    <w:rsid w:val="00A3309A"/>
    <w:rsid w:val="00A33969"/>
    <w:rsid w:val="00A33BAF"/>
    <w:rsid w:val="00A33DAF"/>
    <w:rsid w:val="00A34375"/>
    <w:rsid w:val="00A344BF"/>
    <w:rsid w:val="00A3496E"/>
    <w:rsid w:val="00A35286"/>
    <w:rsid w:val="00A35740"/>
    <w:rsid w:val="00A3581B"/>
    <w:rsid w:val="00A35C30"/>
    <w:rsid w:val="00A36274"/>
    <w:rsid w:val="00A3690C"/>
    <w:rsid w:val="00A3708B"/>
    <w:rsid w:val="00A377A2"/>
    <w:rsid w:val="00A37D08"/>
    <w:rsid w:val="00A37F7C"/>
    <w:rsid w:val="00A40708"/>
    <w:rsid w:val="00A40AFF"/>
    <w:rsid w:val="00A40BC3"/>
    <w:rsid w:val="00A41131"/>
    <w:rsid w:val="00A41621"/>
    <w:rsid w:val="00A419BF"/>
    <w:rsid w:val="00A41A2D"/>
    <w:rsid w:val="00A41A44"/>
    <w:rsid w:val="00A41AB4"/>
    <w:rsid w:val="00A41C76"/>
    <w:rsid w:val="00A41DDF"/>
    <w:rsid w:val="00A42330"/>
    <w:rsid w:val="00A42590"/>
    <w:rsid w:val="00A4292A"/>
    <w:rsid w:val="00A42B5E"/>
    <w:rsid w:val="00A42D8A"/>
    <w:rsid w:val="00A42F71"/>
    <w:rsid w:val="00A43254"/>
    <w:rsid w:val="00A43509"/>
    <w:rsid w:val="00A444A6"/>
    <w:rsid w:val="00A4471C"/>
    <w:rsid w:val="00A44806"/>
    <w:rsid w:val="00A449F1"/>
    <w:rsid w:val="00A44D18"/>
    <w:rsid w:val="00A44DC8"/>
    <w:rsid w:val="00A4527D"/>
    <w:rsid w:val="00A45317"/>
    <w:rsid w:val="00A45BD7"/>
    <w:rsid w:val="00A45C1C"/>
    <w:rsid w:val="00A4600C"/>
    <w:rsid w:val="00A46702"/>
    <w:rsid w:val="00A46817"/>
    <w:rsid w:val="00A46AD0"/>
    <w:rsid w:val="00A46ADD"/>
    <w:rsid w:val="00A46D13"/>
    <w:rsid w:val="00A472C9"/>
    <w:rsid w:val="00A503EB"/>
    <w:rsid w:val="00A50534"/>
    <w:rsid w:val="00A50A3E"/>
    <w:rsid w:val="00A50CA2"/>
    <w:rsid w:val="00A50F0A"/>
    <w:rsid w:val="00A51152"/>
    <w:rsid w:val="00A513F9"/>
    <w:rsid w:val="00A51476"/>
    <w:rsid w:val="00A5199F"/>
    <w:rsid w:val="00A51A2F"/>
    <w:rsid w:val="00A525A6"/>
    <w:rsid w:val="00A5266F"/>
    <w:rsid w:val="00A527DC"/>
    <w:rsid w:val="00A528A6"/>
    <w:rsid w:val="00A52E20"/>
    <w:rsid w:val="00A52FCB"/>
    <w:rsid w:val="00A53A91"/>
    <w:rsid w:val="00A54189"/>
    <w:rsid w:val="00A54798"/>
    <w:rsid w:val="00A54D5D"/>
    <w:rsid w:val="00A54DCE"/>
    <w:rsid w:val="00A5526B"/>
    <w:rsid w:val="00A5536B"/>
    <w:rsid w:val="00A5558B"/>
    <w:rsid w:val="00A556C2"/>
    <w:rsid w:val="00A5580E"/>
    <w:rsid w:val="00A55890"/>
    <w:rsid w:val="00A55996"/>
    <w:rsid w:val="00A56052"/>
    <w:rsid w:val="00A56250"/>
    <w:rsid w:val="00A5654A"/>
    <w:rsid w:val="00A56937"/>
    <w:rsid w:val="00A5739F"/>
    <w:rsid w:val="00A57893"/>
    <w:rsid w:val="00A60B0A"/>
    <w:rsid w:val="00A6149F"/>
    <w:rsid w:val="00A61B5E"/>
    <w:rsid w:val="00A63006"/>
    <w:rsid w:val="00A63177"/>
    <w:rsid w:val="00A632EB"/>
    <w:rsid w:val="00A637A2"/>
    <w:rsid w:val="00A639E8"/>
    <w:rsid w:val="00A639F0"/>
    <w:rsid w:val="00A641F2"/>
    <w:rsid w:val="00A647AD"/>
    <w:rsid w:val="00A64D14"/>
    <w:rsid w:val="00A64F33"/>
    <w:rsid w:val="00A65186"/>
    <w:rsid w:val="00A655E1"/>
    <w:rsid w:val="00A656C7"/>
    <w:rsid w:val="00A656D1"/>
    <w:rsid w:val="00A6581D"/>
    <w:rsid w:val="00A65A36"/>
    <w:rsid w:val="00A65BC2"/>
    <w:rsid w:val="00A6600A"/>
    <w:rsid w:val="00A662AD"/>
    <w:rsid w:val="00A6641C"/>
    <w:rsid w:val="00A666B1"/>
    <w:rsid w:val="00A66926"/>
    <w:rsid w:val="00A66BA2"/>
    <w:rsid w:val="00A66DFC"/>
    <w:rsid w:val="00A67293"/>
    <w:rsid w:val="00A673AC"/>
    <w:rsid w:val="00A6761D"/>
    <w:rsid w:val="00A67B58"/>
    <w:rsid w:val="00A71B31"/>
    <w:rsid w:val="00A71C23"/>
    <w:rsid w:val="00A727C8"/>
    <w:rsid w:val="00A73B17"/>
    <w:rsid w:val="00A73EDC"/>
    <w:rsid w:val="00A74227"/>
    <w:rsid w:val="00A747D5"/>
    <w:rsid w:val="00A74AE1"/>
    <w:rsid w:val="00A74CAA"/>
    <w:rsid w:val="00A752A7"/>
    <w:rsid w:val="00A75370"/>
    <w:rsid w:val="00A764E5"/>
    <w:rsid w:val="00A76A17"/>
    <w:rsid w:val="00A76D56"/>
    <w:rsid w:val="00A77529"/>
    <w:rsid w:val="00A81025"/>
    <w:rsid w:val="00A8149B"/>
    <w:rsid w:val="00A816D0"/>
    <w:rsid w:val="00A819EA"/>
    <w:rsid w:val="00A81C32"/>
    <w:rsid w:val="00A81D68"/>
    <w:rsid w:val="00A82659"/>
    <w:rsid w:val="00A826BC"/>
    <w:rsid w:val="00A82A6A"/>
    <w:rsid w:val="00A82AC5"/>
    <w:rsid w:val="00A82E09"/>
    <w:rsid w:val="00A82F7A"/>
    <w:rsid w:val="00A8339A"/>
    <w:rsid w:val="00A83410"/>
    <w:rsid w:val="00A836A5"/>
    <w:rsid w:val="00A836D7"/>
    <w:rsid w:val="00A83B03"/>
    <w:rsid w:val="00A83B3B"/>
    <w:rsid w:val="00A83C94"/>
    <w:rsid w:val="00A83E97"/>
    <w:rsid w:val="00A84186"/>
    <w:rsid w:val="00A84783"/>
    <w:rsid w:val="00A84A8B"/>
    <w:rsid w:val="00A852DA"/>
    <w:rsid w:val="00A856B5"/>
    <w:rsid w:val="00A857D3"/>
    <w:rsid w:val="00A85BA2"/>
    <w:rsid w:val="00A85D35"/>
    <w:rsid w:val="00A862E8"/>
    <w:rsid w:val="00A867B4"/>
    <w:rsid w:val="00A867D3"/>
    <w:rsid w:val="00A86A42"/>
    <w:rsid w:val="00A87076"/>
    <w:rsid w:val="00A87251"/>
    <w:rsid w:val="00A87A8C"/>
    <w:rsid w:val="00A87AC0"/>
    <w:rsid w:val="00A87D76"/>
    <w:rsid w:val="00A87DEE"/>
    <w:rsid w:val="00A90732"/>
    <w:rsid w:val="00A90844"/>
    <w:rsid w:val="00A90884"/>
    <w:rsid w:val="00A908F8"/>
    <w:rsid w:val="00A908F9"/>
    <w:rsid w:val="00A9118C"/>
    <w:rsid w:val="00A913A2"/>
    <w:rsid w:val="00A913AB"/>
    <w:rsid w:val="00A914D2"/>
    <w:rsid w:val="00A9164D"/>
    <w:rsid w:val="00A91AAF"/>
    <w:rsid w:val="00A92244"/>
    <w:rsid w:val="00A922CA"/>
    <w:rsid w:val="00A922D3"/>
    <w:rsid w:val="00A92702"/>
    <w:rsid w:val="00A92DF0"/>
    <w:rsid w:val="00A93483"/>
    <w:rsid w:val="00A93735"/>
    <w:rsid w:val="00A93A45"/>
    <w:rsid w:val="00A93A6C"/>
    <w:rsid w:val="00A94018"/>
    <w:rsid w:val="00A94210"/>
    <w:rsid w:val="00A94AEF"/>
    <w:rsid w:val="00A94EB1"/>
    <w:rsid w:val="00A9535E"/>
    <w:rsid w:val="00A95C6F"/>
    <w:rsid w:val="00A95E22"/>
    <w:rsid w:val="00A963B7"/>
    <w:rsid w:val="00A963D3"/>
    <w:rsid w:val="00A966C0"/>
    <w:rsid w:val="00A96785"/>
    <w:rsid w:val="00A967A9"/>
    <w:rsid w:val="00A96A2C"/>
    <w:rsid w:val="00A976F3"/>
    <w:rsid w:val="00A97763"/>
    <w:rsid w:val="00A97E8D"/>
    <w:rsid w:val="00AA0599"/>
    <w:rsid w:val="00AA077D"/>
    <w:rsid w:val="00AA07E2"/>
    <w:rsid w:val="00AA090E"/>
    <w:rsid w:val="00AA0B44"/>
    <w:rsid w:val="00AA1061"/>
    <w:rsid w:val="00AA1753"/>
    <w:rsid w:val="00AA1993"/>
    <w:rsid w:val="00AA2052"/>
    <w:rsid w:val="00AA23AA"/>
    <w:rsid w:val="00AA2588"/>
    <w:rsid w:val="00AA26A7"/>
    <w:rsid w:val="00AA2ADD"/>
    <w:rsid w:val="00AA2B00"/>
    <w:rsid w:val="00AA2B34"/>
    <w:rsid w:val="00AA2BAF"/>
    <w:rsid w:val="00AA2E57"/>
    <w:rsid w:val="00AA356D"/>
    <w:rsid w:val="00AA38ED"/>
    <w:rsid w:val="00AA419A"/>
    <w:rsid w:val="00AA433A"/>
    <w:rsid w:val="00AA4507"/>
    <w:rsid w:val="00AA4872"/>
    <w:rsid w:val="00AA6019"/>
    <w:rsid w:val="00AA625A"/>
    <w:rsid w:val="00AA68C2"/>
    <w:rsid w:val="00AA6D4A"/>
    <w:rsid w:val="00AA6E3F"/>
    <w:rsid w:val="00AA77C8"/>
    <w:rsid w:val="00AA785B"/>
    <w:rsid w:val="00AB033E"/>
    <w:rsid w:val="00AB1172"/>
    <w:rsid w:val="00AB1891"/>
    <w:rsid w:val="00AB23B9"/>
    <w:rsid w:val="00AB2466"/>
    <w:rsid w:val="00AB2A1C"/>
    <w:rsid w:val="00AB3122"/>
    <w:rsid w:val="00AB361E"/>
    <w:rsid w:val="00AB372F"/>
    <w:rsid w:val="00AB3B01"/>
    <w:rsid w:val="00AB3EFB"/>
    <w:rsid w:val="00AB4436"/>
    <w:rsid w:val="00AB47BC"/>
    <w:rsid w:val="00AB4CC1"/>
    <w:rsid w:val="00AB56B7"/>
    <w:rsid w:val="00AB5979"/>
    <w:rsid w:val="00AB5A61"/>
    <w:rsid w:val="00AB5E25"/>
    <w:rsid w:val="00AB5FC2"/>
    <w:rsid w:val="00AB630D"/>
    <w:rsid w:val="00AB6C54"/>
    <w:rsid w:val="00AB6F54"/>
    <w:rsid w:val="00AB7355"/>
    <w:rsid w:val="00AB745D"/>
    <w:rsid w:val="00AB7ADF"/>
    <w:rsid w:val="00AB7F8E"/>
    <w:rsid w:val="00AC00E7"/>
    <w:rsid w:val="00AC03F8"/>
    <w:rsid w:val="00AC0979"/>
    <w:rsid w:val="00AC1088"/>
    <w:rsid w:val="00AC141F"/>
    <w:rsid w:val="00AC1662"/>
    <w:rsid w:val="00AC17A6"/>
    <w:rsid w:val="00AC1BE7"/>
    <w:rsid w:val="00AC27DD"/>
    <w:rsid w:val="00AC3502"/>
    <w:rsid w:val="00AC3643"/>
    <w:rsid w:val="00AC3945"/>
    <w:rsid w:val="00AC39ED"/>
    <w:rsid w:val="00AC3BAD"/>
    <w:rsid w:val="00AC3DC2"/>
    <w:rsid w:val="00AC3DD1"/>
    <w:rsid w:val="00AC43F6"/>
    <w:rsid w:val="00AC4592"/>
    <w:rsid w:val="00AC4C17"/>
    <w:rsid w:val="00AC52D5"/>
    <w:rsid w:val="00AC655E"/>
    <w:rsid w:val="00AC6B2F"/>
    <w:rsid w:val="00AC709D"/>
    <w:rsid w:val="00AC711F"/>
    <w:rsid w:val="00AC72B1"/>
    <w:rsid w:val="00AD03E5"/>
    <w:rsid w:val="00AD12D7"/>
    <w:rsid w:val="00AD172E"/>
    <w:rsid w:val="00AD174B"/>
    <w:rsid w:val="00AD1B1A"/>
    <w:rsid w:val="00AD22F7"/>
    <w:rsid w:val="00AD2499"/>
    <w:rsid w:val="00AD262A"/>
    <w:rsid w:val="00AD27CB"/>
    <w:rsid w:val="00AD2E53"/>
    <w:rsid w:val="00AD3826"/>
    <w:rsid w:val="00AD3A99"/>
    <w:rsid w:val="00AD432B"/>
    <w:rsid w:val="00AD4564"/>
    <w:rsid w:val="00AD50B5"/>
    <w:rsid w:val="00AD54BA"/>
    <w:rsid w:val="00AD5C12"/>
    <w:rsid w:val="00AD5F3C"/>
    <w:rsid w:val="00AD643E"/>
    <w:rsid w:val="00AD653F"/>
    <w:rsid w:val="00AD6AD0"/>
    <w:rsid w:val="00AD6B28"/>
    <w:rsid w:val="00AD6B82"/>
    <w:rsid w:val="00AD6B9C"/>
    <w:rsid w:val="00AD6C5F"/>
    <w:rsid w:val="00AD6F3E"/>
    <w:rsid w:val="00AD7078"/>
    <w:rsid w:val="00AD76C0"/>
    <w:rsid w:val="00AD7A03"/>
    <w:rsid w:val="00AE030E"/>
    <w:rsid w:val="00AE066D"/>
    <w:rsid w:val="00AE088E"/>
    <w:rsid w:val="00AE0E3F"/>
    <w:rsid w:val="00AE0E75"/>
    <w:rsid w:val="00AE0F80"/>
    <w:rsid w:val="00AE0F94"/>
    <w:rsid w:val="00AE1193"/>
    <w:rsid w:val="00AE1295"/>
    <w:rsid w:val="00AE17D5"/>
    <w:rsid w:val="00AE1F37"/>
    <w:rsid w:val="00AE2194"/>
    <w:rsid w:val="00AE232F"/>
    <w:rsid w:val="00AE267F"/>
    <w:rsid w:val="00AE2A75"/>
    <w:rsid w:val="00AE2CFA"/>
    <w:rsid w:val="00AE328D"/>
    <w:rsid w:val="00AE32B2"/>
    <w:rsid w:val="00AE371A"/>
    <w:rsid w:val="00AE3DCB"/>
    <w:rsid w:val="00AE460D"/>
    <w:rsid w:val="00AE497C"/>
    <w:rsid w:val="00AE541A"/>
    <w:rsid w:val="00AE5CC7"/>
    <w:rsid w:val="00AE5E7A"/>
    <w:rsid w:val="00AE6718"/>
    <w:rsid w:val="00AE6930"/>
    <w:rsid w:val="00AE6A84"/>
    <w:rsid w:val="00AE6DE4"/>
    <w:rsid w:val="00AE7CFE"/>
    <w:rsid w:val="00AF017D"/>
    <w:rsid w:val="00AF03DF"/>
    <w:rsid w:val="00AF0AB5"/>
    <w:rsid w:val="00AF0CBF"/>
    <w:rsid w:val="00AF11C9"/>
    <w:rsid w:val="00AF1ACE"/>
    <w:rsid w:val="00AF1CC4"/>
    <w:rsid w:val="00AF1F75"/>
    <w:rsid w:val="00AF2421"/>
    <w:rsid w:val="00AF2436"/>
    <w:rsid w:val="00AF2446"/>
    <w:rsid w:val="00AF2807"/>
    <w:rsid w:val="00AF2A37"/>
    <w:rsid w:val="00AF2ED1"/>
    <w:rsid w:val="00AF3659"/>
    <w:rsid w:val="00AF3C6A"/>
    <w:rsid w:val="00AF3DE8"/>
    <w:rsid w:val="00AF457A"/>
    <w:rsid w:val="00AF4847"/>
    <w:rsid w:val="00AF53E8"/>
    <w:rsid w:val="00AF5815"/>
    <w:rsid w:val="00AF5BBA"/>
    <w:rsid w:val="00AF5C5A"/>
    <w:rsid w:val="00AF6538"/>
    <w:rsid w:val="00AF6C04"/>
    <w:rsid w:val="00AF6C8F"/>
    <w:rsid w:val="00AF6E26"/>
    <w:rsid w:val="00AF6FF3"/>
    <w:rsid w:val="00AF7161"/>
    <w:rsid w:val="00AF7413"/>
    <w:rsid w:val="00AF74D3"/>
    <w:rsid w:val="00AF7855"/>
    <w:rsid w:val="00AF7BBF"/>
    <w:rsid w:val="00AF7D1F"/>
    <w:rsid w:val="00B0034E"/>
    <w:rsid w:val="00B00731"/>
    <w:rsid w:val="00B00C58"/>
    <w:rsid w:val="00B00CFF"/>
    <w:rsid w:val="00B00D53"/>
    <w:rsid w:val="00B011F6"/>
    <w:rsid w:val="00B01999"/>
    <w:rsid w:val="00B01F87"/>
    <w:rsid w:val="00B02883"/>
    <w:rsid w:val="00B028FD"/>
    <w:rsid w:val="00B02F74"/>
    <w:rsid w:val="00B030DE"/>
    <w:rsid w:val="00B03380"/>
    <w:rsid w:val="00B03419"/>
    <w:rsid w:val="00B0356C"/>
    <w:rsid w:val="00B0373B"/>
    <w:rsid w:val="00B03A6A"/>
    <w:rsid w:val="00B04425"/>
    <w:rsid w:val="00B04CD3"/>
    <w:rsid w:val="00B05181"/>
    <w:rsid w:val="00B051FD"/>
    <w:rsid w:val="00B053CE"/>
    <w:rsid w:val="00B058EA"/>
    <w:rsid w:val="00B05BC3"/>
    <w:rsid w:val="00B0631A"/>
    <w:rsid w:val="00B06BF8"/>
    <w:rsid w:val="00B06CE7"/>
    <w:rsid w:val="00B075C4"/>
    <w:rsid w:val="00B07A6F"/>
    <w:rsid w:val="00B10B41"/>
    <w:rsid w:val="00B10C7C"/>
    <w:rsid w:val="00B10FF6"/>
    <w:rsid w:val="00B1109A"/>
    <w:rsid w:val="00B111A8"/>
    <w:rsid w:val="00B114A1"/>
    <w:rsid w:val="00B11621"/>
    <w:rsid w:val="00B11A4F"/>
    <w:rsid w:val="00B12CF6"/>
    <w:rsid w:val="00B12D62"/>
    <w:rsid w:val="00B12D7D"/>
    <w:rsid w:val="00B138C5"/>
    <w:rsid w:val="00B138F8"/>
    <w:rsid w:val="00B13F83"/>
    <w:rsid w:val="00B13FAA"/>
    <w:rsid w:val="00B142F9"/>
    <w:rsid w:val="00B14935"/>
    <w:rsid w:val="00B1531E"/>
    <w:rsid w:val="00B16699"/>
    <w:rsid w:val="00B166D8"/>
    <w:rsid w:val="00B169BA"/>
    <w:rsid w:val="00B16AD2"/>
    <w:rsid w:val="00B16D6E"/>
    <w:rsid w:val="00B172BB"/>
    <w:rsid w:val="00B17571"/>
    <w:rsid w:val="00B175D8"/>
    <w:rsid w:val="00B177D1"/>
    <w:rsid w:val="00B17E7A"/>
    <w:rsid w:val="00B2026F"/>
    <w:rsid w:val="00B206AB"/>
    <w:rsid w:val="00B20840"/>
    <w:rsid w:val="00B215A4"/>
    <w:rsid w:val="00B219E5"/>
    <w:rsid w:val="00B21A6B"/>
    <w:rsid w:val="00B21D6A"/>
    <w:rsid w:val="00B22754"/>
    <w:rsid w:val="00B22816"/>
    <w:rsid w:val="00B229A6"/>
    <w:rsid w:val="00B22B64"/>
    <w:rsid w:val="00B22BAC"/>
    <w:rsid w:val="00B22BD3"/>
    <w:rsid w:val="00B22FB9"/>
    <w:rsid w:val="00B2368C"/>
    <w:rsid w:val="00B23DB6"/>
    <w:rsid w:val="00B240CB"/>
    <w:rsid w:val="00B246D1"/>
    <w:rsid w:val="00B24C6E"/>
    <w:rsid w:val="00B24C87"/>
    <w:rsid w:val="00B25205"/>
    <w:rsid w:val="00B25604"/>
    <w:rsid w:val="00B25652"/>
    <w:rsid w:val="00B26764"/>
    <w:rsid w:val="00B2694F"/>
    <w:rsid w:val="00B26CC4"/>
    <w:rsid w:val="00B27712"/>
    <w:rsid w:val="00B3034A"/>
    <w:rsid w:val="00B30580"/>
    <w:rsid w:val="00B30581"/>
    <w:rsid w:val="00B3076E"/>
    <w:rsid w:val="00B30C66"/>
    <w:rsid w:val="00B30FEB"/>
    <w:rsid w:val="00B31101"/>
    <w:rsid w:val="00B31142"/>
    <w:rsid w:val="00B3251E"/>
    <w:rsid w:val="00B32789"/>
    <w:rsid w:val="00B330BE"/>
    <w:rsid w:val="00B33238"/>
    <w:rsid w:val="00B348F0"/>
    <w:rsid w:val="00B35127"/>
    <w:rsid w:val="00B35E53"/>
    <w:rsid w:val="00B35E57"/>
    <w:rsid w:val="00B35F5D"/>
    <w:rsid w:val="00B35F62"/>
    <w:rsid w:val="00B368CE"/>
    <w:rsid w:val="00B36947"/>
    <w:rsid w:val="00B36A46"/>
    <w:rsid w:val="00B3738B"/>
    <w:rsid w:val="00B375B8"/>
    <w:rsid w:val="00B37C20"/>
    <w:rsid w:val="00B37FA5"/>
    <w:rsid w:val="00B37FAD"/>
    <w:rsid w:val="00B40225"/>
    <w:rsid w:val="00B405D2"/>
    <w:rsid w:val="00B4067E"/>
    <w:rsid w:val="00B4141B"/>
    <w:rsid w:val="00B41BB3"/>
    <w:rsid w:val="00B41E45"/>
    <w:rsid w:val="00B41E67"/>
    <w:rsid w:val="00B42041"/>
    <w:rsid w:val="00B42DEE"/>
    <w:rsid w:val="00B43084"/>
    <w:rsid w:val="00B445BD"/>
    <w:rsid w:val="00B447CC"/>
    <w:rsid w:val="00B44ABE"/>
    <w:rsid w:val="00B44E2C"/>
    <w:rsid w:val="00B44F76"/>
    <w:rsid w:val="00B45765"/>
    <w:rsid w:val="00B457C9"/>
    <w:rsid w:val="00B45B70"/>
    <w:rsid w:val="00B45C05"/>
    <w:rsid w:val="00B45C5B"/>
    <w:rsid w:val="00B462C1"/>
    <w:rsid w:val="00B46612"/>
    <w:rsid w:val="00B4692E"/>
    <w:rsid w:val="00B46AEC"/>
    <w:rsid w:val="00B46BF0"/>
    <w:rsid w:val="00B47495"/>
    <w:rsid w:val="00B479F3"/>
    <w:rsid w:val="00B501B6"/>
    <w:rsid w:val="00B50D92"/>
    <w:rsid w:val="00B50EC7"/>
    <w:rsid w:val="00B50F0D"/>
    <w:rsid w:val="00B50F50"/>
    <w:rsid w:val="00B51BBA"/>
    <w:rsid w:val="00B52188"/>
    <w:rsid w:val="00B5229C"/>
    <w:rsid w:val="00B52402"/>
    <w:rsid w:val="00B5255A"/>
    <w:rsid w:val="00B52802"/>
    <w:rsid w:val="00B52FFC"/>
    <w:rsid w:val="00B53048"/>
    <w:rsid w:val="00B534E5"/>
    <w:rsid w:val="00B5372F"/>
    <w:rsid w:val="00B53B08"/>
    <w:rsid w:val="00B53F63"/>
    <w:rsid w:val="00B53F71"/>
    <w:rsid w:val="00B541B4"/>
    <w:rsid w:val="00B54356"/>
    <w:rsid w:val="00B546A3"/>
    <w:rsid w:val="00B54E6D"/>
    <w:rsid w:val="00B54EE1"/>
    <w:rsid w:val="00B551F8"/>
    <w:rsid w:val="00B556EC"/>
    <w:rsid w:val="00B55E68"/>
    <w:rsid w:val="00B56A7D"/>
    <w:rsid w:val="00B56BEC"/>
    <w:rsid w:val="00B56E55"/>
    <w:rsid w:val="00B57243"/>
    <w:rsid w:val="00B5740E"/>
    <w:rsid w:val="00B57889"/>
    <w:rsid w:val="00B57FF3"/>
    <w:rsid w:val="00B6007E"/>
    <w:rsid w:val="00B60358"/>
    <w:rsid w:val="00B6056F"/>
    <w:rsid w:val="00B60669"/>
    <w:rsid w:val="00B60F35"/>
    <w:rsid w:val="00B61260"/>
    <w:rsid w:val="00B614CE"/>
    <w:rsid w:val="00B615C7"/>
    <w:rsid w:val="00B61A4D"/>
    <w:rsid w:val="00B61D7D"/>
    <w:rsid w:val="00B61F40"/>
    <w:rsid w:val="00B61F90"/>
    <w:rsid w:val="00B62797"/>
    <w:rsid w:val="00B62AB0"/>
    <w:rsid w:val="00B62E01"/>
    <w:rsid w:val="00B62E79"/>
    <w:rsid w:val="00B63629"/>
    <w:rsid w:val="00B63B9D"/>
    <w:rsid w:val="00B63F78"/>
    <w:rsid w:val="00B63FFD"/>
    <w:rsid w:val="00B6431A"/>
    <w:rsid w:val="00B64543"/>
    <w:rsid w:val="00B646D6"/>
    <w:rsid w:val="00B64746"/>
    <w:rsid w:val="00B648A5"/>
    <w:rsid w:val="00B648C2"/>
    <w:rsid w:val="00B64F55"/>
    <w:rsid w:val="00B6634F"/>
    <w:rsid w:val="00B66381"/>
    <w:rsid w:val="00B669C7"/>
    <w:rsid w:val="00B6734D"/>
    <w:rsid w:val="00B67569"/>
    <w:rsid w:val="00B70184"/>
    <w:rsid w:val="00B70211"/>
    <w:rsid w:val="00B70D89"/>
    <w:rsid w:val="00B718AF"/>
    <w:rsid w:val="00B71B91"/>
    <w:rsid w:val="00B71C6F"/>
    <w:rsid w:val="00B71EAD"/>
    <w:rsid w:val="00B7271E"/>
    <w:rsid w:val="00B72F53"/>
    <w:rsid w:val="00B73769"/>
    <w:rsid w:val="00B742FF"/>
    <w:rsid w:val="00B7447E"/>
    <w:rsid w:val="00B74E8C"/>
    <w:rsid w:val="00B75018"/>
    <w:rsid w:val="00B751AC"/>
    <w:rsid w:val="00B7527A"/>
    <w:rsid w:val="00B752BE"/>
    <w:rsid w:val="00B7536A"/>
    <w:rsid w:val="00B7545E"/>
    <w:rsid w:val="00B75622"/>
    <w:rsid w:val="00B75A37"/>
    <w:rsid w:val="00B75DBA"/>
    <w:rsid w:val="00B7601B"/>
    <w:rsid w:val="00B7698A"/>
    <w:rsid w:val="00B76F30"/>
    <w:rsid w:val="00B7715F"/>
    <w:rsid w:val="00B771AD"/>
    <w:rsid w:val="00B778E9"/>
    <w:rsid w:val="00B77E0B"/>
    <w:rsid w:val="00B77F2D"/>
    <w:rsid w:val="00B80152"/>
    <w:rsid w:val="00B801F2"/>
    <w:rsid w:val="00B8062C"/>
    <w:rsid w:val="00B814B9"/>
    <w:rsid w:val="00B81A6F"/>
    <w:rsid w:val="00B81AF6"/>
    <w:rsid w:val="00B81D11"/>
    <w:rsid w:val="00B81D44"/>
    <w:rsid w:val="00B81E6B"/>
    <w:rsid w:val="00B82023"/>
    <w:rsid w:val="00B82791"/>
    <w:rsid w:val="00B8279F"/>
    <w:rsid w:val="00B8295E"/>
    <w:rsid w:val="00B829DD"/>
    <w:rsid w:val="00B829EB"/>
    <w:rsid w:val="00B82B0C"/>
    <w:rsid w:val="00B82D71"/>
    <w:rsid w:val="00B82D7F"/>
    <w:rsid w:val="00B8385D"/>
    <w:rsid w:val="00B84182"/>
    <w:rsid w:val="00B842DB"/>
    <w:rsid w:val="00B84434"/>
    <w:rsid w:val="00B84A5C"/>
    <w:rsid w:val="00B84B4D"/>
    <w:rsid w:val="00B84BAA"/>
    <w:rsid w:val="00B84C50"/>
    <w:rsid w:val="00B85005"/>
    <w:rsid w:val="00B857F9"/>
    <w:rsid w:val="00B85980"/>
    <w:rsid w:val="00B85B7E"/>
    <w:rsid w:val="00B85CCC"/>
    <w:rsid w:val="00B85D6C"/>
    <w:rsid w:val="00B85E0F"/>
    <w:rsid w:val="00B85FE6"/>
    <w:rsid w:val="00B86237"/>
    <w:rsid w:val="00B86644"/>
    <w:rsid w:val="00B86962"/>
    <w:rsid w:val="00B86D4C"/>
    <w:rsid w:val="00B86D85"/>
    <w:rsid w:val="00B86DEA"/>
    <w:rsid w:val="00B86F49"/>
    <w:rsid w:val="00B877F7"/>
    <w:rsid w:val="00B878CA"/>
    <w:rsid w:val="00B8792F"/>
    <w:rsid w:val="00B87C85"/>
    <w:rsid w:val="00B87D67"/>
    <w:rsid w:val="00B87E40"/>
    <w:rsid w:val="00B902B2"/>
    <w:rsid w:val="00B9113A"/>
    <w:rsid w:val="00B91157"/>
    <w:rsid w:val="00B91451"/>
    <w:rsid w:val="00B91846"/>
    <w:rsid w:val="00B92394"/>
    <w:rsid w:val="00B929E8"/>
    <w:rsid w:val="00B92F8C"/>
    <w:rsid w:val="00B93384"/>
    <w:rsid w:val="00B936EF"/>
    <w:rsid w:val="00B93AC5"/>
    <w:rsid w:val="00B93B87"/>
    <w:rsid w:val="00B93BD3"/>
    <w:rsid w:val="00B93D88"/>
    <w:rsid w:val="00B93ECA"/>
    <w:rsid w:val="00B94180"/>
    <w:rsid w:val="00B94FC5"/>
    <w:rsid w:val="00B95116"/>
    <w:rsid w:val="00B95315"/>
    <w:rsid w:val="00B9545F"/>
    <w:rsid w:val="00B95A4A"/>
    <w:rsid w:val="00B95B44"/>
    <w:rsid w:val="00B95EB3"/>
    <w:rsid w:val="00B961B2"/>
    <w:rsid w:val="00B96607"/>
    <w:rsid w:val="00B9661D"/>
    <w:rsid w:val="00B96733"/>
    <w:rsid w:val="00B96812"/>
    <w:rsid w:val="00B96D88"/>
    <w:rsid w:val="00B96E49"/>
    <w:rsid w:val="00B971C5"/>
    <w:rsid w:val="00B972DD"/>
    <w:rsid w:val="00B9798D"/>
    <w:rsid w:val="00B979C4"/>
    <w:rsid w:val="00B97A1F"/>
    <w:rsid w:val="00B97DE5"/>
    <w:rsid w:val="00BA061B"/>
    <w:rsid w:val="00BA09C3"/>
    <w:rsid w:val="00BA0D4D"/>
    <w:rsid w:val="00BA0EF3"/>
    <w:rsid w:val="00BA1041"/>
    <w:rsid w:val="00BA14F7"/>
    <w:rsid w:val="00BA2072"/>
    <w:rsid w:val="00BA2127"/>
    <w:rsid w:val="00BA21E8"/>
    <w:rsid w:val="00BA2216"/>
    <w:rsid w:val="00BA25B9"/>
    <w:rsid w:val="00BA2D53"/>
    <w:rsid w:val="00BA2E96"/>
    <w:rsid w:val="00BA3327"/>
    <w:rsid w:val="00BA3B05"/>
    <w:rsid w:val="00BA4C37"/>
    <w:rsid w:val="00BA4DD0"/>
    <w:rsid w:val="00BA572A"/>
    <w:rsid w:val="00BA5843"/>
    <w:rsid w:val="00BA5913"/>
    <w:rsid w:val="00BA5EC2"/>
    <w:rsid w:val="00BA62FE"/>
    <w:rsid w:val="00BA638A"/>
    <w:rsid w:val="00BA6B08"/>
    <w:rsid w:val="00BA6EF9"/>
    <w:rsid w:val="00BA70A3"/>
    <w:rsid w:val="00BB06C4"/>
    <w:rsid w:val="00BB0C8F"/>
    <w:rsid w:val="00BB132E"/>
    <w:rsid w:val="00BB1F69"/>
    <w:rsid w:val="00BB24BE"/>
    <w:rsid w:val="00BB24FB"/>
    <w:rsid w:val="00BB2677"/>
    <w:rsid w:val="00BB2A55"/>
    <w:rsid w:val="00BB2D69"/>
    <w:rsid w:val="00BB3044"/>
    <w:rsid w:val="00BB3288"/>
    <w:rsid w:val="00BB3289"/>
    <w:rsid w:val="00BB3382"/>
    <w:rsid w:val="00BB3729"/>
    <w:rsid w:val="00BB3F01"/>
    <w:rsid w:val="00BB416E"/>
    <w:rsid w:val="00BB4651"/>
    <w:rsid w:val="00BB46B9"/>
    <w:rsid w:val="00BB489E"/>
    <w:rsid w:val="00BB5156"/>
    <w:rsid w:val="00BB551B"/>
    <w:rsid w:val="00BB575F"/>
    <w:rsid w:val="00BB57CD"/>
    <w:rsid w:val="00BB6118"/>
    <w:rsid w:val="00BB6667"/>
    <w:rsid w:val="00BB6A69"/>
    <w:rsid w:val="00BB6CFB"/>
    <w:rsid w:val="00BB7550"/>
    <w:rsid w:val="00BB766B"/>
    <w:rsid w:val="00BC00A5"/>
    <w:rsid w:val="00BC021E"/>
    <w:rsid w:val="00BC089B"/>
    <w:rsid w:val="00BC0A80"/>
    <w:rsid w:val="00BC1654"/>
    <w:rsid w:val="00BC167A"/>
    <w:rsid w:val="00BC1730"/>
    <w:rsid w:val="00BC1C38"/>
    <w:rsid w:val="00BC1D0C"/>
    <w:rsid w:val="00BC2447"/>
    <w:rsid w:val="00BC245A"/>
    <w:rsid w:val="00BC2EAF"/>
    <w:rsid w:val="00BC2EF8"/>
    <w:rsid w:val="00BC4AA7"/>
    <w:rsid w:val="00BC5583"/>
    <w:rsid w:val="00BC55D6"/>
    <w:rsid w:val="00BC565E"/>
    <w:rsid w:val="00BC574F"/>
    <w:rsid w:val="00BC5928"/>
    <w:rsid w:val="00BC5F70"/>
    <w:rsid w:val="00BC5FA6"/>
    <w:rsid w:val="00BC6063"/>
    <w:rsid w:val="00BC61AF"/>
    <w:rsid w:val="00BC6297"/>
    <w:rsid w:val="00BC63C0"/>
    <w:rsid w:val="00BC6520"/>
    <w:rsid w:val="00BC722E"/>
    <w:rsid w:val="00BC72CB"/>
    <w:rsid w:val="00BC770C"/>
    <w:rsid w:val="00BC7F00"/>
    <w:rsid w:val="00BD00A9"/>
    <w:rsid w:val="00BD032A"/>
    <w:rsid w:val="00BD043A"/>
    <w:rsid w:val="00BD0AA6"/>
    <w:rsid w:val="00BD0C63"/>
    <w:rsid w:val="00BD11E2"/>
    <w:rsid w:val="00BD127E"/>
    <w:rsid w:val="00BD14F5"/>
    <w:rsid w:val="00BD1E44"/>
    <w:rsid w:val="00BD2453"/>
    <w:rsid w:val="00BD2822"/>
    <w:rsid w:val="00BD3813"/>
    <w:rsid w:val="00BD3D19"/>
    <w:rsid w:val="00BD3F6A"/>
    <w:rsid w:val="00BD41F9"/>
    <w:rsid w:val="00BD4619"/>
    <w:rsid w:val="00BD4698"/>
    <w:rsid w:val="00BD4E26"/>
    <w:rsid w:val="00BD4F98"/>
    <w:rsid w:val="00BD535E"/>
    <w:rsid w:val="00BD54D1"/>
    <w:rsid w:val="00BD55F7"/>
    <w:rsid w:val="00BD68B1"/>
    <w:rsid w:val="00BD6999"/>
    <w:rsid w:val="00BD69B1"/>
    <w:rsid w:val="00BD6F7E"/>
    <w:rsid w:val="00BD781E"/>
    <w:rsid w:val="00BD7AA2"/>
    <w:rsid w:val="00BE0873"/>
    <w:rsid w:val="00BE0F97"/>
    <w:rsid w:val="00BE0FAD"/>
    <w:rsid w:val="00BE142B"/>
    <w:rsid w:val="00BE150C"/>
    <w:rsid w:val="00BE1516"/>
    <w:rsid w:val="00BE18E5"/>
    <w:rsid w:val="00BE1CF6"/>
    <w:rsid w:val="00BE2941"/>
    <w:rsid w:val="00BE297E"/>
    <w:rsid w:val="00BE2A84"/>
    <w:rsid w:val="00BE2F9F"/>
    <w:rsid w:val="00BE34C6"/>
    <w:rsid w:val="00BE35F8"/>
    <w:rsid w:val="00BE3819"/>
    <w:rsid w:val="00BE3AAF"/>
    <w:rsid w:val="00BE3F05"/>
    <w:rsid w:val="00BE4009"/>
    <w:rsid w:val="00BE41B4"/>
    <w:rsid w:val="00BE45D6"/>
    <w:rsid w:val="00BE54B7"/>
    <w:rsid w:val="00BE58AD"/>
    <w:rsid w:val="00BE5FF9"/>
    <w:rsid w:val="00BE6664"/>
    <w:rsid w:val="00BE6959"/>
    <w:rsid w:val="00BE6C44"/>
    <w:rsid w:val="00BE6EE2"/>
    <w:rsid w:val="00BE708B"/>
    <w:rsid w:val="00BE7F7D"/>
    <w:rsid w:val="00BF0380"/>
    <w:rsid w:val="00BF0429"/>
    <w:rsid w:val="00BF08B1"/>
    <w:rsid w:val="00BF1163"/>
    <w:rsid w:val="00BF139B"/>
    <w:rsid w:val="00BF18C1"/>
    <w:rsid w:val="00BF1E0A"/>
    <w:rsid w:val="00BF2292"/>
    <w:rsid w:val="00BF2605"/>
    <w:rsid w:val="00BF27E2"/>
    <w:rsid w:val="00BF28A5"/>
    <w:rsid w:val="00BF28E1"/>
    <w:rsid w:val="00BF2934"/>
    <w:rsid w:val="00BF2D25"/>
    <w:rsid w:val="00BF2E2B"/>
    <w:rsid w:val="00BF3049"/>
    <w:rsid w:val="00BF3209"/>
    <w:rsid w:val="00BF3AB7"/>
    <w:rsid w:val="00BF4115"/>
    <w:rsid w:val="00BF4744"/>
    <w:rsid w:val="00BF47A0"/>
    <w:rsid w:val="00BF4AC0"/>
    <w:rsid w:val="00BF4BA1"/>
    <w:rsid w:val="00BF4DB8"/>
    <w:rsid w:val="00BF59AC"/>
    <w:rsid w:val="00BF5AED"/>
    <w:rsid w:val="00BF5CE6"/>
    <w:rsid w:val="00BF5D96"/>
    <w:rsid w:val="00BF5F2D"/>
    <w:rsid w:val="00BF5F43"/>
    <w:rsid w:val="00BF65D2"/>
    <w:rsid w:val="00BF6715"/>
    <w:rsid w:val="00BF6802"/>
    <w:rsid w:val="00BF6994"/>
    <w:rsid w:val="00BF769B"/>
    <w:rsid w:val="00BF7827"/>
    <w:rsid w:val="00BF7ACD"/>
    <w:rsid w:val="00BF7BB5"/>
    <w:rsid w:val="00BF7C8D"/>
    <w:rsid w:val="00BF7CB6"/>
    <w:rsid w:val="00BF7D25"/>
    <w:rsid w:val="00C00653"/>
    <w:rsid w:val="00C00744"/>
    <w:rsid w:val="00C00953"/>
    <w:rsid w:val="00C00E3D"/>
    <w:rsid w:val="00C0116C"/>
    <w:rsid w:val="00C01447"/>
    <w:rsid w:val="00C014EA"/>
    <w:rsid w:val="00C0169F"/>
    <w:rsid w:val="00C01E75"/>
    <w:rsid w:val="00C023A8"/>
    <w:rsid w:val="00C02919"/>
    <w:rsid w:val="00C02E28"/>
    <w:rsid w:val="00C02F60"/>
    <w:rsid w:val="00C0312F"/>
    <w:rsid w:val="00C03648"/>
    <w:rsid w:val="00C03734"/>
    <w:rsid w:val="00C04498"/>
    <w:rsid w:val="00C04607"/>
    <w:rsid w:val="00C04708"/>
    <w:rsid w:val="00C04F42"/>
    <w:rsid w:val="00C05295"/>
    <w:rsid w:val="00C05929"/>
    <w:rsid w:val="00C0596F"/>
    <w:rsid w:val="00C05AF6"/>
    <w:rsid w:val="00C05C20"/>
    <w:rsid w:val="00C05F96"/>
    <w:rsid w:val="00C06A64"/>
    <w:rsid w:val="00C06FFE"/>
    <w:rsid w:val="00C071F6"/>
    <w:rsid w:val="00C079F2"/>
    <w:rsid w:val="00C07AEA"/>
    <w:rsid w:val="00C07F76"/>
    <w:rsid w:val="00C10199"/>
    <w:rsid w:val="00C10590"/>
    <w:rsid w:val="00C105C9"/>
    <w:rsid w:val="00C107FA"/>
    <w:rsid w:val="00C1090D"/>
    <w:rsid w:val="00C10939"/>
    <w:rsid w:val="00C10AA6"/>
    <w:rsid w:val="00C10AD3"/>
    <w:rsid w:val="00C10BC6"/>
    <w:rsid w:val="00C11061"/>
    <w:rsid w:val="00C112A0"/>
    <w:rsid w:val="00C11424"/>
    <w:rsid w:val="00C11790"/>
    <w:rsid w:val="00C11EC3"/>
    <w:rsid w:val="00C120C5"/>
    <w:rsid w:val="00C1223D"/>
    <w:rsid w:val="00C122D3"/>
    <w:rsid w:val="00C123AE"/>
    <w:rsid w:val="00C12ABF"/>
    <w:rsid w:val="00C12CB6"/>
    <w:rsid w:val="00C12D58"/>
    <w:rsid w:val="00C1304B"/>
    <w:rsid w:val="00C134D4"/>
    <w:rsid w:val="00C13762"/>
    <w:rsid w:val="00C1389D"/>
    <w:rsid w:val="00C138A8"/>
    <w:rsid w:val="00C13B9A"/>
    <w:rsid w:val="00C1414E"/>
    <w:rsid w:val="00C14985"/>
    <w:rsid w:val="00C14EAF"/>
    <w:rsid w:val="00C15221"/>
    <w:rsid w:val="00C1562E"/>
    <w:rsid w:val="00C157EE"/>
    <w:rsid w:val="00C15EA0"/>
    <w:rsid w:val="00C163DB"/>
    <w:rsid w:val="00C1673D"/>
    <w:rsid w:val="00C1684C"/>
    <w:rsid w:val="00C17325"/>
    <w:rsid w:val="00C1734D"/>
    <w:rsid w:val="00C175A0"/>
    <w:rsid w:val="00C17D83"/>
    <w:rsid w:val="00C2026B"/>
    <w:rsid w:val="00C205DB"/>
    <w:rsid w:val="00C20A3E"/>
    <w:rsid w:val="00C20D3F"/>
    <w:rsid w:val="00C20FA5"/>
    <w:rsid w:val="00C213D3"/>
    <w:rsid w:val="00C2158E"/>
    <w:rsid w:val="00C2182C"/>
    <w:rsid w:val="00C21EA5"/>
    <w:rsid w:val="00C21ECF"/>
    <w:rsid w:val="00C22455"/>
    <w:rsid w:val="00C224E6"/>
    <w:rsid w:val="00C2298D"/>
    <w:rsid w:val="00C22A7D"/>
    <w:rsid w:val="00C22F49"/>
    <w:rsid w:val="00C23030"/>
    <w:rsid w:val="00C232FB"/>
    <w:rsid w:val="00C23561"/>
    <w:rsid w:val="00C2378D"/>
    <w:rsid w:val="00C23A84"/>
    <w:rsid w:val="00C23B19"/>
    <w:rsid w:val="00C23CB4"/>
    <w:rsid w:val="00C23FF4"/>
    <w:rsid w:val="00C24549"/>
    <w:rsid w:val="00C24628"/>
    <w:rsid w:val="00C24BA2"/>
    <w:rsid w:val="00C253FE"/>
    <w:rsid w:val="00C25448"/>
    <w:rsid w:val="00C25576"/>
    <w:rsid w:val="00C25807"/>
    <w:rsid w:val="00C25808"/>
    <w:rsid w:val="00C25C42"/>
    <w:rsid w:val="00C25FC9"/>
    <w:rsid w:val="00C2622D"/>
    <w:rsid w:val="00C264B6"/>
    <w:rsid w:val="00C26541"/>
    <w:rsid w:val="00C2670C"/>
    <w:rsid w:val="00C26C03"/>
    <w:rsid w:val="00C2714B"/>
    <w:rsid w:val="00C27459"/>
    <w:rsid w:val="00C2752D"/>
    <w:rsid w:val="00C27FC1"/>
    <w:rsid w:val="00C300DF"/>
    <w:rsid w:val="00C301C8"/>
    <w:rsid w:val="00C30340"/>
    <w:rsid w:val="00C30D1E"/>
    <w:rsid w:val="00C31461"/>
    <w:rsid w:val="00C31589"/>
    <w:rsid w:val="00C3178A"/>
    <w:rsid w:val="00C317A5"/>
    <w:rsid w:val="00C31BDB"/>
    <w:rsid w:val="00C31D3A"/>
    <w:rsid w:val="00C325CE"/>
    <w:rsid w:val="00C32759"/>
    <w:rsid w:val="00C328F0"/>
    <w:rsid w:val="00C32C28"/>
    <w:rsid w:val="00C32D2F"/>
    <w:rsid w:val="00C33313"/>
    <w:rsid w:val="00C333D1"/>
    <w:rsid w:val="00C3343D"/>
    <w:rsid w:val="00C3358E"/>
    <w:rsid w:val="00C3365C"/>
    <w:rsid w:val="00C34503"/>
    <w:rsid w:val="00C346AA"/>
    <w:rsid w:val="00C3480F"/>
    <w:rsid w:val="00C34895"/>
    <w:rsid w:val="00C34945"/>
    <w:rsid w:val="00C34A4E"/>
    <w:rsid w:val="00C34A99"/>
    <w:rsid w:val="00C34EE6"/>
    <w:rsid w:val="00C34FE1"/>
    <w:rsid w:val="00C36196"/>
    <w:rsid w:val="00C36B49"/>
    <w:rsid w:val="00C36F1B"/>
    <w:rsid w:val="00C3777C"/>
    <w:rsid w:val="00C377C1"/>
    <w:rsid w:val="00C40201"/>
    <w:rsid w:val="00C406F1"/>
    <w:rsid w:val="00C4096A"/>
    <w:rsid w:val="00C409D6"/>
    <w:rsid w:val="00C40BD1"/>
    <w:rsid w:val="00C40E0F"/>
    <w:rsid w:val="00C40E19"/>
    <w:rsid w:val="00C40F0D"/>
    <w:rsid w:val="00C4102F"/>
    <w:rsid w:val="00C41AA8"/>
    <w:rsid w:val="00C41D0C"/>
    <w:rsid w:val="00C41EFA"/>
    <w:rsid w:val="00C428BA"/>
    <w:rsid w:val="00C42D34"/>
    <w:rsid w:val="00C43537"/>
    <w:rsid w:val="00C43712"/>
    <w:rsid w:val="00C43BF7"/>
    <w:rsid w:val="00C4409E"/>
    <w:rsid w:val="00C4421C"/>
    <w:rsid w:val="00C445F9"/>
    <w:rsid w:val="00C4471B"/>
    <w:rsid w:val="00C44B16"/>
    <w:rsid w:val="00C4529E"/>
    <w:rsid w:val="00C4552E"/>
    <w:rsid w:val="00C45753"/>
    <w:rsid w:val="00C457B5"/>
    <w:rsid w:val="00C4641F"/>
    <w:rsid w:val="00C46AFA"/>
    <w:rsid w:val="00C476FB"/>
    <w:rsid w:val="00C50305"/>
    <w:rsid w:val="00C503D3"/>
    <w:rsid w:val="00C5058D"/>
    <w:rsid w:val="00C50779"/>
    <w:rsid w:val="00C50DE0"/>
    <w:rsid w:val="00C51185"/>
    <w:rsid w:val="00C51D87"/>
    <w:rsid w:val="00C51F43"/>
    <w:rsid w:val="00C51FCC"/>
    <w:rsid w:val="00C52095"/>
    <w:rsid w:val="00C5237D"/>
    <w:rsid w:val="00C52445"/>
    <w:rsid w:val="00C5252C"/>
    <w:rsid w:val="00C526FE"/>
    <w:rsid w:val="00C52913"/>
    <w:rsid w:val="00C52B8D"/>
    <w:rsid w:val="00C52D6C"/>
    <w:rsid w:val="00C52E31"/>
    <w:rsid w:val="00C5345E"/>
    <w:rsid w:val="00C537C7"/>
    <w:rsid w:val="00C53A7A"/>
    <w:rsid w:val="00C53CB4"/>
    <w:rsid w:val="00C53E84"/>
    <w:rsid w:val="00C53FEE"/>
    <w:rsid w:val="00C54ADF"/>
    <w:rsid w:val="00C54EB2"/>
    <w:rsid w:val="00C55640"/>
    <w:rsid w:val="00C55818"/>
    <w:rsid w:val="00C55EAC"/>
    <w:rsid w:val="00C56AE5"/>
    <w:rsid w:val="00C56BA5"/>
    <w:rsid w:val="00C56F47"/>
    <w:rsid w:val="00C57359"/>
    <w:rsid w:val="00C57C1C"/>
    <w:rsid w:val="00C57CAF"/>
    <w:rsid w:val="00C57CF9"/>
    <w:rsid w:val="00C57D7B"/>
    <w:rsid w:val="00C57EAE"/>
    <w:rsid w:val="00C6068A"/>
    <w:rsid w:val="00C60787"/>
    <w:rsid w:val="00C616B6"/>
    <w:rsid w:val="00C61CD8"/>
    <w:rsid w:val="00C625BA"/>
    <w:rsid w:val="00C62629"/>
    <w:rsid w:val="00C6276C"/>
    <w:rsid w:val="00C62EBB"/>
    <w:rsid w:val="00C63015"/>
    <w:rsid w:val="00C63155"/>
    <w:rsid w:val="00C634ED"/>
    <w:rsid w:val="00C635B3"/>
    <w:rsid w:val="00C639DE"/>
    <w:rsid w:val="00C63A9B"/>
    <w:rsid w:val="00C63B4F"/>
    <w:rsid w:val="00C63DB1"/>
    <w:rsid w:val="00C6417C"/>
    <w:rsid w:val="00C6431E"/>
    <w:rsid w:val="00C64493"/>
    <w:rsid w:val="00C64938"/>
    <w:rsid w:val="00C6546A"/>
    <w:rsid w:val="00C65563"/>
    <w:rsid w:val="00C65795"/>
    <w:rsid w:val="00C65A09"/>
    <w:rsid w:val="00C65DC2"/>
    <w:rsid w:val="00C661DB"/>
    <w:rsid w:val="00C662D0"/>
    <w:rsid w:val="00C670C6"/>
    <w:rsid w:val="00C67C18"/>
    <w:rsid w:val="00C67F1C"/>
    <w:rsid w:val="00C70EE4"/>
    <w:rsid w:val="00C711DB"/>
    <w:rsid w:val="00C71352"/>
    <w:rsid w:val="00C714D4"/>
    <w:rsid w:val="00C71640"/>
    <w:rsid w:val="00C719CB"/>
    <w:rsid w:val="00C71AE2"/>
    <w:rsid w:val="00C71DB9"/>
    <w:rsid w:val="00C72188"/>
    <w:rsid w:val="00C72F2F"/>
    <w:rsid w:val="00C7312D"/>
    <w:rsid w:val="00C735CA"/>
    <w:rsid w:val="00C73E2F"/>
    <w:rsid w:val="00C74B45"/>
    <w:rsid w:val="00C74BDD"/>
    <w:rsid w:val="00C74D8B"/>
    <w:rsid w:val="00C74DE0"/>
    <w:rsid w:val="00C75108"/>
    <w:rsid w:val="00C7531B"/>
    <w:rsid w:val="00C75370"/>
    <w:rsid w:val="00C7540A"/>
    <w:rsid w:val="00C75BE3"/>
    <w:rsid w:val="00C76420"/>
    <w:rsid w:val="00C7671B"/>
    <w:rsid w:val="00C767CE"/>
    <w:rsid w:val="00C76814"/>
    <w:rsid w:val="00C769AF"/>
    <w:rsid w:val="00C76AEB"/>
    <w:rsid w:val="00C76BF0"/>
    <w:rsid w:val="00C76D91"/>
    <w:rsid w:val="00C7711A"/>
    <w:rsid w:val="00C77580"/>
    <w:rsid w:val="00C77D1B"/>
    <w:rsid w:val="00C80233"/>
    <w:rsid w:val="00C8038C"/>
    <w:rsid w:val="00C8088D"/>
    <w:rsid w:val="00C81089"/>
    <w:rsid w:val="00C812A3"/>
    <w:rsid w:val="00C816BA"/>
    <w:rsid w:val="00C81924"/>
    <w:rsid w:val="00C823FC"/>
    <w:rsid w:val="00C82E6E"/>
    <w:rsid w:val="00C831BC"/>
    <w:rsid w:val="00C833B8"/>
    <w:rsid w:val="00C83E44"/>
    <w:rsid w:val="00C83FAD"/>
    <w:rsid w:val="00C8407D"/>
    <w:rsid w:val="00C8488C"/>
    <w:rsid w:val="00C848A9"/>
    <w:rsid w:val="00C85125"/>
    <w:rsid w:val="00C85997"/>
    <w:rsid w:val="00C85B13"/>
    <w:rsid w:val="00C85B7F"/>
    <w:rsid w:val="00C85F10"/>
    <w:rsid w:val="00C8647F"/>
    <w:rsid w:val="00C86AD7"/>
    <w:rsid w:val="00C87101"/>
    <w:rsid w:val="00C871DD"/>
    <w:rsid w:val="00C87BE8"/>
    <w:rsid w:val="00C87CB2"/>
    <w:rsid w:val="00C87DB9"/>
    <w:rsid w:val="00C906F6"/>
    <w:rsid w:val="00C90A6E"/>
    <w:rsid w:val="00C90E2E"/>
    <w:rsid w:val="00C910F1"/>
    <w:rsid w:val="00C92220"/>
    <w:rsid w:val="00C92F7D"/>
    <w:rsid w:val="00C93040"/>
    <w:rsid w:val="00C932FB"/>
    <w:rsid w:val="00C93BE4"/>
    <w:rsid w:val="00C93E79"/>
    <w:rsid w:val="00C93FF2"/>
    <w:rsid w:val="00C9440D"/>
    <w:rsid w:val="00C947B2"/>
    <w:rsid w:val="00C95245"/>
    <w:rsid w:val="00C954F8"/>
    <w:rsid w:val="00C95916"/>
    <w:rsid w:val="00C95A29"/>
    <w:rsid w:val="00C9600C"/>
    <w:rsid w:val="00C9604F"/>
    <w:rsid w:val="00C96057"/>
    <w:rsid w:val="00C9631A"/>
    <w:rsid w:val="00C96B9E"/>
    <w:rsid w:val="00C9743C"/>
    <w:rsid w:val="00C976DC"/>
    <w:rsid w:val="00C97DA9"/>
    <w:rsid w:val="00CA0781"/>
    <w:rsid w:val="00CA07B7"/>
    <w:rsid w:val="00CA0B43"/>
    <w:rsid w:val="00CA0C81"/>
    <w:rsid w:val="00CA0FE9"/>
    <w:rsid w:val="00CA1032"/>
    <w:rsid w:val="00CA1790"/>
    <w:rsid w:val="00CA1FB8"/>
    <w:rsid w:val="00CA207C"/>
    <w:rsid w:val="00CA2133"/>
    <w:rsid w:val="00CA215C"/>
    <w:rsid w:val="00CA21F0"/>
    <w:rsid w:val="00CA24DF"/>
    <w:rsid w:val="00CA2643"/>
    <w:rsid w:val="00CA2BE3"/>
    <w:rsid w:val="00CA368D"/>
    <w:rsid w:val="00CA36A2"/>
    <w:rsid w:val="00CA3B63"/>
    <w:rsid w:val="00CA3CD0"/>
    <w:rsid w:val="00CA42A2"/>
    <w:rsid w:val="00CA4424"/>
    <w:rsid w:val="00CA4646"/>
    <w:rsid w:val="00CA4697"/>
    <w:rsid w:val="00CA4BC1"/>
    <w:rsid w:val="00CA5ADB"/>
    <w:rsid w:val="00CA5CAB"/>
    <w:rsid w:val="00CA606A"/>
    <w:rsid w:val="00CA663D"/>
    <w:rsid w:val="00CA7851"/>
    <w:rsid w:val="00CA7901"/>
    <w:rsid w:val="00CA7A6D"/>
    <w:rsid w:val="00CA7B0A"/>
    <w:rsid w:val="00CB03E0"/>
    <w:rsid w:val="00CB0584"/>
    <w:rsid w:val="00CB05DA"/>
    <w:rsid w:val="00CB0797"/>
    <w:rsid w:val="00CB09BF"/>
    <w:rsid w:val="00CB0D6C"/>
    <w:rsid w:val="00CB1C52"/>
    <w:rsid w:val="00CB203F"/>
    <w:rsid w:val="00CB221C"/>
    <w:rsid w:val="00CB261E"/>
    <w:rsid w:val="00CB2A62"/>
    <w:rsid w:val="00CB3A6C"/>
    <w:rsid w:val="00CB3DB9"/>
    <w:rsid w:val="00CB3EAF"/>
    <w:rsid w:val="00CB4288"/>
    <w:rsid w:val="00CB42AE"/>
    <w:rsid w:val="00CB42C1"/>
    <w:rsid w:val="00CB432B"/>
    <w:rsid w:val="00CB47D8"/>
    <w:rsid w:val="00CB60CF"/>
    <w:rsid w:val="00CB6471"/>
    <w:rsid w:val="00CB64F0"/>
    <w:rsid w:val="00CB6784"/>
    <w:rsid w:val="00CB6CBD"/>
    <w:rsid w:val="00CB73F3"/>
    <w:rsid w:val="00CB7485"/>
    <w:rsid w:val="00CB76EC"/>
    <w:rsid w:val="00CB7EE3"/>
    <w:rsid w:val="00CB7F06"/>
    <w:rsid w:val="00CB7F37"/>
    <w:rsid w:val="00CC061F"/>
    <w:rsid w:val="00CC0825"/>
    <w:rsid w:val="00CC0E76"/>
    <w:rsid w:val="00CC12BE"/>
    <w:rsid w:val="00CC140D"/>
    <w:rsid w:val="00CC15D2"/>
    <w:rsid w:val="00CC1C8D"/>
    <w:rsid w:val="00CC1D7B"/>
    <w:rsid w:val="00CC1EF6"/>
    <w:rsid w:val="00CC2205"/>
    <w:rsid w:val="00CC22F7"/>
    <w:rsid w:val="00CC28F0"/>
    <w:rsid w:val="00CC2C3D"/>
    <w:rsid w:val="00CC34DB"/>
    <w:rsid w:val="00CC3F0E"/>
    <w:rsid w:val="00CC3F93"/>
    <w:rsid w:val="00CC4567"/>
    <w:rsid w:val="00CC4B4F"/>
    <w:rsid w:val="00CC5045"/>
    <w:rsid w:val="00CC526B"/>
    <w:rsid w:val="00CC5373"/>
    <w:rsid w:val="00CC67CE"/>
    <w:rsid w:val="00CC69DA"/>
    <w:rsid w:val="00CC6F9F"/>
    <w:rsid w:val="00CC749F"/>
    <w:rsid w:val="00CC7EDC"/>
    <w:rsid w:val="00CC7FEE"/>
    <w:rsid w:val="00CD01A2"/>
    <w:rsid w:val="00CD029E"/>
    <w:rsid w:val="00CD0624"/>
    <w:rsid w:val="00CD073B"/>
    <w:rsid w:val="00CD08C0"/>
    <w:rsid w:val="00CD098E"/>
    <w:rsid w:val="00CD0A92"/>
    <w:rsid w:val="00CD0E1B"/>
    <w:rsid w:val="00CD0F32"/>
    <w:rsid w:val="00CD10C2"/>
    <w:rsid w:val="00CD1403"/>
    <w:rsid w:val="00CD1469"/>
    <w:rsid w:val="00CD1847"/>
    <w:rsid w:val="00CD1BA0"/>
    <w:rsid w:val="00CD2425"/>
    <w:rsid w:val="00CD2463"/>
    <w:rsid w:val="00CD2C79"/>
    <w:rsid w:val="00CD39F1"/>
    <w:rsid w:val="00CD3E9D"/>
    <w:rsid w:val="00CD4256"/>
    <w:rsid w:val="00CD4A51"/>
    <w:rsid w:val="00CD4F7C"/>
    <w:rsid w:val="00CD51B8"/>
    <w:rsid w:val="00CD52D4"/>
    <w:rsid w:val="00CD5BFB"/>
    <w:rsid w:val="00CD6921"/>
    <w:rsid w:val="00CD6C5F"/>
    <w:rsid w:val="00CD7119"/>
    <w:rsid w:val="00CD73A1"/>
    <w:rsid w:val="00CD7463"/>
    <w:rsid w:val="00CD76A7"/>
    <w:rsid w:val="00CD7817"/>
    <w:rsid w:val="00CD789D"/>
    <w:rsid w:val="00CD7D53"/>
    <w:rsid w:val="00CD7DE8"/>
    <w:rsid w:val="00CE07D2"/>
    <w:rsid w:val="00CE0B5D"/>
    <w:rsid w:val="00CE0B78"/>
    <w:rsid w:val="00CE0C54"/>
    <w:rsid w:val="00CE0E00"/>
    <w:rsid w:val="00CE1547"/>
    <w:rsid w:val="00CE1696"/>
    <w:rsid w:val="00CE1B59"/>
    <w:rsid w:val="00CE1BF0"/>
    <w:rsid w:val="00CE213C"/>
    <w:rsid w:val="00CE2897"/>
    <w:rsid w:val="00CE2A87"/>
    <w:rsid w:val="00CE2C5A"/>
    <w:rsid w:val="00CE2CAC"/>
    <w:rsid w:val="00CE30E9"/>
    <w:rsid w:val="00CE3275"/>
    <w:rsid w:val="00CE39AD"/>
    <w:rsid w:val="00CE3A84"/>
    <w:rsid w:val="00CE3CC7"/>
    <w:rsid w:val="00CE3D09"/>
    <w:rsid w:val="00CE400D"/>
    <w:rsid w:val="00CE4716"/>
    <w:rsid w:val="00CE471B"/>
    <w:rsid w:val="00CE51FF"/>
    <w:rsid w:val="00CE6285"/>
    <w:rsid w:val="00CE662E"/>
    <w:rsid w:val="00CE6B66"/>
    <w:rsid w:val="00CE6CA9"/>
    <w:rsid w:val="00CE72A5"/>
    <w:rsid w:val="00CE73EB"/>
    <w:rsid w:val="00CE75C8"/>
    <w:rsid w:val="00CE7C12"/>
    <w:rsid w:val="00CF00A7"/>
    <w:rsid w:val="00CF00F7"/>
    <w:rsid w:val="00CF03C3"/>
    <w:rsid w:val="00CF0AE7"/>
    <w:rsid w:val="00CF0AE9"/>
    <w:rsid w:val="00CF0CF1"/>
    <w:rsid w:val="00CF0E00"/>
    <w:rsid w:val="00CF14E4"/>
    <w:rsid w:val="00CF16FA"/>
    <w:rsid w:val="00CF1934"/>
    <w:rsid w:val="00CF2524"/>
    <w:rsid w:val="00CF2B2C"/>
    <w:rsid w:val="00CF2E05"/>
    <w:rsid w:val="00CF2FF1"/>
    <w:rsid w:val="00CF33DE"/>
    <w:rsid w:val="00CF3B3B"/>
    <w:rsid w:val="00CF3C7B"/>
    <w:rsid w:val="00CF3C99"/>
    <w:rsid w:val="00CF428A"/>
    <w:rsid w:val="00CF4CD1"/>
    <w:rsid w:val="00CF4F6C"/>
    <w:rsid w:val="00CF53E6"/>
    <w:rsid w:val="00CF5C91"/>
    <w:rsid w:val="00CF5CF2"/>
    <w:rsid w:val="00CF61FB"/>
    <w:rsid w:val="00CF6299"/>
    <w:rsid w:val="00CF6FF9"/>
    <w:rsid w:val="00CF70D8"/>
    <w:rsid w:val="00CF740B"/>
    <w:rsid w:val="00CF7470"/>
    <w:rsid w:val="00CF7820"/>
    <w:rsid w:val="00CF7915"/>
    <w:rsid w:val="00CF7AB4"/>
    <w:rsid w:val="00CF7FC4"/>
    <w:rsid w:val="00D0021B"/>
    <w:rsid w:val="00D004B1"/>
    <w:rsid w:val="00D008DD"/>
    <w:rsid w:val="00D011E8"/>
    <w:rsid w:val="00D01228"/>
    <w:rsid w:val="00D0142B"/>
    <w:rsid w:val="00D02335"/>
    <w:rsid w:val="00D0243C"/>
    <w:rsid w:val="00D02A2D"/>
    <w:rsid w:val="00D02C3E"/>
    <w:rsid w:val="00D02D71"/>
    <w:rsid w:val="00D032F5"/>
    <w:rsid w:val="00D038BD"/>
    <w:rsid w:val="00D03A63"/>
    <w:rsid w:val="00D03B29"/>
    <w:rsid w:val="00D03C63"/>
    <w:rsid w:val="00D041AA"/>
    <w:rsid w:val="00D04636"/>
    <w:rsid w:val="00D0485A"/>
    <w:rsid w:val="00D04A24"/>
    <w:rsid w:val="00D04AFF"/>
    <w:rsid w:val="00D04F3F"/>
    <w:rsid w:val="00D05162"/>
    <w:rsid w:val="00D0519F"/>
    <w:rsid w:val="00D05401"/>
    <w:rsid w:val="00D0543E"/>
    <w:rsid w:val="00D05D53"/>
    <w:rsid w:val="00D064E2"/>
    <w:rsid w:val="00D0654E"/>
    <w:rsid w:val="00D06AD5"/>
    <w:rsid w:val="00D07E61"/>
    <w:rsid w:val="00D07F12"/>
    <w:rsid w:val="00D1025D"/>
    <w:rsid w:val="00D108E5"/>
    <w:rsid w:val="00D1132E"/>
    <w:rsid w:val="00D11608"/>
    <w:rsid w:val="00D119B9"/>
    <w:rsid w:val="00D11AF7"/>
    <w:rsid w:val="00D11CCF"/>
    <w:rsid w:val="00D11E79"/>
    <w:rsid w:val="00D1245D"/>
    <w:rsid w:val="00D1298F"/>
    <w:rsid w:val="00D12C39"/>
    <w:rsid w:val="00D130EA"/>
    <w:rsid w:val="00D132CA"/>
    <w:rsid w:val="00D13E53"/>
    <w:rsid w:val="00D13F38"/>
    <w:rsid w:val="00D140A4"/>
    <w:rsid w:val="00D15094"/>
    <w:rsid w:val="00D15759"/>
    <w:rsid w:val="00D158C9"/>
    <w:rsid w:val="00D15930"/>
    <w:rsid w:val="00D15A25"/>
    <w:rsid w:val="00D15B16"/>
    <w:rsid w:val="00D15E0D"/>
    <w:rsid w:val="00D16050"/>
    <w:rsid w:val="00D1643E"/>
    <w:rsid w:val="00D16564"/>
    <w:rsid w:val="00D16945"/>
    <w:rsid w:val="00D16DC2"/>
    <w:rsid w:val="00D16EC7"/>
    <w:rsid w:val="00D172CB"/>
    <w:rsid w:val="00D178DD"/>
    <w:rsid w:val="00D17ACE"/>
    <w:rsid w:val="00D17B85"/>
    <w:rsid w:val="00D17CF5"/>
    <w:rsid w:val="00D2074D"/>
    <w:rsid w:val="00D20EF8"/>
    <w:rsid w:val="00D21346"/>
    <w:rsid w:val="00D21544"/>
    <w:rsid w:val="00D219C7"/>
    <w:rsid w:val="00D21BE3"/>
    <w:rsid w:val="00D21E7D"/>
    <w:rsid w:val="00D21FF1"/>
    <w:rsid w:val="00D2267B"/>
    <w:rsid w:val="00D226D1"/>
    <w:rsid w:val="00D22749"/>
    <w:rsid w:val="00D227C6"/>
    <w:rsid w:val="00D22F1F"/>
    <w:rsid w:val="00D23031"/>
    <w:rsid w:val="00D232DC"/>
    <w:rsid w:val="00D233C3"/>
    <w:rsid w:val="00D237C1"/>
    <w:rsid w:val="00D2426A"/>
    <w:rsid w:val="00D250A6"/>
    <w:rsid w:val="00D2512D"/>
    <w:rsid w:val="00D252CA"/>
    <w:rsid w:val="00D25594"/>
    <w:rsid w:val="00D258B3"/>
    <w:rsid w:val="00D25BFD"/>
    <w:rsid w:val="00D25E73"/>
    <w:rsid w:val="00D25FE8"/>
    <w:rsid w:val="00D269EA"/>
    <w:rsid w:val="00D26A9D"/>
    <w:rsid w:val="00D26B13"/>
    <w:rsid w:val="00D272B6"/>
    <w:rsid w:val="00D274C1"/>
    <w:rsid w:val="00D30B30"/>
    <w:rsid w:val="00D3136A"/>
    <w:rsid w:val="00D31C45"/>
    <w:rsid w:val="00D31ECB"/>
    <w:rsid w:val="00D3287D"/>
    <w:rsid w:val="00D32A03"/>
    <w:rsid w:val="00D337FF"/>
    <w:rsid w:val="00D3396E"/>
    <w:rsid w:val="00D33ACF"/>
    <w:rsid w:val="00D33B44"/>
    <w:rsid w:val="00D33BA6"/>
    <w:rsid w:val="00D33C70"/>
    <w:rsid w:val="00D33CD3"/>
    <w:rsid w:val="00D33F3B"/>
    <w:rsid w:val="00D34226"/>
    <w:rsid w:val="00D34892"/>
    <w:rsid w:val="00D34CA7"/>
    <w:rsid w:val="00D34CF7"/>
    <w:rsid w:val="00D356C9"/>
    <w:rsid w:val="00D35DB7"/>
    <w:rsid w:val="00D35F72"/>
    <w:rsid w:val="00D362DA"/>
    <w:rsid w:val="00D367E0"/>
    <w:rsid w:val="00D36F4D"/>
    <w:rsid w:val="00D3744B"/>
    <w:rsid w:val="00D37562"/>
    <w:rsid w:val="00D378F8"/>
    <w:rsid w:val="00D379EC"/>
    <w:rsid w:val="00D37B16"/>
    <w:rsid w:val="00D37BA0"/>
    <w:rsid w:val="00D4076C"/>
    <w:rsid w:val="00D4089E"/>
    <w:rsid w:val="00D40B93"/>
    <w:rsid w:val="00D40DB0"/>
    <w:rsid w:val="00D4109F"/>
    <w:rsid w:val="00D411D4"/>
    <w:rsid w:val="00D41C5E"/>
    <w:rsid w:val="00D42444"/>
    <w:rsid w:val="00D426D3"/>
    <w:rsid w:val="00D428F7"/>
    <w:rsid w:val="00D42BD9"/>
    <w:rsid w:val="00D4327D"/>
    <w:rsid w:val="00D43712"/>
    <w:rsid w:val="00D43892"/>
    <w:rsid w:val="00D43F6D"/>
    <w:rsid w:val="00D45DAB"/>
    <w:rsid w:val="00D45F3E"/>
    <w:rsid w:val="00D4645A"/>
    <w:rsid w:val="00D46462"/>
    <w:rsid w:val="00D467C9"/>
    <w:rsid w:val="00D46A87"/>
    <w:rsid w:val="00D46B1D"/>
    <w:rsid w:val="00D46ECE"/>
    <w:rsid w:val="00D471FC"/>
    <w:rsid w:val="00D47749"/>
    <w:rsid w:val="00D47B8E"/>
    <w:rsid w:val="00D47BDF"/>
    <w:rsid w:val="00D50C31"/>
    <w:rsid w:val="00D50DF4"/>
    <w:rsid w:val="00D51409"/>
    <w:rsid w:val="00D51A8D"/>
    <w:rsid w:val="00D522D2"/>
    <w:rsid w:val="00D524A3"/>
    <w:rsid w:val="00D526E7"/>
    <w:rsid w:val="00D5321C"/>
    <w:rsid w:val="00D53723"/>
    <w:rsid w:val="00D5376C"/>
    <w:rsid w:val="00D5389B"/>
    <w:rsid w:val="00D53C4F"/>
    <w:rsid w:val="00D5487B"/>
    <w:rsid w:val="00D552B2"/>
    <w:rsid w:val="00D5531B"/>
    <w:rsid w:val="00D557F6"/>
    <w:rsid w:val="00D55B8F"/>
    <w:rsid w:val="00D55F0C"/>
    <w:rsid w:val="00D561CD"/>
    <w:rsid w:val="00D5663D"/>
    <w:rsid w:val="00D5708C"/>
    <w:rsid w:val="00D57592"/>
    <w:rsid w:val="00D57F7B"/>
    <w:rsid w:val="00D6013E"/>
    <w:rsid w:val="00D603EA"/>
    <w:rsid w:val="00D60418"/>
    <w:rsid w:val="00D60693"/>
    <w:rsid w:val="00D60A95"/>
    <w:rsid w:val="00D6236A"/>
    <w:rsid w:val="00D62473"/>
    <w:rsid w:val="00D62BBA"/>
    <w:rsid w:val="00D62E51"/>
    <w:rsid w:val="00D6329B"/>
    <w:rsid w:val="00D637F3"/>
    <w:rsid w:val="00D6388A"/>
    <w:rsid w:val="00D63A2E"/>
    <w:rsid w:val="00D647CE"/>
    <w:rsid w:val="00D649A0"/>
    <w:rsid w:val="00D64A06"/>
    <w:rsid w:val="00D64F14"/>
    <w:rsid w:val="00D65234"/>
    <w:rsid w:val="00D657F1"/>
    <w:rsid w:val="00D659E0"/>
    <w:rsid w:val="00D65A23"/>
    <w:rsid w:val="00D66158"/>
    <w:rsid w:val="00D661E6"/>
    <w:rsid w:val="00D664AB"/>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8B8"/>
    <w:rsid w:val="00D71D11"/>
    <w:rsid w:val="00D72022"/>
    <w:rsid w:val="00D7233A"/>
    <w:rsid w:val="00D72773"/>
    <w:rsid w:val="00D73ABB"/>
    <w:rsid w:val="00D73D18"/>
    <w:rsid w:val="00D73D77"/>
    <w:rsid w:val="00D73D7C"/>
    <w:rsid w:val="00D73DA9"/>
    <w:rsid w:val="00D73E43"/>
    <w:rsid w:val="00D73E68"/>
    <w:rsid w:val="00D73EDF"/>
    <w:rsid w:val="00D745F9"/>
    <w:rsid w:val="00D747F3"/>
    <w:rsid w:val="00D7483E"/>
    <w:rsid w:val="00D74DC6"/>
    <w:rsid w:val="00D7555D"/>
    <w:rsid w:val="00D7562B"/>
    <w:rsid w:val="00D75BB5"/>
    <w:rsid w:val="00D75E51"/>
    <w:rsid w:val="00D75F4D"/>
    <w:rsid w:val="00D760D7"/>
    <w:rsid w:val="00D761E5"/>
    <w:rsid w:val="00D7695B"/>
    <w:rsid w:val="00D76A63"/>
    <w:rsid w:val="00D76B30"/>
    <w:rsid w:val="00D76F61"/>
    <w:rsid w:val="00D771EC"/>
    <w:rsid w:val="00D772B6"/>
    <w:rsid w:val="00D7760C"/>
    <w:rsid w:val="00D776CA"/>
    <w:rsid w:val="00D77BD1"/>
    <w:rsid w:val="00D80105"/>
    <w:rsid w:val="00D8071F"/>
    <w:rsid w:val="00D80E66"/>
    <w:rsid w:val="00D8100D"/>
    <w:rsid w:val="00D81589"/>
    <w:rsid w:val="00D815F5"/>
    <w:rsid w:val="00D8183F"/>
    <w:rsid w:val="00D81A4A"/>
    <w:rsid w:val="00D81DDF"/>
    <w:rsid w:val="00D826A4"/>
    <w:rsid w:val="00D828A9"/>
    <w:rsid w:val="00D82AD1"/>
    <w:rsid w:val="00D83985"/>
    <w:rsid w:val="00D83CD7"/>
    <w:rsid w:val="00D84388"/>
    <w:rsid w:val="00D845CE"/>
    <w:rsid w:val="00D8461C"/>
    <w:rsid w:val="00D8483F"/>
    <w:rsid w:val="00D853D8"/>
    <w:rsid w:val="00D8565F"/>
    <w:rsid w:val="00D859F3"/>
    <w:rsid w:val="00D85BAA"/>
    <w:rsid w:val="00D85CA2"/>
    <w:rsid w:val="00D85CB6"/>
    <w:rsid w:val="00D86383"/>
    <w:rsid w:val="00D86F66"/>
    <w:rsid w:val="00D8708A"/>
    <w:rsid w:val="00D871C5"/>
    <w:rsid w:val="00D8769F"/>
    <w:rsid w:val="00D87728"/>
    <w:rsid w:val="00D87DE9"/>
    <w:rsid w:val="00D90464"/>
    <w:rsid w:val="00D907FB"/>
    <w:rsid w:val="00D90B11"/>
    <w:rsid w:val="00D90C9B"/>
    <w:rsid w:val="00D90CCA"/>
    <w:rsid w:val="00D90F1B"/>
    <w:rsid w:val="00D9163C"/>
    <w:rsid w:val="00D91C62"/>
    <w:rsid w:val="00D92956"/>
    <w:rsid w:val="00D92F49"/>
    <w:rsid w:val="00D92F88"/>
    <w:rsid w:val="00D93400"/>
    <w:rsid w:val="00D93B54"/>
    <w:rsid w:val="00D9412B"/>
    <w:rsid w:val="00D94602"/>
    <w:rsid w:val="00D9486A"/>
    <w:rsid w:val="00D949CF"/>
    <w:rsid w:val="00D94D7A"/>
    <w:rsid w:val="00D95356"/>
    <w:rsid w:val="00D95366"/>
    <w:rsid w:val="00D95587"/>
    <w:rsid w:val="00D956B2"/>
    <w:rsid w:val="00D957A0"/>
    <w:rsid w:val="00D95806"/>
    <w:rsid w:val="00D95950"/>
    <w:rsid w:val="00D968B4"/>
    <w:rsid w:val="00D96CBB"/>
    <w:rsid w:val="00D96E41"/>
    <w:rsid w:val="00D97435"/>
    <w:rsid w:val="00D9795A"/>
    <w:rsid w:val="00D97ADC"/>
    <w:rsid w:val="00DA0335"/>
    <w:rsid w:val="00DA0A65"/>
    <w:rsid w:val="00DA1B75"/>
    <w:rsid w:val="00DA1BC6"/>
    <w:rsid w:val="00DA24C6"/>
    <w:rsid w:val="00DA250D"/>
    <w:rsid w:val="00DA2AA1"/>
    <w:rsid w:val="00DA32AE"/>
    <w:rsid w:val="00DA34B4"/>
    <w:rsid w:val="00DA3913"/>
    <w:rsid w:val="00DA39DA"/>
    <w:rsid w:val="00DA3EA0"/>
    <w:rsid w:val="00DA52F2"/>
    <w:rsid w:val="00DA54A9"/>
    <w:rsid w:val="00DA587A"/>
    <w:rsid w:val="00DA58DE"/>
    <w:rsid w:val="00DA5AFF"/>
    <w:rsid w:val="00DA5DA5"/>
    <w:rsid w:val="00DA6EA2"/>
    <w:rsid w:val="00DA6F74"/>
    <w:rsid w:val="00DA6FAF"/>
    <w:rsid w:val="00DA70E5"/>
    <w:rsid w:val="00DA7209"/>
    <w:rsid w:val="00DA73BA"/>
    <w:rsid w:val="00DA73ED"/>
    <w:rsid w:val="00DA7C3D"/>
    <w:rsid w:val="00DB0DC0"/>
    <w:rsid w:val="00DB0E6A"/>
    <w:rsid w:val="00DB0E70"/>
    <w:rsid w:val="00DB0F78"/>
    <w:rsid w:val="00DB1083"/>
    <w:rsid w:val="00DB1411"/>
    <w:rsid w:val="00DB179A"/>
    <w:rsid w:val="00DB1BD4"/>
    <w:rsid w:val="00DB1D9B"/>
    <w:rsid w:val="00DB1FB2"/>
    <w:rsid w:val="00DB22CD"/>
    <w:rsid w:val="00DB27B0"/>
    <w:rsid w:val="00DB2904"/>
    <w:rsid w:val="00DB2D33"/>
    <w:rsid w:val="00DB2F94"/>
    <w:rsid w:val="00DB301C"/>
    <w:rsid w:val="00DB34BD"/>
    <w:rsid w:val="00DB47C8"/>
    <w:rsid w:val="00DB483F"/>
    <w:rsid w:val="00DB4AEC"/>
    <w:rsid w:val="00DB4EA0"/>
    <w:rsid w:val="00DB53F0"/>
    <w:rsid w:val="00DB5B38"/>
    <w:rsid w:val="00DB5CDE"/>
    <w:rsid w:val="00DB606B"/>
    <w:rsid w:val="00DB618F"/>
    <w:rsid w:val="00DB6921"/>
    <w:rsid w:val="00DB69EB"/>
    <w:rsid w:val="00DB6A4E"/>
    <w:rsid w:val="00DB6BBD"/>
    <w:rsid w:val="00DB7001"/>
    <w:rsid w:val="00DB7543"/>
    <w:rsid w:val="00DB7621"/>
    <w:rsid w:val="00DB78B1"/>
    <w:rsid w:val="00DB7ADF"/>
    <w:rsid w:val="00DB7C3D"/>
    <w:rsid w:val="00DC05AA"/>
    <w:rsid w:val="00DC062F"/>
    <w:rsid w:val="00DC0F55"/>
    <w:rsid w:val="00DC100D"/>
    <w:rsid w:val="00DC150F"/>
    <w:rsid w:val="00DC159C"/>
    <w:rsid w:val="00DC15AC"/>
    <w:rsid w:val="00DC16E1"/>
    <w:rsid w:val="00DC2137"/>
    <w:rsid w:val="00DC2823"/>
    <w:rsid w:val="00DC2A8C"/>
    <w:rsid w:val="00DC2BE5"/>
    <w:rsid w:val="00DC2ED9"/>
    <w:rsid w:val="00DC2F62"/>
    <w:rsid w:val="00DC30C1"/>
    <w:rsid w:val="00DC312E"/>
    <w:rsid w:val="00DC3450"/>
    <w:rsid w:val="00DC3494"/>
    <w:rsid w:val="00DC35CC"/>
    <w:rsid w:val="00DC39DE"/>
    <w:rsid w:val="00DC3B87"/>
    <w:rsid w:val="00DC3F44"/>
    <w:rsid w:val="00DC5579"/>
    <w:rsid w:val="00DC55B6"/>
    <w:rsid w:val="00DC5ADD"/>
    <w:rsid w:val="00DC5C4D"/>
    <w:rsid w:val="00DC6C4E"/>
    <w:rsid w:val="00DC7365"/>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67"/>
    <w:rsid w:val="00DD33AF"/>
    <w:rsid w:val="00DD33B1"/>
    <w:rsid w:val="00DD3732"/>
    <w:rsid w:val="00DD3B4A"/>
    <w:rsid w:val="00DD421A"/>
    <w:rsid w:val="00DD427F"/>
    <w:rsid w:val="00DD43BD"/>
    <w:rsid w:val="00DD49E2"/>
    <w:rsid w:val="00DD49EF"/>
    <w:rsid w:val="00DD4A52"/>
    <w:rsid w:val="00DD4D30"/>
    <w:rsid w:val="00DD50C9"/>
    <w:rsid w:val="00DD51A8"/>
    <w:rsid w:val="00DD5781"/>
    <w:rsid w:val="00DD58A0"/>
    <w:rsid w:val="00DD5CB1"/>
    <w:rsid w:val="00DD60A4"/>
    <w:rsid w:val="00DD63F2"/>
    <w:rsid w:val="00DD64A9"/>
    <w:rsid w:val="00DD6D02"/>
    <w:rsid w:val="00DD6D76"/>
    <w:rsid w:val="00DD7298"/>
    <w:rsid w:val="00DD7761"/>
    <w:rsid w:val="00DD780F"/>
    <w:rsid w:val="00DD7A0F"/>
    <w:rsid w:val="00DD7F34"/>
    <w:rsid w:val="00DE0457"/>
    <w:rsid w:val="00DE0633"/>
    <w:rsid w:val="00DE0A91"/>
    <w:rsid w:val="00DE0B5F"/>
    <w:rsid w:val="00DE0C5A"/>
    <w:rsid w:val="00DE0D20"/>
    <w:rsid w:val="00DE116E"/>
    <w:rsid w:val="00DE1536"/>
    <w:rsid w:val="00DE1BBC"/>
    <w:rsid w:val="00DE1C3C"/>
    <w:rsid w:val="00DE1D01"/>
    <w:rsid w:val="00DE1D37"/>
    <w:rsid w:val="00DE2344"/>
    <w:rsid w:val="00DE2392"/>
    <w:rsid w:val="00DE23F3"/>
    <w:rsid w:val="00DE2933"/>
    <w:rsid w:val="00DE2A11"/>
    <w:rsid w:val="00DE2EB8"/>
    <w:rsid w:val="00DE2FEC"/>
    <w:rsid w:val="00DE36EF"/>
    <w:rsid w:val="00DE3730"/>
    <w:rsid w:val="00DE3A5E"/>
    <w:rsid w:val="00DE3EF8"/>
    <w:rsid w:val="00DE4218"/>
    <w:rsid w:val="00DE4347"/>
    <w:rsid w:val="00DE44FB"/>
    <w:rsid w:val="00DE4521"/>
    <w:rsid w:val="00DE47A7"/>
    <w:rsid w:val="00DE47EC"/>
    <w:rsid w:val="00DE4889"/>
    <w:rsid w:val="00DE50DB"/>
    <w:rsid w:val="00DE5B9D"/>
    <w:rsid w:val="00DE6B15"/>
    <w:rsid w:val="00DE6C7D"/>
    <w:rsid w:val="00DE6F86"/>
    <w:rsid w:val="00DE76B2"/>
    <w:rsid w:val="00DE76C3"/>
    <w:rsid w:val="00DE79E8"/>
    <w:rsid w:val="00DE7B73"/>
    <w:rsid w:val="00DF032F"/>
    <w:rsid w:val="00DF08A3"/>
    <w:rsid w:val="00DF0A41"/>
    <w:rsid w:val="00DF106F"/>
    <w:rsid w:val="00DF109A"/>
    <w:rsid w:val="00DF2B94"/>
    <w:rsid w:val="00DF2C64"/>
    <w:rsid w:val="00DF3013"/>
    <w:rsid w:val="00DF3125"/>
    <w:rsid w:val="00DF3391"/>
    <w:rsid w:val="00DF3529"/>
    <w:rsid w:val="00DF3AE1"/>
    <w:rsid w:val="00DF3D3C"/>
    <w:rsid w:val="00DF4230"/>
    <w:rsid w:val="00DF450B"/>
    <w:rsid w:val="00DF4F1B"/>
    <w:rsid w:val="00DF5BE8"/>
    <w:rsid w:val="00DF5EBF"/>
    <w:rsid w:val="00DF6138"/>
    <w:rsid w:val="00DF6238"/>
    <w:rsid w:val="00DF631B"/>
    <w:rsid w:val="00DF63B4"/>
    <w:rsid w:val="00DF65A8"/>
    <w:rsid w:val="00DF66F7"/>
    <w:rsid w:val="00DF6BD9"/>
    <w:rsid w:val="00DF6C0C"/>
    <w:rsid w:val="00DF7348"/>
    <w:rsid w:val="00DF769F"/>
    <w:rsid w:val="00DF774F"/>
    <w:rsid w:val="00DF7A3A"/>
    <w:rsid w:val="00DF7EE9"/>
    <w:rsid w:val="00E000EC"/>
    <w:rsid w:val="00E0072F"/>
    <w:rsid w:val="00E00C35"/>
    <w:rsid w:val="00E00E21"/>
    <w:rsid w:val="00E01097"/>
    <w:rsid w:val="00E011D0"/>
    <w:rsid w:val="00E01353"/>
    <w:rsid w:val="00E01C6E"/>
    <w:rsid w:val="00E01E87"/>
    <w:rsid w:val="00E01F99"/>
    <w:rsid w:val="00E02121"/>
    <w:rsid w:val="00E0291A"/>
    <w:rsid w:val="00E02B52"/>
    <w:rsid w:val="00E02CC2"/>
    <w:rsid w:val="00E03A4F"/>
    <w:rsid w:val="00E03D12"/>
    <w:rsid w:val="00E03DDF"/>
    <w:rsid w:val="00E03E22"/>
    <w:rsid w:val="00E042BA"/>
    <w:rsid w:val="00E04BF8"/>
    <w:rsid w:val="00E0510E"/>
    <w:rsid w:val="00E05D47"/>
    <w:rsid w:val="00E05DD8"/>
    <w:rsid w:val="00E061C6"/>
    <w:rsid w:val="00E06AA5"/>
    <w:rsid w:val="00E06AB2"/>
    <w:rsid w:val="00E06DF8"/>
    <w:rsid w:val="00E06FF8"/>
    <w:rsid w:val="00E07312"/>
    <w:rsid w:val="00E075D1"/>
    <w:rsid w:val="00E104E9"/>
    <w:rsid w:val="00E1079A"/>
    <w:rsid w:val="00E10ADC"/>
    <w:rsid w:val="00E10C87"/>
    <w:rsid w:val="00E10F5E"/>
    <w:rsid w:val="00E1124E"/>
    <w:rsid w:val="00E11584"/>
    <w:rsid w:val="00E11B86"/>
    <w:rsid w:val="00E120DE"/>
    <w:rsid w:val="00E13682"/>
    <w:rsid w:val="00E1418D"/>
    <w:rsid w:val="00E14614"/>
    <w:rsid w:val="00E14C87"/>
    <w:rsid w:val="00E14D70"/>
    <w:rsid w:val="00E14DDE"/>
    <w:rsid w:val="00E14FEC"/>
    <w:rsid w:val="00E15797"/>
    <w:rsid w:val="00E160D6"/>
    <w:rsid w:val="00E16807"/>
    <w:rsid w:val="00E16A4E"/>
    <w:rsid w:val="00E16B7A"/>
    <w:rsid w:val="00E2034D"/>
    <w:rsid w:val="00E206A5"/>
    <w:rsid w:val="00E20F5B"/>
    <w:rsid w:val="00E2113A"/>
    <w:rsid w:val="00E21340"/>
    <w:rsid w:val="00E2180C"/>
    <w:rsid w:val="00E2325A"/>
    <w:rsid w:val="00E235F7"/>
    <w:rsid w:val="00E238AD"/>
    <w:rsid w:val="00E23C79"/>
    <w:rsid w:val="00E240C2"/>
    <w:rsid w:val="00E245E1"/>
    <w:rsid w:val="00E25101"/>
    <w:rsid w:val="00E25402"/>
    <w:rsid w:val="00E254BF"/>
    <w:rsid w:val="00E25591"/>
    <w:rsid w:val="00E25F6E"/>
    <w:rsid w:val="00E25F94"/>
    <w:rsid w:val="00E26A49"/>
    <w:rsid w:val="00E26C4F"/>
    <w:rsid w:val="00E26FF5"/>
    <w:rsid w:val="00E27341"/>
    <w:rsid w:val="00E273FA"/>
    <w:rsid w:val="00E27941"/>
    <w:rsid w:val="00E27F1D"/>
    <w:rsid w:val="00E30157"/>
    <w:rsid w:val="00E307A1"/>
    <w:rsid w:val="00E307F1"/>
    <w:rsid w:val="00E310AD"/>
    <w:rsid w:val="00E314D1"/>
    <w:rsid w:val="00E31794"/>
    <w:rsid w:val="00E3192C"/>
    <w:rsid w:val="00E31ACC"/>
    <w:rsid w:val="00E31E26"/>
    <w:rsid w:val="00E321ED"/>
    <w:rsid w:val="00E327C2"/>
    <w:rsid w:val="00E3291F"/>
    <w:rsid w:val="00E32950"/>
    <w:rsid w:val="00E33209"/>
    <w:rsid w:val="00E3399D"/>
    <w:rsid w:val="00E343F9"/>
    <w:rsid w:val="00E34C7D"/>
    <w:rsid w:val="00E34E04"/>
    <w:rsid w:val="00E35474"/>
    <w:rsid w:val="00E3576C"/>
    <w:rsid w:val="00E35BBF"/>
    <w:rsid w:val="00E35DAC"/>
    <w:rsid w:val="00E36BD9"/>
    <w:rsid w:val="00E36C17"/>
    <w:rsid w:val="00E37014"/>
    <w:rsid w:val="00E379BD"/>
    <w:rsid w:val="00E37D33"/>
    <w:rsid w:val="00E4055F"/>
    <w:rsid w:val="00E40977"/>
    <w:rsid w:val="00E409E2"/>
    <w:rsid w:val="00E4110B"/>
    <w:rsid w:val="00E41629"/>
    <w:rsid w:val="00E42994"/>
    <w:rsid w:val="00E42A17"/>
    <w:rsid w:val="00E42A8A"/>
    <w:rsid w:val="00E43196"/>
    <w:rsid w:val="00E437E5"/>
    <w:rsid w:val="00E43813"/>
    <w:rsid w:val="00E441DC"/>
    <w:rsid w:val="00E44544"/>
    <w:rsid w:val="00E445D5"/>
    <w:rsid w:val="00E44BD0"/>
    <w:rsid w:val="00E454E9"/>
    <w:rsid w:val="00E455FC"/>
    <w:rsid w:val="00E45A95"/>
    <w:rsid w:val="00E45B1F"/>
    <w:rsid w:val="00E4639A"/>
    <w:rsid w:val="00E46BF2"/>
    <w:rsid w:val="00E47000"/>
    <w:rsid w:val="00E471B5"/>
    <w:rsid w:val="00E472EB"/>
    <w:rsid w:val="00E47B23"/>
    <w:rsid w:val="00E47B31"/>
    <w:rsid w:val="00E47BAC"/>
    <w:rsid w:val="00E50595"/>
    <w:rsid w:val="00E506DB"/>
    <w:rsid w:val="00E50C6D"/>
    <w:rsid w:val="00E513E7"/>
    <w:rsid w:val="00E51681"/>
    <w:rsid w:val="00E525DE"/>
    <w:rsid w:val="00E52A20"/>
    <w:rsid w:val="00E52D4A"/>
    <w:rsid w:val="00E530DF"/>
    <w:rsid w:val="00E5336E"/>
    <w:rsid w:val="00E5396F"/>
    <w:rsid w:val="00E53F9E"/>
    <w:rsid w:val="00E543BC"/>
    <w:rsid w:val="00E54662"/>
    <w:rsid w:val="00E54EFC"/>
    <w:rsid w:val="00E54F60"/>
    <w:rsid w:val="00E551F6"/>
    <w:rsid w:val="00E552B2"/>
    <w:rsid w:val="00E5596C"/>
    <w:rsid w:val="00E564FD"/>
    <w:rsid w:val="00E565EC"/>
    <w:rsid w:val="00E56D57"/>
    <w:rsid w:val="00E56FFF"/>
    <w:rsid w:val="00E5792E"/>
    <w:rsid w:val="00E57A36"/>
    <w:rsid w:val="00E57CA4"/>
    <w:rsid w:val="00E600B2"/>
    <w:rsid w:val="00E60259"/>
    <w:rsid w:val="00E60486"/>
    <w:rsid w:val="00E6095D"/>
    <w:rsid w:val="00E60BDE"/>
    <w:rsid w:val="00E6116F"/>
    <w:rsid w:val="00E61789"/>
    <w:rsid w:val="00E61905"/>
    <w:rsid w:val="00E61D02"/>
    <w:rsid w:val="00E62150"/>
    <w:rsid w:val="00E622DF"/>
    <w:rsid w:val="00E624F5"/>
    <w:rsid w:val="00E626D0"/>
    <w:rsid w:val="00E626E8"/>
    <w:rsid w:val="00E62A8D"/>
    <w:rsid w:val="00E631EE"/>
    <w:rsid w:val="00E63472"/>
    <w:rsid w:val="00E63988"/>
    <w:rsid w:val="00E63D41"/>
    <w:rsid w:val="00E63D97"/>
    <w:rsid w:val="00E63FF8"/>
    <w:rsid w:val="00E64051"/>
    <w:rsid w:val="00E64B10"/>
    <w:rsid w:val="00E64DF5"/>
    <w:rsid w:val="00E651EB"/>
    <w:rsid w:val="00E657B7"/>
    <w:rsid w:val="00E65AB8"/>
    <w:rsid w:val="00E65BE6"/>
    <w:rsid w:val="00E65CFF"/>
    <w:rsid w:val="00E660A7"/>
    <w:rsid w:val="00E6614B"/>
    <w:rsid w:val="00E66675"/>
    <w:rsid w:val="00E6684B"/>
    <w:rsid w:val="00E66928"/>
    <w:rsid w:val="00E66B09"/>
    <w:rsid w:val="00E6724B"/>
    <w:rsid w:val="00E67918"/>
    <w:rsid w:val="00E67CF0"/>
    <w:rsid w:val="00E70622"/>
    <w:rsid w:val="00E70A1C"/>
    <w:rsid w:val="00E70DCC"/>
    <w:rsid w:val="00E70F6D"/>
    <w:rsid w:val="00E70FE7"/>
    <w:rsid w:val="00E71596"/>
    <w:rsid w:val="00E71684"/>
    <w:rsid w:val="00E7182F"/>
    <w:rsid w:val="00E71BB4"/>
    <w:rsid w:val="00E7255D"/>
    <w:rsid w:val="00E72F72"/>
    <w:rsid w:val="00E72F9A"/>
    <w:rsid w:val="00E73B48"/>
    <w:rsid w:val="00E74295"/>
    <w:rsid w:val="00E743AB"/>
    <w:rsid w:val="00E743C8"/>
    <w:rsid w:val="00E74881"/>
    <w:rsid w:val="00E74ECD"/>
    <w:rsid w:val="00E75290"/>
    <w:rsid w:val="00E759BC"/>
    <w:rsid w:val="00E75A18"/>
    <w:rsid w:val="00E75DF3"/>
    <w:rsid w:val="00E76006"/>
    <w:rsid w:val="00E76050"/>
    <w:rsid w:val="00E76156"/>
    <w:rsid w:val="00E769C1"/>
    <w:rsid w:val="00E77160"/>
    <w:rsid w:val="00E772CA"/>
    <w:rsid w:val="00E775F5"/>
    <w:rsid w:val="00E77748"/>
    <w:rsid w:val="00E778FD"/>
    <w:rsid w:val="00E77B34"/>
    <w:rsid w:val="00E77BC0"/>
    <w:rsid w:val="00E77F99"/>
    <w:rsid w:val="00E80261"/>
    <w:rsid w:val="00E80B31"/>
    <w:rsid w:val="00E8115B"/>
    <w:rsid w:val="00E8167C"/>
    <w:rsid w:val="00E81AEF"/>
    <w:rsid w:val="00E81B58"/>
    <w:rsid w:val="00E8282C"/>
    <w:rsid w:val="00E83359"/>
    <w:rsid w:val="00E839A5"/>
    <w:rsid w:val="00E83AA9"/>
    <w:rsid w:val="00E83FD8"/>
    <w:rsid w:val="00E84267"/>
    <w:rsid w:val="00E845B3"/>
    <w:rsid w:val="00E84D99"/>
    <w:rsid w:val="00E84EFF"/>
    <w:rsid w:val="00E85441"/>
    <w:rsid w:val="00E85612"/>
    <w:rsid w:val="00E85963"/>
    <w:rsid w:val="00E85F5D"/>
    <w:rsid w:val="00E863AF"/>
    <w:rsid w:val="00E86707"/>
    <w:rsid w:val="00E867F5"/>
    <w:rsid w:val="00E86A21"/>
    <w:rsid w:val="00E86D75"/>
    <w:rsid w:val="00E87F7B"/>
    <w:rsid w:val="00E901B6"/>
    <w:rsid w:val="00E903B3"/>
    <w:rsid w:val="00E904D1"/>
    <w:rsid w:val="00E90956"/>
    <w:rsid w:val="00E90AF0"/>
    <w:rsid w:val="00E90E02"/>
    <w:rsid w:val="00E911DB"/>
    <w:rsid w:val="00E913F4"/>
    <w:rsid w:val="00E91AA3"/>
    <w:rsid w:val="00E91E42"/>
    <w:rsid w:val="00E91EC5"/>
    <w:rsid w:val="00E92054"/>
    <w:rsid w:val="00E92097"/>
    <w:rsid w:val="00E92111"/>
    <w:rsid w:val="00E92AB2"/>
    <w:rsid w:val="00E9387F"/>
    <w:rsid w:val="00E93945"/>
    <w:rsid w:val="00E939F5"/>
    <w:rsid w:val="00E93CC4"/>
    <w:rsid w:val="00E93F75"/>
    <w:rsid w:val="00E94049"/>
    <w:rsid w:val="00E944CA"/>
    <w:rsid w:val="00E9530A"/>
    <w:rsid w:val="00E95F6F"/>
    <w:rsid w:val="00E961F1"/>
    <w:rsid w:val="00E96C96"/>
    <w:rsid w:val="00E972C7"/>
    <w:rsid w:val="00E97875"/>
    <w:rsid w:val="00E979BF"/>
    <w:rsid w:val="00E97D88"/>
    <w:rsid w:val="00EA058F"/>
    <w:rsid w:val="00EA066B"/>
    <w:rsid w:val="00EA08C6"/>
    <w:rsid w:val="00EA0A92"/>
    <w:rsid w:val="00EA0BFB"/>
    <w:rsid w:val="00EA0DE1"/>
    <w:rsid w:val="00EA1644"/>
    <w:rsid w:val="00EA17F9"/>
    <w:rsid w:val="00EA1A8B"/>
    <w:rsid w:val="00EA2106"/>
    <w:rsid w:val="00EA33A3"/>
    <w:rsid w:val="00EA3679"/>
    <w:rsid w:val="00EA4088"/>
    <w:rsid w:val="00EA447A"/>
    <w:rsid w:val="00EA468A"/>
    <w:rsid w:val="00EA4F83"/>
    <w:rsid w:val="00EA525C"/>
    <w:rsid w:val="00EA53A3"/>
    <w:rsid w:val="00EA5563"/>
    <w:rsid w:val="00EA62BB"/>
    <w:rsid w:val="00EA7341"/>
    <w:rsid w:val="00EA7842"/>
    <w:rsid w:val="00EA7A71"/>
    <w:rsid w:val="00EA7CC1"/>
    <w:rsid w:val="00EB0A85"/>
    <w:rsid w:val="00EB0C91"/>
    <w:rsid w:val="00EB0CC9"/>
    <w:rsid w:val="00EB1039"/>
    <w:rsid w:val="00EB151C"/>
    <w:rsid w:val="00EB1666"/>
    <w:rsid w:val="00EB1788"/>
    <w:rsid w:val="00EB1870"/>
    <w:rsid w:val="00EB1BA5"/>
    <w:rsid w:val="00EB1CA9"/>
    <w:rsid w:val="00EB29F1"/>
    <w:rsid w:val="00EB3520"/>
    <w:rsid w:val="00EB3EB5"/>
    <w:rsid w:val="00EB3F91"/>
    <w:rsid w:val="00EB4352"/>
    <w:rsid w:val="00EB54E0"/>
    <w:rsid w:val="00EB5829"/>
    <w:rsid w:val="00EB6B08"/>
    <w:rsid w:val="00EB6D14"/>
    <w:rsid w:val="00EB6F6B"/>
    <w:rsid w:val="00EB73A3"/>
    <w:rsid w:val="00EB7423"/>
    <w:rsid w:val="00EB76F5"/>
    <w:rsid w:val="00EB774C"/>
    <w:rsid w:val="00EB778F"/>
    <w:rsid w:val="00EC020A"/>
    <w:rsid w:val="00EC0544"/>
    <w:rsid w:val="00EC0816"/>
    <w:rsid w:val="00EC094B"/>
    <w:rsid w:val="00EC0CD0"/>
    <w:rsid w:val="00EC0EB7"/>
    <w:rsid w:val="00EC1A49"/>
    <w:rsid w:val="00EC1A4F"/>
    <w:rsid w:val="00EC1E72"/>
    <w:rsid w:val="00EC2554"/>
    <w:rsid w:val="00EC2929"/>
    <w:rsid w:val="00EC2ACF"/>
    <w:rsid w:val="00EC2E68"/>
    <w:rsid w:val="00EC2FC2"/>
    <w:rsid w:val="00EC39B8"/>
    <w:rsid w:val="00EC4086"/>
    <w:rsid w:val="00EC5492"/>
    <w:rsid w:val="00EC56BC"/>
    <w:rsid w:val="00EC5A6D"/>
    <w:rsid w:val="00EC5D61"/>
    <w:rsid w:val="00EC5FB6"/>
    <w:rsid w:val="00EC60AF"/>
    <w:rsid w:val="00EC626C"/>
    <w:rsid w:val="00EC626F"/>
    <w:rsid w:val="00EC64EA"/>
    <w:rsid w:val="00EC6AD0"/>
    <w:rsid w:val="00EC6C1C"/>
    <w:rsid w:val="00EC6DBF"/>
    <w:rsid w:val="00EC6F75"/>
    <w:rsid w:val="00EC73EF"/>
    <w:rsid w:val="00EC74F9"/>
    <w:rsid w:val="00EC7900"/>
    <w:rsid w:val="00EC7F41"/>
    <w:rsid w:val="00ED0FEB"/>
    <w:rsid w:val="00ED1024"/>
    <w:rsid w:val="00ED19C4"/>
    <w:rsid w:val="00ED2028"/>
    <w:rsid w:val="00ED2AFB"/>
    <w:rsid w:val="00ED2E47"/>
    <w:rsid w:val="00ED2E81"/>
    <w:rsid w:val="00ED2E9F"/>
    <w:rsid w:val="00ED3452"/>
    <w:rsid w:val="00ED395B"/>
    <w:rsid w:val="00ED3A60"/>
    <w:rsid w:val="00ED4063"/>
    <w:rsid w:val="00ED4175"/>
    <w:rsid w:val="00ED4252"/>
    <w:rsid w:val="00ED43E5"/>
    <w:rsid w:val="00ED454F"/>
    <w:rsid w:val="00ED4822"/>
    <w:rsid w:val="00ED4923"/>
    <w:rsid w:val="00ED51D4"/>
    <w:rsid w:val="00ED537F"/>
    <w:rsid w:val="00ED53A1"/>
    <w:rsid w:val="00ED56A7"/>
    <w:rsid w:val="00ED6AD3"/>
    <w:rsid w:val="00ED6B3C"/>
    <w:rsid w:val="00ED6C3A"/>
    <w:rsid w:val="00ED6E3D"/>
    <w:rsid w:val="00ED6F98"/>
    <w:rsid w:val="00ED785B"/>
    <w:rsid w:val="00ED7D7F"/>
    <w:rsid w:val="00EE081C"/>
    <w:rsid w:val="00EE0BEF"/>
    <w:rsid w:val="00EE1295"/>
    <w:rsid w:val="00EE1807"/>
    <w:rsid w:val="00EE1A3D"/>
    <w:rsid w:val="00EE1C9F"/>
    <w:rsid w:val="00EE26A0"/>
    <w:rsid w:val="00EE2716"/>
    <w:rsid w:val="00EE2921"/>
    <w:rsid w:val="00EE2F49"/>
    <w:rsid w:val="00EE2FA9"/>
    <w:rsid w:val="00EE303C"/>
    <w:rsid w:val="00EE30D1"/>
    <w:rsid w:val="00EE3294"/>
    <w:rsid w:val="00EE3383"/>
    <w:rsid w:val="00EE3876"/>
    <w:rsid w:val="00EE3B08"/>
    <w:rsid w:val="00EE408E"/>
    <w:rsid w:val="00EE4129"/>
    <w:rsid w:val="00EE442C"/>
    <w:rsid w:val="00EE46DD"/>
    <w:rsid w:val="00EE4903"/>
    <w:rsid w:val="00EE5A74"/>
    <w:rsid w:val="00EE636E"/>
    <w:rsid w:val="00EE648C"/>
    <w:rsid w:val="00EE669F"/>
    <w:rsid w:val="00EE6BD8"/>
    <w:rsid w:val="00EE7134"/>
    <w:rsid w:val="00EE73C5"/>
    <w:rsid w:val="00EE7603"/>
    <w:rsid w:val="00EE766D"/>
    <w:rsid w:val="00EE7687"/>
    <w:rsid w:val="00EE78B4"/>
    <w:rsid w:val="00EE79E5"/>
    <w:rsid w:val="00EF00D4"/>
    <w:rsid w:val="00EF0B64"/>
    <w:rsid w:val="00EF1123"/>
    <w:rsid w:val="00EF192D"/>
    <w:rsid w:val="00EF2EC9"/>
    <w:rsid w:val="00EF3245"/>
    <w:rsid w:val="00EF3B8C"/>
    <w:rsid w:val="00EF40DC"/>
    <w:rsid w:val="00EF41E1"/>
    <w:rsid w:val="00EF44AF"/>
    <w:rsid w:val="00EF4699"/>
    <w:rsid w:val="00EF477B"/>
    <w:rsid w:val="00EF5009"/>
    <w:rsid w:val="00EF51A2"/>
    <w:rsid w:val="00EF58CF"/>
    <w:rsid w:val="00EF5C2F"/>
    <w:rsid w:val="00EF6421"/>
    <w:rsid w:val="00EF6476"/>
    <w:rsid w:val="00EF6605"/>
    <w:rsid w:val="00EF6C9F"/>
    <w:rsid w:val="00EF6ED6"/>
    <w:rsid w:val="00EF6F81"/>
    <w:rsid w:val="00EF7344"/>
    <w:rsid w:val="00EF7966"/>
    <w:rsid w:val="00EF7D24"/>
    <w:rsid w:val="00F001C2"/>
    <w:rsid w:val="00F002CC"/>
    <w:rsid w:val="00F00748"/>
    <w:rsid w:val="00F00826"/>
    <w:rsid w:val="00F00EC4"/>
    <w:rsid w:val="00F00FFC"/>
    <w:rsid w:val="00F018CD"/>
    <w:rsid w:val="00F0259A"/>
    <w:rsid w:val="00F02A08"/>
    <w:rsid w:val="00F02CE0"/>
    <w:rsid w:val="00F02FC6"/>
    <w:rsid w:val="00F031E8"/>
    <w:rsid w:val="00F03455"/>
    <w:rsid w:val="00F03555"/>
    <w:rsid w:val="00F036B1"/>
    <w:rsid w:val="00F04010"/>
    <w:rsid w:val="00F04217"/>
    <w:rsid w:val="00F04289"/>
    <w:rsid w:val="00F04DA1"/>
    <w:rsid w:val="00F051B6"/>
    <w:rsid w:val="00F05292"/>
    <w:rsid w:val="00F054E5"/>
    <w:rsid w:val="00F054ED"/>
    <w:rsid w:val="00F05CA0"/>
    <w:rsid w:val="00F0615A"/>
    <w:rsid w:val="00F06232"/>
    <w:rsid w:val="00F06371"/>
    <w:rsid w:val="00F06C8E"/>
    <w:rsid w:val="00F06F73"/>
    <w:rsid w:val="00F07072"/>
    <w:rsid w:val="00F0734C"/>
    <w:rsid w:val="00F076C1"/>
    <w:rsid w:val="00F07C7C"/>
    <w:rsid w:val="00F07FFE"/>
    <w:rsid w:val="00F108C0"/>
    <w:rsid w:val="00F10A2A"/>
    <w:rsid w:val="00F10DD2"/>
    <w:rsid w:val="00F11063"/>
    <w:rsid w:val="00F1114D"/>
    <w:rsid w:val="00F1150E"/>
    <w:rsid w:val="00F11607"/>
    <w:rsid w:val="00F11C0E"/>
    <w:rsid w:val="00F12538"/>
    <w:rsid w:val="00F12641"/>
    <w:rsid w:val="00F1267C"/>
    <w:rsid w:val="00F12CD4"/>
    <w:rsid w:val="00F1351F"/>
    <w:rsid w:val="00F13D69"/>
    <w:rsid w:val="00F14033"/>
    <w:rsid w:val="00F1409B"/>
    <w:rsid w:val="00F14116"/>
    <w:rsid w:val="00F14340"/>
    <w:rsid w:val="00F147BF"/>
    <w:rsid w:val="00F14A8D"/>
    <w:rsid w:val="00F14F5A"/>
    <w:rsid w:val="00F151E5"/>
    <w:rsid w:val="00F15320"/>
    <w:rsid w:val="00F15439"/>
    <w:rsid w:val="00F1591D"/>
    <w:rsid w:val="00F15ECB"/>
    <w:rsid w:val="00F16145"/>
    <w:rsid w:val="00F1634E"/>
    <w:rsid w:val="00F16411"/>
    <w:rsid w:val="00F164FC"/>
    <w:rsid w:val="00F16670"/>
    <w:rsid w:val="00F168AB"/>
    <w:rsid w:val="00F16A7E"/>
    <w:rsid w:val="00F16EC7"/>
    <w:rsid w:val="00F17170"/>
    <w:rsid w:val="00F176D2"/>
    <w:rsid w:val="00F17A4A"/>
    <w:rsid w:val="00F17FF8"/>
    <w:rsid w:val="00F2007B"/>
    <w:rsid w:val="00F205EF"/>
    <w:rsid w:val="00F207BD"/>
    <w:rsid w:val="00F208B4"/>
    <w:rsid w:val="00F212AC"/>
    <w:rsid w:val="00F215DD"/>
    <w:rsid w:val="00F21EC6"/>
    <w:rsid w:val="00F21F45"/>
    <w:rsid w:val="00F229D3"/>
    <w:rsid w:val="00F22FA5"/>
    <w:rsid w:val="00F2379C"/>
    <w:rsid w:val="00F23ED6"/>
    <w:rsid w:val="00F24A4D"/>
    <w:rsid w:val="00F24E32"/>
    <w:rsid w:val="00F25971"/>
    <w:rsid w:val="00F25F35"/>
    <w:rsid w:val="00F263BD"/>
    <w:rsid w:val="00F265D4"/>
    <w:rsid w:val="00F26F1D"/>
    <w:rsid w:val="00F271AF"/>
    <w:rsid w:val="00F2753A"/>
    <w:rsid w:val="00F2760B"/>
    <w:rsid w:val="00F278C8"/>
    <w:rsid w:val="00F304D5"/>
    <w:rsid w:val="00F31BCB"/>
    <w:rsid w:val="00F31E19"/>
    <w:rsid w:val="00F31EE3"/>
    <w:rsid w:val="00F32067"/>
    <w:rsid w:val="00F321C5"/>
    <w:rsid w:val="00F32C46"/>
    <w:rsid w:val="00F33C36"/>
    <w:rsid w:val="00F342C1"/>
    <w:rsid w:val="00F34B05"/>
    <w:rsid w:val="00F34FEA"/>
    <w:rsid w:val="00F3543F"/>
    <w:rsid w:val="00F355DD"/>
    <w:rsid w:val="00F360B8"/>
    <w:rsid w:val="00F360D2"/>
    <w:rsid w:val="00F363B7"/>
    <w:rsid w:val="00F36708"/>
    <w:rsid w:val="00F3694E"/>
    <w:rsid w:val="00F36E04"/>
    <w:rsid w:val="00F37694"/>
    <w:rsid w:val="00F37878"/>
    <w:rsid w:val="00F379C0"/>
    <w:rsid w:val="00F37A73"/>
    <w:rsid w:val="00F37D25"/>
    <w:rsid w:val="00F40041"/>
    <w:rsid w:val="00F40868"/>
    <w:rsid w:val="00F40CFE"/>
    <w:rsid w:val="00F40DCF"/>
    <w:rsid w:val="00F41887"/>
    <w:rsid w:val="00F41901"/>
    <w:rsid w:val="00F41A2F"/>
    <w:rsid w:val="00F42189"/>
    <w:rsid w:val="00F42305"/>
    <w:rsid w:val="00F425F9"/>
    <w:rsid w:val="00F429D6"/>
    <w:rsid w:val="00F432CC"/>
    <w:rsid w:val="00F43702"/>
    <w:rsid w:val="00F43C84"/>
    <w:rsid w:val="00F4482A"/>
    <w:rsid w:val="00F44B45"/>
    <w:rsid w:val="00F451E7"/>
    <w:rsid w:val="00F454F7"/>
    <w:rsid w:val="00F45BC8"/>
    <w:rsid w:val="00F46012"/>
    <w:rsid w:val="00F46255"/>
    <w:rsid w:val="00F46258"/>
    <w:rsid w:val="00F463D7"/>
    <w:rsid w:val="00F464BD"/>
    <w:rsid w:val="00F46522"/>
    <w:rsid w:val="00F468DC"/>
    <w:rsid w:val="00F46FBA"/>
    <w:rsid w:val="00F47346"/>
    <w:rsid w:val="00F473DA"/>
    <w:rsid w:val="00F47796"/>
    <w:rsid w:val="00F478CB"/>
    <w:rsid w:val="00F47AA5"/>
    <w:rsid w:val="00F50727"/>
    <w:rsid w:val="00F5074B"/>
    <w:rsid w:val="00F509BE"/>
    <w:rsid w:val="00F50FC2"/>
    <w:rsid w:val="00F515CB"/>
    <w:rsid w:val="00F523A4"/>
    <w:rsid w:val="00F52486"/>
    <w:rsid w:val="00F524A7"/>
    <w:rsid w:val="00F52733"/>
    <w:rsid w:val="00F52946"/>
    <w:rsid w:val="00F52A7C"/>
    <w:rsid w:val="00F52B25"/>
    <w:rsid w:val="00F53C07"/>
    <w:rsid w:val="00F544CA"/>
    <w:rsid w:val="00F54877"/>
    <w:rsid w:val="00F5497B"/>
    <w:rsid w:val="00F54B49"/>
    <w:rsid w:val="00F54D26"/>
    <w:rsid w:val="00F54D73"/>
    <w:rsid w:val="00F55323"/>
    <w:rsid w:val="00F55661"/>
    <w:rsid w:val="00F55A97"/>
    <w:rsid w:val="00F56787"/>
    <w:rsid w:val="00F567B5"/>
    <w:rsid w:val="00F567EF"/>
    <w:rsid w:val="00F56A92"/>
    <w:rsid w:val="00F56CD4"/>
    <w:rsid w:val="00F61980"/>
    <w:rsid w:val="00F623E0"/>
    <w:rsid w:val="00F62592"/>
    <w:rsid w:val="00F62E01"/>
    <w:rsid w:val="00F62E1C"/>
    <w:rsid w:val="00F6368E"/>
    <w:rsid w:val="00F6389B"/>
    <w:rsid w:val="00F638C7"/>
    <w:rsid w:val="00F639F2"/>
    <w:rsid w:val="00F64EFE"/>
    <w:rsid w:val="00F65577"/>
    <w:rsid w:val="00F656B2"/>
    <w:rsid w:val="00F65CE9"/>
    <w:rsid w:val="00F65DA6"/>
    <w:rsid w:val="00F65F0C"/>
    <w:rsid w:val="00F65FA4"/>
    <w:rsid w:val="00F6645C"/>
    <w:rsid w:val="00F66461"/>
    <w:rsid w:val="00F66726"/>
    <w:rsid w:val="00F676B9"/>
    <w:rsid w:val="00F67D03"/>
    <w:rsid w:val="00F707F8"/>
    <w:rsid w:val="00F714FF"/>
    <w:rsid w:val="00F72BD0"/>
    <w:rsid w:val="00F737AF"/>
    <w:rsid w:val="00F744E0"/>
    <w:rsid w:val="00F74596"/>
    <w:rsid w:val="00F745A9"/>
    <w:rsid w:val="00F74819"/>
    <w:rsid w:val="00F74847"/>
    <w:rsid w:val="00F74CAE"/>
    <w:rsid w:val="00F74EFB"/>
    <w:rsid w:val="00F758E0"/>
    <w:rsid w:val="00F768BF"/>
    <w:rsid w:val="00F76CD8"/>
    <w:rsid w:val="00F76DF0"/>
    <w:rsid w:val="00F76E85"/>
    <w:rsid w:val="00F772D4"/>
    <w:rsid w:val="00F77CAF"/>
    <w:rsid w:val="00F77CCE"/>
    <w:rsid w:val="00F80642"/>
    <w:rsid w:val="00F80C86"/>
    <w:rsid w:val="00F80F93"/>
    <w:rsid w:val="00F81082"/>
    <w:rsid w:val="00F8113B"/>
    <w:rsid w:val="00F81171"/>
    <w:rsid w:val="00F816D9"/>
    <w:rsid w:val="00F817E3"/>
    <w:rsid w:val="00F81ACA"/>
    <w:rsid w:val="00F81BB2"/>
    <w:rsid w:val="00F81F14"/>
    <w:rsid w:val="00F82562"/>
    <w:rsid w:val="00F82D0E"/>
    <w:rsid w:val="00F82D13"/>
    <w:rsid w:val="00F82D5B"/>
    <w:rsid w:val="00F82E46"/>
    <w:rsid w:val="00F834A1"/>
    <w:rsid w:val="00F838DA"/>
    <w:rsid w:val="00F8511F"/>
    <w:rsid w:val="00F85228"/>
    <w:rsid w:val="00F85A7D"/>
    <w:rsid w:val="00F85FF9"/>
    <w:rsid w:val="00F86366"/>
    <w:rsid w:val="00F8646B"/>
    <w:rsid w:val="00F86670"/>
    <w:rsid w:val="00F8675E"/>
    <w:rsid w:val="00F869E4"/>
    <w:rsid w:val="00F870DB"/>
    <w:rsid w:val="00F874E0"/>
    <w:rsid w:val="00F874E9"/>
    <w:rsid w:val="00F87650"/>
    <w:rsid w:val="00F87A0A"/>
    <w:rsid w:val="00F9035D"/>
    <w:rsid w:val="00F90B3C"/>
    <w:rsid w:val="00F90BF0"/>
    <w:rsid w:val="00F90F85"/>
    <w:rsid w:val="00F90F94"/>
    <w:rsid w:val="00F910CC"/>
    <w:rsid w:val="00F912C0"/>
    <w:rsid w:val="00F91617"/>
    <w:rsid w:val="00F916B7"/>
    <w:rsid w:val="00F919C4"/>
    <w:rsid w:val="00F91E5E"/>
    <w:rsid w:val="00F921FF"/>
    <w:rsid w:val="00F92715"/>
    <w:rsid w:val="00F92D91"/>
    <w:rsid w:val="00F92DB6"/>
    <w:rsid w:val="00F930B4"/>
    <w:rsid w:val="00F936A8"/>
    <w:rsid w:val="00F9384A"/>
    <w:rsid w:val="00F939DE"/>
    <w:rsid w:val="00F93B1B"/>
    <w:rsid w:val="00F9486A"/>
    <w:rsid w:val="00F949B9"/>
    <w:rsid w:val="00F94A9F"/>
    <w:rsid w:val="00F94B65"/>
    <w:rsid w:val="00F94DAE"/>
    <w:rsid w:val="00F94EE9"/>
    <w:rsid w:val="00F95010"/>
    <w:rsid w:val="00F95286"/>
    <w:rsid w:val="00F95CAD"/>
    <w:rsid w:val="00F96E02"/>
    <w:rsid w:val="00F97411"/>
    <w:rsid w:val="00F97581"/>
    <w:rsid w:val="00F9797A"/>
    <w:rsid w:val="00F97F39"/>
    <w:rsid w:val="00FA02DB"/>
    <w:rsid w:val="00FA05AB"/>
    <w:rsid w:val="00FA099C"/>
    <w:rsid w:val="00FA0A6D"/>
    <w:rsid w:val="00FA0C2D"/>
    <w:rsid w:val="00FA0FC3"/>
    <w:rsid w:val="00FA10B9"/>
    <w:rsid w:val="00FA123B"/>
    <w:rsid w:val="00FA1720"/>
    <w:rsid w:val="00FA1A3B"/>
    <w:rsid w:val="00FA1ECA"/>
    <w:rsid w:val="00FA1F5B"/>
    <w:rsid w:val="00FA2199"/>
    <w:rsid w:val="00FA3134"/>
    <w:rsid w:val="00FA339D"/>
    <w:rsid w:val="00FA358A"/>
    <w:rsid w:val="00FA4271"/>
    <w:rsid w:val="00FA456F"/>
    <w:rsid w:val="00FA482C"/>
    <w:rsid w:val="00FA4983"/>
    <w:rsid w:val="00FA498E"/>
    <w:rsid w:val="00FA55C6"/>
    <w:rsid w:val="00FA5E2C"/>
    <w:rsid w:val="00FA620D"/>
    <w:rsid w:val="00FA639D"/>
    <w:rsid w:val="00FA67A9"/>
    <w:rsid w:val="00FA68AD"/>
    <w:rsid w:val="00FA69D0"/>
    <w:rsid w:val="00FA719D"/>
    <w:rsid w:val="00FA7BEF"/>
    <w:rsid w:val="00FB0142"/>
    <w:rsid w:val="00FB01BD"/>
    <w:rsid w:val="00FB0289"/>
    <w:rsid w:val="00FB04F3"/>
    <w:rsid w:val="00FB0970"/>
    <w:rsid w:val="00FB0A7D"/>
    <w:rsid w:val="00FB0D46"/>
    <w:rsid w:val="00FB1AF9"/>
    <w:rsid w:val="00FB1D6B"/>
    <w:rsid w:val="00FB2A7F"/>
    <w:rsid w:val="00FB2D62"/>
    <w:rsid w:val="00FB304E"/>
    <w:rsid w:val="00FB319A"/>
    <w:rsid w:val="00FB391A"/>
    <w:rsid w:val="00FB3CBB"/>
    <w:rsid w:val="00FB4119"/>
    <w:rsid w:val="00FB44C8"/>
    <w:rsid w:val="00FB4520"/>
    <w:rsid w:val="00FB4640"/>
    <w:rsid w:val="00FB4B92"/>
    <w:rsid w:val="00FB4F68"/>
    <w:rsid w:val="00FB509F"/>
    <w:rsid w:val="00FB546F"/>
    <w:rsid w:val="00FB5620"/>
    <w:rsid w:val="00FB569E"/>
    <w:rsid w:val="00FB5F97"/>
    <w:rsid w:val="00FB619C"/>
    <w:rsid w:val="00FB6959"/>
    <w:rsid w:val="00FB6995"/>
    <w:rsid w:val="00FB6F90"/>
    <w:rsid w:val="00FB709C"/>
    <w:rsid w:val="00FB7788"/>
    <w:rsid w:val="00FC00CC"/>
    <w:rsid w:val="00FC04D4"/>
    <w:rsid w:val="00FC0616"/>
    <w:rsid w:val="00FC0B20"/>
    <w:rsid w:val="00FC0EA0"/>
    <w:rsid w:val="00FC1634"/>
    <w:rsid w:val="00FC18CF"/>
    <w:rsid w:val="00FC21E0"/>
    <w:rsid w:val="00FC2BAB"/>
    <w:rsid w:val="00FC312A"/>
    <w:rsid w:val="00FC3C19"/>
    <w:rsid w:val="00FC4161"/>
    <w:rsid w:val="00FC44D9"/>
    <w:rsid w:val="00FC4A1E"/>
    <w:rsid w:val="00FC4B76"/>
    <w:rsid w:val="00FC4F22"/>
    <w:rsid w:val="00FC524D"/>
    <w:rsid w:val="00FC544C"/>
    <w:rsid w:val="00FC5A66"/>
    <w:rsid w:val="00FC5AB8"/>
    <w:rsid w:val="00FC5B0B"/>
    <w:rsid w:val="00FC5C0F"/>
    <w:rsid w:val="00FC5C2F"/>
    <w:rsid w:val="00FC5EA0"/>
    <w:rsid w:val="00FC5F45"/>
    <w:rsid w:val="00FC6062"/>
    <w:rsid w:val="00FC6197"/>
    <w:rsid w:val="00FC6393"/>
    <w:rsid w:val="00FC690A"/>
    <w:rsid w:val="00FC6A35"/>
    <w:rsid w:val="00FC6B8A"/>
    <w:rsid w:val="00FC7625"/>
    <w:rsid w:val="00FC7784"/>
    <w:rsid w:val="00FC7885"/>
    <w:rsid w:val="00FC7CDF"/>
    <w:rsid w:val="00FC7DB9"/>
    <w:rsid w:val="00FD071F"/>
    <w:rsid w:val="00FD0BFD"/>
    <w:rsid w:val="00FD0D4E"/>
    <w:rsid w:val="00FD1676"/>
    <w:rsid w:val="00FD1924"/>
    <w:rsid w:val="00FD1AD5"/>
    <w:rsid w:val="00FD204E"/>
    <w:rsid w:val="00FD3282"/>
    <w:rsid w:val="00FD37C1"/>
    <w:rsid w:val="00FD3D3F"/>
    <w:rsid w:val="00FD4074"/>
    <w:rsid w:val="00FD425D"/>
    <w:rsid w:val="00FD45BD"/>
    <w:rsid w:val="00FD4B0D"/>
    <w:rsid w:val="00FD4C04"/>
    <w:rsid w:val="00FD4C22"/>
    <w:rsid w:val="00FD4DC3"/>
    <w:rsid w:val="00FD4FB2"/>
    <w:rsid w:val="00FD510E"/>
    <w:rsid w:val="00FD5274"/>
    <w:rsid w:val="00FD537E"/>
    <w:rsid w:val="00FD53A2"/>
    <w:rsid w:val="00FD642D"/>
    <w:rsid w:val="00FD675E"/>
    <w:rsid w:val="00FD6B10"/>
    <w:rsid w:val="00FD6FAB"/>
    <w:rsid w:val="00FD74CB"/>
    <w:rsid w:val="00FD7C98"/>
    <w:rsid w:val="00FD7CC7"/>
    <w:rsid w:val="00FD7D5C"/>
    <w:rsid w:val="00FE03F9"/>
    <w:rsid w:val="00FE04D6"/>
    <w:rsid w:val="00FE0781"/>
    <w:rsid w:val="00FE11C2"/>
    <w:rsid w:val="00FE1932"/>
    <w:rsid w:val="00FE19BB"/>
    <w:rsid w:val="00FE1C1B"/>
    <w:rsid w:val="00FE221D"/>
    <w:rsid w:val="00FE22E0"/>
    <w:rsid w:val="00FE23A8"/>
    <w:rsid w:val="00FE2543"/>
    <w:rsid w:val="00FE2EED"/>
    <w:rsid w:val="00FE2F2E"/>
    <w:rsid w:val="00FE3109"/>
    <w:rsid w:val="00FE3339"/>
    <w:rsid w:val="00FE3C31"/>
    <w:rsid w:val="00FE3E01"/>
    <w:rsid w:val="00FE490C"/>
    <w:rsid w:val="00FE492D"/>
    <w:rsid w:val="00FE4981"/>
    <w:rsid w:val="00FE4ABA"/>
    <w:rsid w:val="00FE5341"/>
    <w:rsid w:val="00FE564D"/>
    <w:rsid w:val="00FE56ED"/>
    <w:rsid w:val="00FE5814"/>
    <w:rsid w:val="00FE5A2F"/>
    <w:rsid w:val="00FE5BF1"/>
    <w:rsid w:val="00FE5C86"/>
    <w:rsid w:val="00FE5D67"/>
    <w:rsid w:val="00FE5E0E"/>
    <w:rsid w:val="00FE601A"/>
    <w:rsid w:val="00FE6075"/>
    <w:rsid w:val="00FE6291"/>
    <w:rsid w:val="00FE6588"/>
    <w:rsid w:val="00FE673E"/>
    <w:rsid w:val="00FE6CD1"/>
    <w:rsid w:val="00FE7271"/>
    <w:rsid w:val="00FE7AB0"/>
    <w:rsid w:val="00FE7AE9"/>
    <w:rsid w:val="00FE7BC6"/>
    <w:rsid w:val="00FE7CD2"/>
    <w:rsid w:val="00FF0091"/>
    <w:rsid w:val="00FF0425"/>
    <w:rsid w:val="00FF05AE"/>
    <w:rsid w:val="00FF0CB6"/>
    <w:rsid w:val="00FF0DEF"/>
    <w:rsid w:val="00FF12A1"/>
    <w:rsid w:val="00FF1741"/>
    <w:rsid w:val="00FF19B2"/>
    <w:rsid w:val="00FF2032"/>
    <w:rsid w:val="00FF291F"/>
    <w:rsid w:val="00FF2AB3"/>
    <w:rsid w:val="00FF2BFC"/>
    <w:rsid w:val="00FF2CB0"/>
    <w:rsid w:val="00FF3059"/>
    <w:rsid w:val="00FF3247"/>
    <w:rsid w:val="00FF327E"/>
    <w:rsid w:val="00FF362A"/>
    <w:rsid w:val="00FF37C1"/>
    <w:rsid w:val="00FF4387"/>
    <w:rsid w:val="00FF46E8"/>
    <w:rsid w:val="00FF48EA"/>
    <w:rsid w:val="00FF4CE5"/>
    <w:rsid w:val="00FF4EAE"/>
    <w:rsid w:val="00FF5630"/>
    <w:rsid w:val="00FF56EA"/>
    <w:rsid w:val="00FF5912"/>
    <w:rsid w:val="00FF5955"/>
    <w:rsid w:val="00FF5A0E"/>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5:docId w15:val="{785156EE-2862-4430-986E-465E66284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uiPriority w:val="9"/>
    <w:qFormat/>
    <w:rsid w:val="00A30EDC"/>
    <w:pPr>
      <w:keepNext/>
      <w:tabs>
        <w:tab w:val="left" w:pos="567"/>
      </w:tabs>
      <w:spacing w:before="0" w:line="276" w:lineRule="auto"/>
      <w:ind w:firstLine="426"/>
      <w:jc w:val="center"/>
      <w:outlineLvl w:val="0"/>
    </w:pPr>
    <w:rPr>
      <w:sz w:val="28"/>
      <w:szCs w:val="20"/>
      <w:lang w:val="en-US"/>
    </w:rPr>
  </w:style>
  <w:style w:type="paragraph" w:styleId="Heading2">
    <w:name w:val="heading 2"/>
    <w:aliases w:val="(Chapter),Paranum,Body"/>
    <w:basedOn w:val="Normal"/>
    <w:next w:val="Normal"/>
    <w:link w:val="Heading2Char"/>
    <w:autoRedefine/>
    <w:uiPriority w:val="9"/>
    <w:qFormat/>
    <w:rsid w:val="002F7255"/>
    <w:pPr>
      <w:keepNext/>
      <w:spacing w:before="0" w:line="276" w:lineRule="auto"/>
      <w:jc w:val="center"/>
      <w:outlineLvl w:val="1"/>
    </w:pPr>
    <w:rPr>
      <w:rFonts w:eastAsia="Calibri" w:cs="Times LatArm"/>
      <w:sz w:val="24"/>
      <w:lang w:val="hy-AM" w:eastAsia="en-US"/>
    </w:rPr>
  </w:style>
  <w:style w:type="paragraph" w:styleId="Heading3">
    <w:name w:val="heading 3"/>
    <w:aliases w:val="Centered,(text),(Sub-Chapter),Heading 3 Char Char Char Char Char Char"/>
    <w:basedOn w:val="Normal"/>
    <w:next w:val="Normal"/>
    <w:link w:val="Heading3Char"/>
    <w:autoRedefine/>
    <w:qFormat/>
    <w:rsid w:val="007F28F7"/>
    <w:pPr>
      <w:keepNext/>
      <w:tabs>
        <w:tab w:val="left" w:pos="709"/>
      </w:tabs>
      <w:spacing w:before="0"/>
      <w:ind w:firstLine="36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ebb"/>
    <w:basedOn w:val="Normal"/>
    <w:link w:val="NormalWebChar"/>
    <w:uiPriority w:val="99"/>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8F5CA2"/>
    <w:pPr>
      <w:tabs>
        <w:tab w:val="left" w:pos="284"/>
      </w:tabs>
      <w:spacing w:before="0" w:line="276" w:lineRule="auto"/>
      <w:ind w:firstLine="720"/>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0">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uiPriority w:val="99"/>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uiPriority w:val="34"/>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link w:val="DefaultChar"/>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uiPriority w:val="99"/>
    <w:rsid w:val="00C719CB"/>
    <w:pPr>
      <w:jc w:val="center"/>
    </w:pPr>
    <w:rPr>
      <w:rFonts w:ascii="Arial Armenian" w:hAnsi="Arial Armenian"/>
      <w:szCs w:val="20"/>
      <w:lang w:val="en-US"/>
    </w:rPr>
  </w:style>
  <w:style w:type="character" w:customStyle="1" w:styleId="mechtexChar">
    <w:name w:val="mechtex Char"/>
    <w:link w:val="mechtex"/>
    <w:uiPriority w:val="99"/>
    <w:rsid w:val="00C719CB"/>
    <w:rPr>
      <w:rFonts w:ascii="Arial Armenian" w:hAnsi="Arial Armenian"/>
      <w:sz w:val="22"/>
      <w:lang w:val="en-US" w:eastAsia="ru-RU" w:bidi="ar-SA"/>
    </w:rPr>
  </w:style>
  <w:style w:type="character" w:styleId="Strong">
    <w:name w:val="Strong"/>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uiPriority w:val="99"/>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uiPriority w:val="34"/>
    <w:qFormat/>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6"/>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7"/>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DE6C7D"/>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uiPriority w:val="99"/>
    <w:rsid w:val="00DE6C7D"/>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530B17"/>
    <w:pPr>
      <w:widowControl w:val="0"/>
      <w:spacing w:before="0" w:line="276" w:lineRule="auto"/>
      <w:ind w:firstLine="63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uiPriority w:val="99"/>
    <w:rsid w:val="00FA0FC3"/>
    <w:pPr>
      <w:spacing w:line="240" w:lineRule="auto"/>
    </w:pPr>
    <w:rPr>
      <w:sz w:val="20"/>
      <w:szCs w:val="20"/>
    </w:rPr>
  </w:style>
  <w:style w:type="character" w:customStyle="1" w:styleId="CommentTextChar">
    <w:name w:val="Comment Text Char"/>
    <w:basedOn w:val="DefaultParagraphFont"/>
    <w:link w:val="CommentText"/>
    <w:uiPriority w:val="99"/>
    <w:rsid w:val="00FA0FC3"/>
    <w:rPr>
      <w:rFonts w:ascii="GHEA Grapalat" w:hAnsi="GHEA Grapalat"/>
      <w:lang w:val="ru-RU" w:eastAsia="ru-RU"/>
    </w:rPr>
  </w:style>
  <w:style w:type="paragraph" w:styleId="CommentSubject">
    <w:name w:val="annotation subject"/>
    <w:basedOn w:val="CommentText"/>
    <w:next w:val="CommentText"/>
    <w:link w:val="CommentSubjectChar"/>
    <w:uiPriority w:val="99"/>
    <w:rsid w:val="00FA0FC3"/>
    <w:rPr>
      <w:b w:val="0"/>
      <w:bCs/>
    </w:rPr>
  </w:style>
  <w:style w:type="character" w:customStyle="1" w:styleId="CommentSubjectChar">
    <w:name w:val="Comment Subject Char"/>
    <w:basedOn w:val="CommentTextChar"/>
    <w:link w:val="CommentSubject"/>
    <w:uiPriority w:val="99"/>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ebb Char"/>
    <w:link w:val="NormalWeb"/>
    <w:locked/>
    <w:rsid w:val="008E54BF"/>
    <w:rPr>
      <w:rFonts w:ascii="GHEA Grapalat" w:hAnsi="GHEA Grapalat"/>
      <w:sz w:val="22"/>
      <w:szCs w:val="24"/>
      <w:lang w:val="ru-RU" w:eastAsia="ru-RU"/>
    </w:rPr>
  </w:style>
  <w:style w:type="numbering" w:customStyle="1" w:styleId="NoList1">
    <w:name w:val="No List1"/>
    <w:next w:val="NoList"/>
    <w:uiPriority w:val="99"/>
    <w:semiHidden/>
    <w:unhideWhenUsed/>
    <w:rsid w:val="008E54BF"/>
  </w:style>
  <w:style w:type="character" w:customStyle="1" w:styleId="Heading1Char">
    <w:name w:val="Heading 1 Char"/>
    <w:aliases w:val="(Text) Char,(Section) Char,Section Heading Char,1 Char, 1 Char,Chapter Char,head3 Char"/>
    <w:link w:val="Heading1"/>
    <w:uiPriority w:val="9"/>
    <w:rsid w:val="00A30EDC"/>
    <w:rPr>
      <w:rFonts w:ascii="GHEA Grapalat" w:hAnsi="GHEA Grapalat"/>
      <w:b/>
      <w:sz w:val="28"/>
      <w:lang w:eastAsia="ru-RU"/>
    </w:rPr>
  </w:style>
  <w:style w:type="character" w:customStyle="1" w:styleId="Heading2Char">
    <w:name w:val="Heading 2 Char"/>
    <w:aliases w:val="(Chapter) Char,Paranum Char,Body Char"/>
    <w:link w:val="Heading2"/>
    <w:uiPriority w:val="9"/>
    <w:rsid w:val="002F7255"/>
    <w:rPr>
      <w:rFonts w:ascii="GHEA Grapalat" w:eastAsia="Calibri" w:hAnsi="GHEA Grapalat" w:cs="Times LatArm"/>
      <w:b/>
      <w:sz w:val="24"/>
      <w:szCs w:val="24"/>
      <w:lang w:val="hy-AM"/>
    </w:rPr>
  </w:style>
  <w:style w:type="character" w:customStyle="1" w:styleId="Heading3Char">
    <w:name w:val="Heading 3 Char"/>
    <w:aliases w:val="Centered Char2,(text) Char2,(Sub-Chapter) Char2,Heading 3 Char Char Char Char Char Char Char2"/>
    <w:link w:val="Heading3"/>
    <w:rsid w:val="007F28F7"/>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8F5CA2"/>
    <w:rPr>
      <w:rFonts w:ascii="GHEA Grapalat" w:eastAsia="Calibri" w:hAnsi="GHEA Grapalat"/>
      <w:sz w:val="22"/>
      <w:szCs w:val="22"/>
      <w:lang w:val="hy-AM"/>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uiPriority w:val="99"/>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uiPriority w:val="99"/>
    <w:rsid w:val="008E54BF"/>
    <w:rPr>
      <w:rFonts w:ascii="Tahoma" w:hAnsi="Tahoma" w:cs="Tahoma"/>
      <w:sz w:val="16"/>
      <w:szCs w:val="16"/>
      <w:lang w:val="ru-RU" w:eastAsia="ru-RU"/>
    </w:rPr>
  </w:style>
  <w:style w:type="table" w:customStyle="1" w:styleId="TableGrid1">
    <w:name w:val="Table Grid1"/>
    <w:basedOn w:val="TableNormal"/>
    <w:next w:val="TableGrid"/>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EF3245"/>
    <w:pPr>
      <w:tabs>
        <w:tab w:val="left" w:pos="1843"/>
        <w:tab w:val="right" w:leader="dot" w:pos="9923"/>
      </w:tabs>
      <w:spacing w:before="0"/>
      <w:ind w:left="1440" w:hanging="1440"/>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rsid w:val="00060470"/>
    <w:rPr>
      <w:rFonts w:ascii="Garamond" w:hAnsi="Garamond"/>
      <w:b/>
      <w:i/>
      <w:kern w:val="28"/>
      <w:sz w:val="16"/>
      <w:lang w:val="en-GB"/>
    </w:rPr>
  </w:style>
  <w:style w:type="character" w:customStyle="1" w:styleId="FooterChar1">
    <w:name w:val="Footer Char1"/>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1">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rsid w:val="00060470"/>
    <w:rPr>
      <w:rFonts w:ascii="Courier New" w:hAnsi="Courier New"/>
      <w:b/>
      <w:lang w:val="ru-RU" w:eastAsia="ru-RU"/>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10">
    <w:name w:val="Абзац списка1"/>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link w:val="Char2"/>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Heading 3 Char2"/>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Body Text Char4,Body Text (Main text) Char4"/>
    <w:uiPriority w:val="99"/>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uiPriority w:val="99"/>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uiPriority w:val="99"/>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link w:val="1Text1"/>
    <w:locked/>
    <w:rsid w:val="00060470"/>
    <w:rPr>
      <w:rFonts w:cs="Times New Roman"/>
    </w:rPr>
  </w:style>
  <w:style w:type="paragraph" w:customStyle="1" w:styleId="11">
    <w:name w:val="Рецензия1"/>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uiPriority w:val="99"/>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aliases w:val="1Text Char2"/>
    <w:uiPriority w:val="99"/>
    <w:rsid w:val="00060470"/>
    <w:rPr>
      <w:sz w:val="24"/>
      <w:szCs w:val="24"/>
    </w:rPr>
  </w:style>
  <w:style w:type="numbering" w:customStyle="1" w:styleId="NoList2">
    <w:name w:val="No List2"/>
    <w:next w:val="NoList"/>
    <w:semiHidden/>
    <w:rsid w:val="00060470"/>
  </w:style>
  <w:style w:type="paragraph" w:customStyle="1" w:styleId="12">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0">
    <w:name w:val="Char2"/>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rsid w:val="00060470"/>
    <w:rPr>
      <w:b/>
      <w:sz w:val="32"/>
      <w:lang w:val="en-GB" w:eastAsia="en-US"/>
    </w:rPr>
  </w:style>
  <w:style w:type="character" w:customStyle="1" w:styleId="CharChar141">
    <w:name w:val="Char Char141"/>
    <w:rsid w:val="00060470"/>
    <w:rPr>
      <w:sz w:val="22"/>
      <w:lang w:val="en-GB" w:eastAsia="en-US"/>
    </w:rPr>
  </w:style>
  <w:style w:type="character" w:customStyle="1" w:styleId="CharChar151">
    <w:name w:val="Char Char151"/>
    <w:rsid w:val="00060470"/>
    <w:rPr>
      <w:sz w:val="36"/>
      <w:lang w:val="en-GB" w:eastAsia="en-US"/>
    </w:rPr>
  </w:style>
  <w:style w:type="character" w:customStyle="1" w:styleId="CharChar131">
    <w:name w:val="Char Char131"/>
    <w:rsid w:val="00060470"/>
    <w:rPr>
      <w:sz w:val="22"/>
      <w:lang w:val="en-GB" w:eastAsia="en-US"/>
    </w:rPr>
  </w:style>
  <w:style w:type="character" w:customStyle="1" w:styleId="CharChar121">
    <w:name w:val="Char Char121"/>
    <w:rsid w:val="00060470"/>
    <w:rPr>
      <w:sz w:val="22"/>
      <w:lang w:val="en-GB" w:eastAsia="en-US"/>
    </w:rPr>
  </w:style>
  <w:style w:type="character" w:customStyle="1" w:styleId="CharChar111">
    <w:name w:val="Char Char111"/>
    <w:rsid w:val="00060470"/>
    <w:rPr>
      <w:rFonts w:ascii="Times Armenian" w:hAnsi="Times Armenian"/>
      <w:b/>
      <w:sz w:val="24"/>
      <w:lang w:val="fr-FR" w:eastAsia="en-US"/>
    </w:rPr>
  </w:style>
  <w:style w:type="character" w:customStyle="1" w:styleId="CharChar101">
    <w:name w:val="Char Char101"/>
    <w:rsid w:val="00060470"/>
    <w:rPr>
      <w:rFonts w:ascii="Times Armenian" w:hAnsi="Times Armenian"/>
      <w:color w:val="993300"/>
      <w:sz w:val="24"/>
      <w:lang w:val="hy-AM" w:eastAsia="en-US"/>
    </w:rPr>
  </w:style>
  <w:style w:type="character" w:customStyle="1" w:styleId="CharChar91">
    <w:name w:val="Char Char91"/>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link w:val="BodyTextIndent2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2">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1"/>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3">
    <w:name w:val="???????? ?????"/>
    <w:basedOn w:val="a1"/>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4">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0">
    <w:name w:val="????????? 11"/>
    <w:basedOn w:val="20"/>
    <w:next w:val="20"/>
    <w:rsid w:val="00060470"/>
    <w:pPr>
      <w:keepNext/>
      <w:spacing w:line="360" w:lineRule="auto"/>
      <w:outlineLvl w:val="0"/>
    </w:pPr>
    <w:rPr>
      <w:rFonts w:ascii="Times LatArm" w:hAnsi="Times LatArm"/>
    </w:rPr>
  </w:style>
  <w:style w:type="paragraph" w:customStyle="1" w:styleId="13">
    <w:name w:val="????????1"/>
    <w:basedOn w:val="a1"/>
    <w:rsid w:val="00060470"/>
    <w:pPr>
      <w:jc w:val="center"/>
    </w:pPr>
    <w:rPr>
      <w:rFonts w:ascii="Times Armenian" w:hAnsi="Times Armenian"/>
      <w:i/>
      <w:sz w:val="28"/>
      <w:lang w:val="en-US"/>
    </w:rPr>
  </w:style>
  <w:style w:type="paragraph" w:customStyle="1" w:styleId="22">
    <w:name w:val="???????? ????? ? ???????? 2"/>
    <w:basedOn w:val="a1"/>
    <w:rsid w:val="00060470"/>
    <w:pPr>
      <w:ind w:right="-141" w:firstLine="567"/>
      <w:jc w:val="both"/>
    </w:pPr>
    <w:rPr>
      <w:rFonts w:ascii="Times Armenian" w:hAnsi="Times Armenian"/>
      <w:sz w:val="24"/>
    </w:rPr>
  </w:style>
  <w:style w:type="paragraph" w:customStyle="1" w:styleId="23">
    <w:name w:val="???????? ????? 2"/>
    <w:basedOn w:val="a1"/>
    <w:rsid w:val="00060470"/>
    <w:pPr>
      <w:spacing w:line="360" w:lineRule="auto"/>
      <w:jc w:val="both"/>
    </w:pPr>
    <w:rPr>
      <w:rFonts w:ascii="Times LatArm" w:hAnsi="Times LatArm"/>
      <w:b/>
      <w:i/>
      <w:sz w:val="28"/>
      <w:lang w:val="en-US"/>
    </w:rPr>
  </w:style>
  <w:style w:type="paragraph" w:customStyle="1" w:styleId="15">
    <w:name w:val="???????1"/>
    <w:rsid w:val="00060470"/>
    <w:rPr>
      <w:lang w:val="ru-RU" w:eastAsia="ru-RU"/>
    </w:rPr>
  </w:style>
  <w:style w:type="paragraph" w:customStyle="1" w:styleId="30">
    <w:name w:val="???????? ????? ? ????????3"/>
    <w:basedOn w:val="a1"/>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1"/>
    <w:next w:val="a1"/>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link w:val="BodyText3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uiPriority w:val="99"/>
    <w:rsid w:val="00060470"/>
    <w:rPr>
      <w:rFonts w:ascii="Times New Roman" w:eastAsia="Times New Roman" w:hAnsi="Times New Roman" w:cs="Times New Roman"/>
      <w:lang w:val="en-GB"/>
    </w:rPr>
  </w:style>
  <w:style w:type="paragraph" w:customStyle="1" w:styleId="CaptionTable">
    <w:name w:val="Caption_Table"/>
    <w:basedOn w:val="Caption"/>
    <w:qFormat/>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uiPriority w:val="99"/>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uiPriority w:val="99"/>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line="240" w:lineRule="auto"/>
      <w:contextualSpacing w:val="0"/>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ind w:left="360" w:firstLine="540"/>
      <w:jc w:val="left"/>
    </w:pPr>
    <w:rPr>
      <w:color w:val="3366FF"/>
      <w:spacing w:val="24"/>
      <w:kern w:val="16"/>
      <w:sz w:val="3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5">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6">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7">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ind w:firstLine="540"/>
    </w:pPr>
    <w:rPr>
      <w:kern w:val="16"/>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uiPriority w:val="99"/>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0"/>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6">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uiPriority w:val="99"/>
    <w:rsid w:val="00060470"/>
    <w:rPr>
      <w:rFonts w:ascii="Courier New" w:hAnsi="Courier New"/>
      <w:b/>
      <w:bCs/>
    </w:rPr>
  </w:style>
  <w:style w:type="table" w:styleId="TableGrid8">
    <w:name w:val="Table Grid 8"/>
    <w:basedOn w:val="TableNormal"/>
    <w:uiPriority w:val="99"/>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7">
    <w:name w:val="Заголовок таблицы"/>
    <w:basedOn w:val="a8"/>
    <w:rsid w:val="00060470"/>
  </w:style>
  <w:style w:type="paragraph" w:customStyle="1" w:styleId="a8">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9">
    <w:name w:val="??????? ??????????"/>
    <w:basedOn w:val="a1"/>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contextualSpacing w:val="0"/>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18">
    <w:name w:val="Обычный1"/>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Знак Char Char Знак Char Char Char,Знак Char Char Знак Char Char Char1"/>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rsid w:val="00060470"/>
    <w:rPr>
      <w:rFonts w:ascii="Times Armenian" w:hAnsi="Times Armenian"/>
      <w:sz w:val="24"/>
      <w:szCs w:val="24"/>
      <w:lang w:val="ru-RU" w:eastAsia="ru-RU" w:bidi="ar-SA"/>
    </w:rPr>
  </w:style>
  <w:style w:type="character" w:customStyle="1" w:styleId="CommentSubjectChar1">
    <w:name w:val="Comment Subject Char1"/>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ink w:val="DocumentMap1"/>
    <w:uiPriority w:val="99"/>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contextualSpacing w:val="0"/>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9">
    <w:name w:val="Абзац списка1"/>
    <w:basedOn w:val="Normal"/>
    <w:uiPriority w:val="99"/>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qFormat/>
    <w:rsid w:val="00060470"/>
    <w:rPr>
      <w:rFonts w:ascii="GHEA Grapalat" w:hAnsi="GHEA Grapalat"/>
      <w:sz w:val="22"/>
    </w:rPr>
  </w:style>
  <w:style w:type="paragraph" w:customStyle="1" w:styleId="1a">
    <w:name w:val="Без интервала1"/>
    <w:link w:val="aa"/>
    <w:uiPriority w:val="1"/>
    <w:qFormat/>
    <w:rsid w:val="00060470"/>
    <w:rPr>
      <w:rFonts w:ascii="Calibri" w:hAnsi="Calibri"/>
      <w:sz w:val="22"/>
      <w:szCs w:val="22"/>
    </w:rPr>
  </w:style>
  <w:style w:type="character" w:customStyle="1" w:styleId="aa">
    <w:name w:val="Без интервала Знак"/>
    <w:link w:val="1a"/>
    <w:rsid w:val="00060470"/>
    <w:rPr>
      <w:rFonts w:ascii="Calibri" w:hAnsi="Calibri"/>
      <w:sz w:val="22"/>
      <w:szCs w:val="22"/>
    </w:rPr>
  </w:style>
  <w:style w:type="paragraph" w:customStyle="1" w:styleId="1b">
    <w:name w:val="Обычный1"/>
    <w:rsid w:val="00060470"/>
    <w:pPr>
      <w:autoSpaceDE w:val="0"/>
      <w:autoSpaceDN w:val="0"/>
    </w:pPr>
    <w:rPr>
      <w:lang w:val="ru-RU" w:eastAsia="ru-RU"/>
    </w:rPr>
  </w:style>
  <w:style w:type="paragraph" w:customStyle="1" w:styleId="32">
    <w:name w:val="???????? ????? ? ???????? 3"/>
    <w:basedOn w:val="a1"/>
    <w:uiPriority w:val="99"/>
    <w:rsid w:val="00060470"/>
    <w:pPr>
      <w:ind w:firstLine="360"/>
      <w:jc w:val="both"/>
    </w:pPr>
    <w:rPr>
      <w:rFonts w:ascii="Times Armenian" w:hAnsi="Times Armenian"/>
      <w:sz w:val="24"/>
      <w:lang w:val="af-ZA"/>
    </w:rPr>
  </w:style>
  <w:style w:type="paragraph" w:customStyle="1" w:styleId="6">
    <w:name w:val="????????? 6"/>
    <w:basedOn w:val="a1"/>
    <w:next w:val="a1"/>
    <w:uiPriority w:val="99"/>
    <w:rsid w:val="00060470"/>
    <w:pPr>
      <w:keepNext/>
      <w:jc w:val="center"/>
      <w:outlineLvl w:val="5"/>
    </w:pPr>
    <w:rPr>
      <w:rFonts w:ascii="Times Armenian" w:hAnsi="Times Armenian"/>
      <w:i/>
      <w:lang w:val="en-US"/>
    </w:rPr>
  </w:style>
  <w:style w:type="paragraph" w:customStyle="1" w:styleId="310">
    <w:name w:val="???????? ????? 31"/>
    <w:basedOn w:val="a1"/>
    <w:uiPriority w:val="99"/>
    <w:rsid w:val="00060470"/>
    <w:pPr>
      <w:jc w:val="center"/>
    </w:pPr>
    <w:rPr>
      <w:rFonts w:ascii="Arial Armenian" w:hAnsi="Arial Armenian"/>
      <w:sz w:val="24"/>
      <w:lang w:val="en-AU"/>
    </w:rPr>
  </w:style>
  <w:style w:type="paragraph" w:customStyle="1" w:styleId="25">
    <w:name w:val="????????? 2"/>
    <w:basedOn w:val="a1"/>
    <w:next w:val="a1"/>
    <w:uiPriority w:val="99"/>
    <w:rsid w:val="00060470"/>
    <w:pPr>
      <w:keepNext/>
      <w:ind w:firstLine="720"/>
      <w:outlineLvl w:val="1"/>
    </w:pPr>
    <w:rPr>
      <w:rFonts w:ascii="Times LatArm" w:hAnsi="Times LatArm"/>
      <w:b/>
      <w:i/>
      <w:sz w:val="28"/>
      <w:lang w:val="en-US"/>
    </w:rPr>
  </w:style>
  <w:style w:type="paragraph" w:customStyle="1" w:styleId="40">
    <w:name w:val="????????? 4"/>
    <w:basedOn w:val="a1"/>
    <w:next w:val="a1"/>
    <w:uiPriority w:val="99"/>
    <w:rsid w:val="0006047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1">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d">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b">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e">
    <w:name w:val="Нет списка1"/>
    <w:next w:val="NoList"/>
    <w:semiHidden/>
    <w:unhideWhenUsed/>
    <w:rsid w:val="00060470"/>
  </w:style>
  <w:style w:type="paragraph" w:customStyle="1" w:styleId="NoSpacing1">
    <w:name w:val="No Spacing1"/>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qFormat/>
    <w:rsid w:val="00060470"/>
    <w:pPr>
      <w:keepLines/>
      <w:spacing w:before="480"/>
      <w:contextualSpacing w:val="0"/>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c">
    <w:name w:val="Основной текст_"/>
    <w:link w:val="50"/>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f">
    <w:name w:val="Заголовок №1_"/>
    <w:rsid w:val="00060470"/>
    <w:rPr>
      <w:rFonts w:ascii="Sylfaen" w:hAnsi="Sylfaen" w:cs="Sylfaen"/>
      <w:i/>
      <w:iCs/>
      <w:spacing w:val="-30"/>
      <w:sz w:val="31"/>
      <w:szCs w:val="31"/>
      <w:shd w:val="clear" w:color="auto" w:fill="FFFFFF"/>
    </w:rPr>
  </w:style>
  <w:style w:type="character" w:customStyle="1" w:styleId="1110">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e">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f0">
    <w:name w:val="Без интервала1"/>
    <w:uiPriority w:val="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f1">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2">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uiPriority w:val="99"/>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37">
    <w:name w:val="Основной текст3"/>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8">
    <w:name w:val="Обычный3"/>
    <w:rsid w:val="00060470"/>
    <w:pPr>
      <w:autoSpaceDE w:val="0"/>
      <w:autoSpaceDN w:val="0"/>
    </w:pPr>
    <w:rPr>
      <w:lang w:val="ru-RU" w:eastAsia="ru-RU"/>
    </w:rPr>
  </w:style>
  <w:style w:type="paragraph" w:customStyle="1" w:styleId="1f3">
    <w:name w:val="Заголовок оглавления1"/>
    <w:basedOn w:val="Heading1"/>
    <w:next w:val="Normal"/>
    <w:uiPriority w:val="39"/>
    <w:unhideWhenUsed/>
    <w:qFormat/>
    <w:rsid w:val="00060470"/>
    <w:pPr>
      <w:keepLines/>
      <w:spacing w:before="480"/>
      <w:contextualSpacing w:val="0"/>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4">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5">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6">
    <w:name w:val="Слабое выделение1"/>
    <w:qFormat/>
    <w:rsid w:val="00060470"/>
    <w:rPr>
      <w:rFonts w:cs="Times New Roman"/>
      <w:i/>
      <w:iCs/>
      <w:color w:val="808080"/>
    </w:rPr>
  </w:style>
  <w:style w:type="character" w:customStyle="1" w:styleId="1f7">
    <w:name w:val="Слабая ссылка1"/>
    <w:qFormat/>
    <w:rsid w:val="00060470"/>
    <w:rPr>
      <w:rFonts w:cs="Times New Roman"/>
      <w:smallCaps/>
      <w:color w:val="C0504D"/>
      <w:u w:val="single"/>
    </w:rPr>
  </w:style>
  <w:style w:type="character" w:customStyle="1" w:styleId="1f8">
    <w:name w:val="Сильная ссылка1"/>
    <w:qFormat/>
    <w:rsid w:val="00060470"/>
    <w:rPr>
      <w:rFonts w:cs="Times New Roman"/>
      <w:b/>
      <w:bCs/>
      <w:smallCaps/>
      <w:color w:val="C0504D"/>
      <w:spacing w:val="5"/>
      <w:u w:val="single"/>
    </w:rPr>
  </w:style>
  <w:style w:type="character" w:customStyle="1" w:styleId="1f9">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uiPriority w:val="99"/>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a">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a"/>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uiPriority w:val="99"/>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uiPriority w:val="99"/>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uiPriority w:val="39"/>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uiPriority w:val="99"/>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uiPriority w:val="39"/>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semiHidden/>
    <w:unhideWhenUsed/>
    <w:rsid w:val="00006BCE"/>
  </w:style>
  <w:style w:type="table" w:customStyle="1" w:styleId="TableGrid70">
    <w:name w:val="Table Grid7"/>
    <w:basedOn w:val="TableNormal"/>
    <w:next w:val="TableGrid"/>
    <w:uiPriority w:val="39"/>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uiPriority w:val="99"/>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uiPriority w:val="99"/>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uiPriority w:val="39"/>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9">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uiPriority w:val="99"/>
    <w:qFormat/>
    <w:rsid w:val="00291C2D"/>
    <w:pPr>
      <w:spacing w:before="0" w:after="200" w:line="276" w:lineRule="auto"/>
      <w:ind w:left="720" w:firstLine="0"/>
      <w:jc w:val="left"/>
    </w:pPr>
    <w:rPr>
      <w:rFonts w:ascii="Calibri" w:eastAsia="Calibri" w:hAnsi="Calibri"/>
      <w:szCs w:val="22"/>
      <w:lang w:eastAsia="en-US"/>
    </w:rPr>
  </w:style>
  <w:style w:type="paragraph" w:customStyle="1" w:styleId="3a">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rsid w:val="001725C5"/>
  </w:style>
  <w:style w:type="paragraph" w:customStyle="1" w:styleId="CharChara">
    <w:name w:val="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a">
    <w:name w:val="Char"/>
    <w:basedOn w:val="Normal"/>
    <w:next w:val="Normal"/>
    <w:rsid w:val="001725C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1CharCharCharCharCharCharCharCharCharCharCharChar0">
    <w:name w:val="Char1 Char Char Char Char Char Char Char Char Char Char 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4">
    <w:name w:val="Char Char Char"/>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5">
    <w:name w:val="Char Char Char Знак Знак"/>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5">
    <w:name w:val="Char Char Char Char Char Знак Знак"/>
    <w:basedOn w:val="Normal"/>
    <w:uiPriority w:val="99"/>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af">
    <w:name w:val="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numbering" w:customStyle="1" w:styleId="NoList127">
    <w:name w:val="No List127"/>
    <w:next w:val="NoList"/>
    <w:semiHidden/>
    <w:rsid w:val="001725C5"/>
  </w:style>
  <w:style w:type="paragraph" w:customStyle="1" w:styleId="CharCharCharCharCharCharCharCharCharCharCharCharCharCharChar0">
    <w:name w:val="Char Char Char Char Знак Char Знак Char Char Char Char Char Char Char Char Char Char"/>
    <w:basedOn w:val="Normal"/>
    <w:uiPriority w:val="99"/>
    <w:rsid w:val="001725C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160">
    <w:name w:val="Char Char16"/>
    <w:uiPriority w:val="99"/>
    <w:rsid w:val="001725C5"/>
    <w:rPr>
      <w:b/>
      <w:sz w:val="32"/>
      <w:lang w:val="en-GB" w:eastAsia="en-US" w:bidi="ar-SA"/>
    </w:rPr>
  </w:style>
  <w:style w:type="character" w:customStyle="1" w:styleId="CharChar140">
    <w:name w:val="Char Char14"/>
    <w:uiPriority w:val="99"/>
    <w:rsid w:val="001725C5"/>
    <w:rPr>
      <w:sz w:val="22"/>
      <w:lang w:val="en-GB" w:eastAsia="en-US" w:bidi="ar-SA"/>
    </w:rPr>
  </w:style>
  <w:style w:type="character" w:customStyle="1" w:styleId="CharChar150">
    <w:name w:val="Char Char15"/>
    <w:uiPriority w:val="99"/>
    <w:rsid w:val="001725C5"/>
    <w:rPr>
      <w:sz w:val="36"/>
      <w:lang w:val="en-GB" w:eastAsia="en-US" w:bidi="ar-SA"/>
    </w:rPr>
  </w:style>
  <w:style w:type="character" w:customStyle="1" w:styleId="CharChar130">
    <w:name w:val="Char Char13"/>
    <w:uiPriority w:val="99"/>
    <w:rsid w:val="001725C5"/>
    <w:rPr>
      <w:sz w:val="22"/>
      <w:lang w:val="en-GB" w:eastAsia="en-US" w:bidi="ar-SA"/>
    </w:rPr>
  </w:style>
  <w:style w:type="character" w:customStyle="1" w:styleId="CharChar120">
    <w:name w:val="Char Char12"/>
    <w:uiPriority w:val="99"/>
    <w:rsid w:val="001725C5"/>
    <w:rPr>
      <w:sz w:val="22"/>
      <w:lang w:val="en-GB" w:eastAsia="en-US" w:bidi="ar-SA"/>
    </w:rPr>
  </w:style>
  <w:style w:type="character" w:customStyle="1" w:styleId="CharChar110">
    <w:name w:val="Char Char11"/>
    <w:uiPriority w:val="99"/>
    <w:rsid w:val="001725C5"/>
    <w:rPr>
      <w:rFonts w:ascii="Times Armenian" w:hAnsi="Times Armenian"/>
      <w:b/>
      <w:bCs/>
      <w:sz w:val="32"/>
      <w:szCs w:val="24"/>
      <w:lang w:val="fr-FR" w:eastAsia="en-US" w:bidi="ar-SA"/>
    </w:rPr>
  </w:style>
  <w:style w:type="character" w:customStyle="1" w:styleId="CharChar100">
    <w:name w:val="Char Char10"/>
    <w:uiPriority w:val="99"/>
    <w:rsid w:val="001725C5"/>
    <w:rPr>
      <w:rFonts w:ascii="Times Armenian" w:hAnsi="Times Armenian"/>
      <w:color w:val="993300"/>
      <w:sz w:val="22"/>
      <w:szCs w:val="24"/>
      <w:lang w:val="hy-AM" w:eastAsia="en-US" w:bidi="ar-SA"/>
    </w:rPr>
  </w:style>
  <w:style w:type="character" w:customStyle="1" w:styleId="CharChar90">
    <w:name w:val="Char Char9"/>
    <w:uiPriority w:val="99"/>
    <w:rsid w:val="001725C5"/>
    <w:rPr>
      <w:rFonts w:ascii="Times Armenian" w:hAnsi="Times Armenian"/>
      <w:b/>
      <w:i/>
      <w:sz w:val="24"/>
      <w:u w:val="single"/>
      <w:lang w:val="hy-AM" w:eastAsia="en-US" w:bidi="ar-SA"/>
    </w:rPr>
  </w:style>
  <w:style w:type="numbering" w:customStyle="1" w:styleId="NoList210">
    <w:name w:val="No List210"/>
    <w:next w:val="NoList"/>
    <w:semiHidden/>
    <w:rsid w:val="001725C5"/>
  </w:style>
  <w:style w:type="numbering" w:customStyle="1" w:styleId="NoList49">
    <w:name w:val="No List49"/>
    <w:next w:val="NoList"/>
    <w:uiPriority w:val="99"/>
    <w:semiHidden/>
    <w:unhideWhenUsed/>
    <w:rsid w:val="002C0A36"/>
  </w:style>
  <w:style w:type="table" w:customStyle="1" w:styleId="TableGrid25">
    <w:name w:val="Table Grid25"/>
    <w:basedOn w:val="TableNormal"/>
    <w:next w:val="TableGrid"/>
    <w:uiPriority w:val="39"/>
    <w:rsid w:val="002C0A36"/>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C0A3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
    <w:name w:val="Table Grid26"/>
    <w:basedOn w:val="TableNormal"/>
    <w:next w:val="TableGrid"/>
    <w:uiPriority w:val="39"/>
    <w:rsid w:val="00BA6B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36A46"/>
  </w:style>
  <w:style w:type="numbering" w:customStyle="1" w:styleId="NoList128">
    <w:name w:val="No List128"/>
    <w:next w:val="NoList"/>
    <w:uiPriority w:val="99"/>
    <w:semiHidden/>
    <w:unhideWhenUsed/>
    <w:rsid w:val="00B36A46"/>
  </w:style>
  <w:style w:type="table" w:customStyle="1" w:styleId="TableGrid27">
    <w:name w:val="Table Grid27"/>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36A46"/>
  </w:style>
  <w:style w:type="numbering" w:customStyle="1" w:styleId="NoList11110">
    <w:name w:val="No List11110"/>
    <w:next w:val="NoList"/>
    <w:semiHidden/>
    <w:rsid w:val="00B36A46"/>
  </w:style>
  <w:style w:type="table" w:customStyle="1" w:styleId="TableGrid112">
    <w:name w:val="Table Grid11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semiHidden/>
    <w:rsid w:val="00B36A46"/>
  </w:style>
  <w:style w:type="numbering" w:customStyle="1" w:styleId="NoList214">
    <w:name w:val="No List214"/>
    <w:next w:val="NoList"/>
    <w:semiHidden/>
    <w:rsid w:val="00B36A46"/>
  </w:style>
  <w:style w:type="numbering" w:customStyle="1" w:styleId="NoList310">
    <w:name w:val="No List310"/>
    <w:next w:val="NoList"/>
    <w:semiHidden/>
    <w:unhideWhenUsed/>
    <w:rsid w:val="00B36A46"/>
  </w:style>
  <w:style w:type="table" w:customStyle="1" w:styleId="TableList77">
    <w:name w:val="Table List 77"/>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
    <w:name w:val="Table Web 37"/>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
    <w:name w:val="Table Elegant7"/>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
    <w:name w:val="Table Web 17"/>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
    <w:name w:val="Table Grid 87"/>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
    <w:name w:val="Light List - Accent 124"/>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
    <w:name w:val="Table Grid 77"/>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
    <w:name w:val="Colorful Grid - Accent 18"/>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
    <w:name w:val="Light List - Accent 59"/>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
    <w:name w:val="Table Simple 37"/>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
    <w:name w:val="Table Grid 57"/>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
    <w:name w:val="Table Grid 37"/>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0">
    <w:name w:val="Table Grid 17"/>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
    <w:name w:val="Table Columns 57"/>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
    <w:name w:val="Light List - Accent 1110"/>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0">
    <w:name w:val="Нет списка18"/>
    <w:next w:val="NoList"/>
    <w:semiHidden/>
    <w:unhideWhenUsed/>
    <w:rsid w:val="00B36A46"/>
  </w:style>
  <w:style w:type="table" w:customStyle="1" w:styleId="ColorfulGrid-Accent117">
    <w:name w:val="Colorful Grid - Accent 117"/>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
    <w:name w:val="Light List - Accent 517"/>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
    <w:name w:val="No List410"/>
    <w:next w:val="NoList"/>
    <w:semiHidden/>
    <w:rsid w:val="00B36A46"/>
  </w:style>
  <w:style w:type="table" w:customStyle="1" w:styleId="Table3Deffects37">
    <w:name w:val="Table 3D effects 37"/>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
    <w:name w:val="Нет списка117"/>
    <w:next w:val="NoList"/>
    <w:semiHidden/>
    <w:unhideWhenUsed/>
    <w:rsid w:val="00B36A46"/>
  </w:style>
  <w:style w:type="numbering" w:customStyle="1" w:styleId="NoList54">
    <w:name w:val="No List54"/>
    <w:next w:val="NoList"/>
    <w:uiPriority w:val="99"/>
    <w:semiHidden/>
    <w:unhideWhenUsed/>
    <w:rsid w:val="00B36A46"/>
  </w:style>
  <w:style w:type="numbering" w:customStyle="1" w:styleId="NoList129">
    <w:name w:val="No List129"/>
    <w:next w:val="NoList"/>
    <w:semiHidden/>
    <w:rsid w:val="00B36A46"/>
  </w:style>
  <w:style w:type="numbering" w:customStyle="1" w:styleId="NoList1124">
    <w:name w:val="No List1124"/>
    <w:next w:val="NoList"/>
    <w:semiHidden/>
    <w:rsid w:val="00B36A46"/>
  </w:style>
  <w:style w:type="numbering" w:customStyle="1" w:styleId="NoList111112">
    <w:name w:val="No List111112"/>
    <w:next w:val="NoList"/>
    <w:semiHidden/>
    <w:rsid w:val="00B36A46"/>
  </w:style>
  <w:style w:type="numbering" w:customStyle="1" w:styleId="NoList215">
    <w:name w:val="No List215"/>
    <w:next w:val="NoList"/>
    <w:semiHidden/>
    <w:rsid w:val="00B36A46"/>
  </w:style>
  <w:style w:type="table" w:customStyle="1" w:styleId="TableGrid28">
    <w:name w:val="Table Grid28"/>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36A46"/>
  </w:style>
  <w:style w:type="numbering" w:customStyle="1" w:styleId="NoList62">
    <w:name w:val="No List62"/>
    <w:next w:val="NoList"/>
    <w:uiPriority w:val="99"/>
    <w:semiHidden/>
    <w:unhideWhenUsed/>
    <w:rsid w:val="00B36A46"/>
  </w:style>
  <w:style w:type="numbering" w:customStyle="1" w:styleId="NoList72">
    <w:name w:val="No List72"/>
    <w:next w:val="NoList"/>
    <w:uiPriority w:val="99"/>
    <w:semiHidden/>
    <w:unhideWhenUsed/>
    <w:rsid w:val="00B36A46"/>
  </w:style>
  <w:style w:type="table" w:customStyle="1" w:styleId="TableGrid320">
    <w:name w:val="Table Grid3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semiHidden/>
    <w:unhideWhenUsed/>
    <w:rsid w:val="00B36A46"/>
  </w:style>
  <w:style w:type="numbering" w:customStyle="1" w:styleId="NoList1132">
    <w:name w:val="No List1132"/>
    <w:next w:val="NoList"/>
    <w:semiHidden/>
    <w:rsid w:val="00B36A46"/>
  </w:style>
  <w:style w:type="table" w:customStyle="1" w:styleId="TableGrid113">
    <w:name w:val="Table Grid113"/>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semiHidden/>
    <w:rsid w:val="00B36A46"/>
  </w:style>
  <w:style w:type="numbering" w:customStyle="1" w:styleId="NoList222">
    <w:name w:val="No List222"/>
    <w:next w:val="NoList"/>
    <w:semiHidden/>
    <w:rsid w:val="00B36A46"/>
  </w:style>
  <w:style w:type="numbering" w:customStyle="1" w:styleId="NoList322">
    <w:name w:val="No List322"/>
    <w:next w:val="NoList"/>
    <w:semiHidden/>
    <w:unhideWhenUsed/>
    <w:rsid w:val="00B36A46"/>
  </w:style>
  <w:style w:type="table" w:customStyle="1" w:styleId="TableList712">
    <w:name w:val="Table List 71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
    <w:name w:val="Light List - Accent 125"/>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
    <w:name w:val="Colorful Grid - Accent 122"/>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
    <w:name w:val="Нет списка122"/>
    <w:next w:val="NoList"/>
    <w:uiPriority w:val="99"/>
    <w:semiHidden/>
    <w:unhideWhenUsed/>
    <w:rsid w:val="00B36A46"/>
  </w:style>
  <w:style w:type="table" w:customStyle="1" w:styleId="ColorfulGrid-Accent1112">
    <w:name w:val="Colorful Grid - Accent 111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
    <w:name w:val="No List412"/>
    <w:next w:val="NoList"/>
    <w:semiHidden/>
    <w:rsid w:val="00B36A46"/>
  </w:style>
  <w:style w:type="table" w:customStyle="1" w:styleId="Table3Deffects312">
    <w:name w:val="Table 3D effects 31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2"/>
    <w:next w:val="NoList"/>
    <w:semiHidden/>
    <w:unhideWhenUsed/>
    <w:rsid w:val="00B36A46"/>
  </w:style>
  <w:style w:type="numbering" w:customStyle="1" w:styleId="NoList512">
    <w:name w:val="No List512"/>
    <w:next w:val="NoList"/>
    <w:uiPriority w:val="99"/>
    <w:semiHidden/>
    <w:unhideWhenUsed/>
    <w:rsid w:val="00B36A46"/>
  </w:style>
  <w:style w:type="numbering" w:customStyle="1" w:styleId="NoList1212">
    <w:name w:val="No List1212"/>
    <w:next w:val="NoList"/>
    <w:semiHidden/>
    <w:rsid w:val="00B36A46"/>
  </w:style>
  <w:style w:type="numbering" w:customStyle="1" w:styleId="NoList11212">
    <w:name w:val="No List11212"/>
    <w:next w:val="NoList"/>
    <w:semiHidden/>
    <w:rsid w:val="00B36A46"/>
  </w:style>
  <w:style w:type="numbering" w:customStyle="1" w:styleId="NoList1111112">
    <w:name w:val="No List1111112"/>
    <w:next w:val="NoList"/>
    <w:semiHidden/>
    <w:rsid w:val="00B36A46"/>
  </w:style>
  <w:style w:type="numbering" w:customStyle="1" w:styleId="NoList2112">
    <w:name w:val="No List2112"/>
    <w:next w:val="NoList"/>
    <w:semiHidden/>
    <w:rsid w:val="00B36A46"/>
  </w:style>
  <w:style w:type="table" w:customStyle="1" w:styleId="TableGrid212">
    <w:name w:val="Table Grid21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B36A46"/>
  </w:style>
  <w:style w:type="numbering" w:customStyle="1" w:styleId="NoList82">
    <w:name w:val="No List82"/>
    <w:next w:val="NoList"/>
    <w:uiPriority w:val="99"/>
    <w:semiHidden/>
    <w:unhideWhenUsed/>
    <w:rsid w:val="00B36A46"/>
  </w:style>
  <w:style w:type="numbering" w:customStyle="1" w:styleId="NoList92">
    <w:name w:val="No List92"/>
    <w:next w:val="NoList"/>
    <w:uiPriority w:val="99"/>
    <w:semiHidden/>
    <w:unhideWhenUsed/>
    <w:rsid w:val="00B36A46"/>
  </w:style>
  <w:style w:type="table" w:customStyle="1" w:styleId="TableGrid42">
    <w:name w:val="Table Grid4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
    <w:name w:val="Table List 72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
    <w:name w:val="Table Web 32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
    <w:name w:val="No List142"/>
    <w:next w:val="NoList"/>
    <w:semiHidden/>
    <w:unhideWhenUsed/>
    <w:rsid w:val="00B36A46"/>
  </w:style>
  <w:style w:type="numbering" w:customStyle="1" w:styleId="NoList232">
    <w:name w:val="No List232"/>
    <w:next w:val="NoList"/>
    <w:semiHidden/>
    <w:unhideWhenUsed/>
    <w:rsid w:val="00B36A46"/>
  </w:style>
  <w:style w:type="numbering" w:customStyle="1" w:styleId="NoList332">
    <w:name w:val="No List332"/>
    <w:next w:val="NoList"/>
    <w:semiHidden/>
    <w:unhideWhenUsed/>
    <w:rsid w:val="00B36A46"/>
  </w:style>
  <w:style w:type="table" w:customStyle="1" w:styleId="LightList-Accent132">
    <w:name w:val="Light List - Accent 13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
    <w:name w:val="Table Grid 72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
    <w:name w:val="Table Simple 32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
    <w:name w:val="Table Grid 52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
    <w:name w:val="Table Grid 32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
    <w:name w:val="Light List - Accent 112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
    <w:name w:val="Нет списка132"/>
    <w:next w:val="NoList"/>
    <w:semiHidden/>
    <w:unhideWhenUsed/>
    <w:rsid w:val="00B36A46"/>
  </w:style>
  <w:style w:type="table" w:customStyle="1" w:styleId="ColorfulGrid-Accent1122">
    <w:name w:val="Colorful Grid - Accent 112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
    <w:name w:val="Light List - Accent 512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
    <w:name w:val="No List422"/>
    <w:next w:val="NoList"/>
    <w:semiHidden/>
    <w:rsid w:val="00B36A46"/>
  </w:style>
  <w:style w:type="numbering" w:customStyle="1" w:styleId="NoList1142">
    <w:name w:val="No List1142"/>
    <w:next w:val="NoList"/>
    <w:semiHidden/>
    <w:unhideWhenUsed/>
    <w:rsid w:val="00B36A46"/>
  </w:style>
  <w:style w:type="table" w:customStyle="1" w:styleId="Table3Deffects322">
    <w:name w:val="Table 3D effects 32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
    <w:name w:val="Нет списка1122"/>
    <w:next w:val="NoList"/>
    <w:semiHidden/>
    <w:unhideWhenUsed/>
    <w:rsid w:val="00B36A46"/>
  </w:style>
  <w:style w:type="numbering" w:customStyle="1" w:styleId="NoList102">
    <w:name w:val="No List102"/>
    <w:next w:val="NoList"/>
    <w:uiPriority w:val="99"/>
    <w:semiHidden/>
    <w:unhideWhenUsed/>
    <w:rsid w:val="00B36A46"/>
  </w:style>
  <w:style w:type="table" w:customStyle="1" w:styleId="TableGrid520">
    <w:name w:val="Table Grid5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B36A46"/>
  </w:style>
  <w:style w:type="numbering" w:customStyle="1" w:styleId="NoList1152">
    <w:name w:val="No List1152"/>
    <w:next w:val="NoList"/>
    <w:semiHidden/>
    <w:rsid w:val="00B36A46"/>
  </w:style>
  <w:style w:type="table" w:customStyle="1" w:styleId="TableGrid1220">
    <w:name w:val="Table Grid12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semiHidden/>
    <w:rsid w:val="00B36A46"/>
  </w:style>
  <w:style w:type="numbering" w:customStyle="1" w:styleId="NoList242">
    <w:name w:val="No List242"/>
    <w:next w:val="NoList"/>
    <w:semiHidden/>
    <w:rsid w:val="00B36A46"/>
  </w:style>
  <w:style w:type="numbering" w:customStyle="1" w:styleId="NoList342">
    <w:name w:val="No List342"/>
    <w:next w:val="NoList"/>
    <w:semiHidden/>
    <w:unhideWhenUsed/>
    <w:rsid w:val="00B36A46"/>
  </w:style>
  <w:style w:type="table" w:customStyle="1" w:styleId="TableList732">
    <w:name w:val="Table List 73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
    <w:name w:val="Table Web 33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
    <w:name w:val="Table Elegant3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
    <w:name w:val="Table Web 13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
    <w:name w:val="Table Grid 83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
    <w:name w:val="Table Contemporary3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
    <w:name w:val="Light List - Accent 14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
    <w:name w:val="Table Grid 73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
    <w:name w:val="Colorful Grid - Accent 14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
    <w:name w:val="Light List - Accent 54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
    <w:name w:val="Table Simple 33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
    <w:name w:val="Table Grid 53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
    <w:name w:val="Table Grid 33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
    <w:name w:val="Table Grid 13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
    <w:name w:val="Table Columns 53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
    <w:name w:val="Light List - Accent 113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
    <w:name w:val="Нет списка142"/>
    <w:next w:val="NoList"/>
    <w:semiHidden/>
    <w:unhideWhenUsed/>
    <w:rsid w:val="00B36A46"/>
  </w:style>
  <w:style w:type="table" w:customStyle="1" w:styleId="ColorfulGrid-Accent1132">
    <w:name w:val="Colorful Grid - Accent 113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
    <w:name w:val="Light List - Accent 513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
    <w:name w:val="No List432"/>
    <w:next w:val="NoList"/>
    <w:semiHidden/>
    <w:rsid w:val="00B36A46"/>
  </w:style>
  <w:style w:type="table" w:customStyle="1" w:styleId="Table3Deffects332">
    <w:name w:val="Table 3D effects 33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
    <w:name w:val="Нет списка1132"/>
    <w:next w:val="NoList"/>
    <w:semiHidden/>
    <w:unhideWhenUsed/>
    <w:rsid w:val="00B36A46"/>
  </w:style>
  <w:style w:type="numbering" w:customStyle="1" w:styleId="NoList522">
    <w:name w:val="No List522"/>
    <w:next w:val="NoList"/>
    <w:uiPriority w:val="99"/>
    <w:semiHidden/>
    <w:unhideWhenUsed/>
    <w:rsid w:val="00B36A46"/>
  </w:style>
  <w:style w:type="numbering" w:customStyle="1" w:styleId="NoList1222">
    <w:name w:val="No List1222"/>
    <w:next w:val="NoList"/>
    <w:semiHidden/>
    <w:rsid w:val="00B36A46"/>
  </w:style>
  <w:style w:type="numbering" w:customStyle="1" w:styleId="NoList11222">
    <w:name w:val="No List11222"/>
    <w:next w:val="NoList"/>
    <w:semiHidden/>
    <w:rsid w:val="00B36A46"/>
  </w:style>
  <w:style w:type="numbering" w:customStyle="1" w:styleId="NoList111122">
    <w:name w:val="No List111122"/>
    <w:next w:val="NoList"/>
    <w:semiHidden/>
    <w:rsid w:val="00B36A46"/>
  </w:style>
  <w:style w:type="numbering" w:customStyle="1" w:styleId="NoList2122">
    <w:name w:val="No List2122"/>
    <w:next w:val="NoList"/>
    <w:semiHidden/>
    <w:rsid w:val="00B36A46"/>
  </w:style>
  <w:style w:type="table" w:customStyle="1" w:styleId="TableGrid222">
    <w:name w:val="Table Grid22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B36A46"/>
  </w:style>
  <w:style w:type="table" w:customStyle="1" w:styleId="LightShading-Accent113">
    <w:name w:val="Light Shading - Accent 113"/>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
    <w:name w:val="Medium Grid 2 - Accent 113"/>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
    <w:name w:val="Medium List 2 - Accent 513"/>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
    <w:name w:val="Light List - Accent 15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
    <w:name w:val="Medium Grid 3 - Accent 513"/>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
    <w:name w:val="Light Shading - Accent 513"/>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
    <w:name w:val="Medium Grid 2 - Accent 513"/>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
    <w:name w:val="Light Grid - Accent 113"/>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
    <w:name w:val="Table List 44"/>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
    <w:name w:val="Table List 413"/>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
    <w:name w:val="Table Theme2"/>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
    <w:name w:val="Table Grid 62"/>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
    <w:name w:val="Table List 42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
    <w:name w:val="Table List 411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
    <w:name w:val="Style116"/>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
    <w:name w:val="Style217"/>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
    <w:name w:val="Style2116"/>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
    <w:name w:val="No List162"/>
    <w:next w:val="NoList"/>
    <w:uiPriority w:val="99"/>
    <w:semiHidden/>
    <w:unhideWhenUsed/>
    <w:rsid w:val="00B36A46"/>
  </w:style>
  <w:style w:type="table" w:customStyle="1" w:styleId="TableGrid620">
    <w:name w:val="Table Grid6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36A46"/>
  </w:style>
  <w:style w:type="numbering" w:customStyle="1" w:styleId="NoList1162">
    <w:name w:val="No List1162"/>
    <w:next w:val="NoList"/>
    <w:semiHidden/>
    <w:rsid w:val="00B36A46"/>
  </w:style>
  <w:style w:type="table" w:customStyle="1" w:styleId="TableGrid1320">
    <w:name w:val="Table Grid132"/>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
    <w:name w:val="Light List - Accent 16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
    <w:name w:val="Medium Grid 2 - Accent 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
    <w:name w:val="Medium List 2 - Accent 5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
    <w:name w:val="Light List - Accent 17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
    <w:name w:val="Medium Grid 3 - Accent 5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
    <w:name w:val="Medium Grid 2 - Accent 5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
    <w:name w:val="Light Grid - Accent 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
    <w:name w:val="No List181"/>
    <w:next w:val="NoList"/>
    <w:uiPriority w:val="99"/>
    <w:semiHidden/>
    <w:unhideWhenUsed/>
    <w:rsid w:val="00B36A46"/>
  </w:style>
  <w:style w:type="table" w:customStyle="1" w:styleId="TableGrid710">
    <w:name w:val="Table Grid7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
    <w:name w:val="Table List 74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
    <w:name w:val="Table Web 34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
    <w:name w:val="No List191"/>
    <w:next w:val="NoList"/>
    <w:semiHidden/>
    <w:unhideWhenUsed/>
    <w:rsid w:val="00B36A46"/>
  </w:style>
  <w:style w:type="numbering" w:customStyle="1" w:styleId="NoList251">
    <w:name w:val="No List251"/>
    <w:next w:val="NoList"/>
    <w:semiHidden/>
    <w:unhideWhenUsed/>
    <w:rsid w:val="00B36A46"/>
  </w:style>
  <w:style w:type="numbering" w:customStyle="1" w:styleId="NoList351">
    <w:name w:val="No List351"/>
    <w:next w:val="NoList"/>
    <w:semiHidden/>
    <w:unhideWhenUsed/>
    <w:rsid w:val="00B36A46"/>
  </w:style>
  <w:style w:type="table" w:customStyle="1" w:styleId="LightList-Accent181">
    <w:name w:val="Light List - Accent 18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
    <w:name w:val="Table Grid 74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
    <w:name w:val="Colorful Grid - Accent 15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
    <w:name w:val="Light List - Accent 55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
    <w:name w:val="Table Simple 34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
    <w:name w:val="Table Grid 54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
    <w:name w:val="Table Grid 34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
    <w:name w:val="Table Grid 14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
    <w:name w:val="Light List - Accent 114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
    <w:name w:val="Нет списка151"/>
    <w:next w:val="NoList"/>
    <w:semiHidden/>
    <w:unhideWhenUsed/>
    <w:rsid w:val="00B36A46"/>
  </w:style>
  <w:style w:type="table" w:customStyle="1" w:styleId="ColorfulGrid-Accent1141">
    <w:name w:val="Colorful Grid - Accent 114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
    <w:name w:val="Light List - Accent 514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
    <w:name w:val="No List441"/>
    <w:next w:val="NoList"/>
    <w:semiHidden/>
    <w:rsid w:val="00B36A46"/>
  </w:style>
  <w:style w:type="numbering" w:customStyle="1" w:styleId="NoList1171">
    <w:name w:val="No List1171"/>
    <w:next w:val="NoList"/>
    <w:semiHidden/>
    <w:unhideWhenUsed/>
    <w:rsid w:val="00B36A46"/>
  </w:style>
  <w:style w:type="table" w:customStyle="1" w:styleId="Table3Deffects341">
    <w:name w:val="Table 3D effects 34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
    <w:name w:val="Нет списка1141"/>
    <w:next w:val="NoList"/>
    <w:semiHidden/>
    <w:unhideWhenUsed/>
    <w:rsid w:val="00B36A46"/>
  </w:style>
  <w:style w:type="table" w:customStyle="1" w:styleId="Style1111">
    <w:name w:val="Style11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
    <w:name w:val="Style2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
    <w:name w:val="Style2111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
    <w:name w:val="Style112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
    <w:name w:val="Style2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
    <w:name w:val="Style21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
    <w:name w:val="No List201"/>
    <w:next w:val="NoList"/>
    <w:uiPriority w:val="99"/>
    <w:semiHidden/>
    <w:unhideWhenUsed/>
    <w:rsid w:val="00B36A46"/>
  </w:style>
  <w:style w:type="numbering" w:customStyle="1" w:styleId="NoList1101">
    <w:name w:val="No List1101"/>
    <w:next w:val="NoList"/>
    <w:uiPriority w:val="99"/>
    <w:semiHidden/>
    <w:unhideWhenUsed/>
    <w:rsid w:val="00B36A46"/>
  </w:style>
  <w:style w:type="table" w:customStyle="1" w:styleId="TableGrid810">
    <w:name w:val="Table Grid8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36A46"/>
  </w:style>
  <w:style w:type="numbering" w:customStyle="1" w:styleId="NoList11141">
    <w:name w:val="No List11141"/>
    <w:next w:val="NoList"/>
    <w:semiHidden/>
    <w:rsid w:val="00B36A46"/>
  </w:style>
  <w:style w:type="table" w:customStyle="1" w:styleId="TableGrid1410">
    <w:name w:val="Table Grid14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semiHidden/>
    <w:rsid w:val="00B36A46"/>
  </w:style>
  <w:style w:type="numbering" w:customStyle="1" w:styleId="NoList261">
    <w:name w:val="No List261"/>
    <w:next w:val="NoList"/>
    <w:semiHidden/>
    <w:rsid w:val="00B36A46"/>
  </w:style>
  <w:style w:type="numbering" w:customStyle="1" w:styleId="NoList361">
    <w:name w:val="No List361"/>
    <w:next w:val="NoList"/>
    <w:semiHidden/>
    <w:unhideWhenUsed/>
    <w:rsid w:val="00B36A46"/>
  </w:style>
  <w:style w:type="table" w:customStyle="1" w:styleId="TableList751">
    <w:name w:val="Table List 75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
    <w:name w:val="Table Web 35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
    <w:name w:val="Table Elegant5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
    <w:name w:val="Table Web 25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
    <w:name w:val="Table Web 15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
    <w:name w:val="Table Grid 85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
    <w:name w:val="Table Contemporary5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
    <w:name w:val="Light List - Accent 19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
    <w:name w:val="Table Grid 75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
    <w:name w:val="Colorful Grid - Accent 16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
    <w:name w:val="Light List - Accent 56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
    <w:name w:val="Table Simple 35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
    <w:name w:val="Table Grid 55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
    <w:name w:val="Table Grid 35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
    <w:name w:val="Table Grid 15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
    <w:name w:val="Table Columns 55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
    <w:name w:val="Light List - Accent 115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
    <w:name w:val="Нет списка161"/>
    <w:next w:val="NoList"/>
    <w:semiHidden/>
    <w:unhideWhenUsed/>
    <w:rsid w:val="00B36A46"/>
  </w:style>
  <w:style w:type="table" w:customStyle="1" w:styleId="ColorfulGrid-Accent1151">
    <w:name w:val="Colorful Grid - Accent 115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
    <w:name w:val="Light List - Accent 515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
    <w:name w:val="No List451"/>
    <w:next w:val="NoList"/>
    <w:semiHidden/>
    <w:rsid w:val="00B36A46"/>
  </w:style>
  <w:style w:type="table" w:customStyle="1" w:styleId="Table3Deffects351">
    <w:name w:val="Table 3D effects 35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NoList"/>
    <w:semiHidden/>
    <w:unhideWhenUsed/>
    <w:rsid w:val="00B36A46"/>
  </w:style>
  <w:style w:type="numbering" w:customStyle="1" w:styleId="NoList531">
    <w:name w:val="No List531"/>
    <w:next w:val="NoList"/>
    <w:uiPriority w:val="99"/>
    <w:semiHidden/>
    <w:unhideWhenUsed/>
    <w:rsid w:val="00B36A46"/>
  </w:style>
  <w:style w:type="numbering" w:customStyle="1" w:styleId="NoList1231">
    <w:name w:val="No List1231"/>
    <w:next w:val="NoList"/>
    <w:semiHidden/>
    <w:rsid w:val="00B36A46"/>
  </w:style>
  <w:style w:type="numbering" w:customStyle="1" w:styleId="NoList11231">
    <w:name w:val="No List11231"/>
    <w:next w:val="NoList"/>
    <w:semiHidden/>
    <w:rsid w:val="00B36A46"/>
  </w:style>
  <w:style w:type="numbering" w:customStyle="1" w:styleId="NoList11111111">
    <w:name w:val="No List11111111"/>
    <w:next w:val="NoList"/>
    <w:semiHidden/>
    <w:rsid w:val="00B36A46"/>
  </w:style>
  <w:style w:type="numbering" w:customStyle="1" w:styleId="NoList2131">
    <w:name w:val="No List2131"/>
    <w:next w:val="NoList"/>
    <w:semiHidden/>
    <w:rsid w:val="00B36A46"/>
  </w:style>
  <w:style w:type="table" w:customStyle="1" w:styleId="TableGrid231">
    <w:name w:val="Table Grid23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unhideWhenUsed/>
    <w:rsid w:val="00B36A46"/>
  </w:style>
  <w:style w:type="numbering" w:customStyle="1" w:styleId="NoList611">
    <w:name w:val="No List611"/>
    <w:next w:val="NoList"/>
    <w:uiPriority w:val="99"/>
    <w:semiHidden/>
    <w:unhideWhenUsed/>
    <w:rsid w:val="00B36A46"/>
  </w:style>
  <w:style w:type="numbering" w:customStyle="1" w:styleId="NoList711">
    <w:name w:val="No List711"/>
    <w:next w:val="NoList"/>
    <w:uiPriority w:val="99"/>
    <w:semiHidden/>
    <w:unhideWhenUsed/>
    <w:rsid w:val="00B36A46"/>
  </w:style>
  <w:style w:type="table" w:customStyle="1" w:styleId="TableGrid3110">
    <w:name w:val="Table Grid3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semiHidden/>
    <w:unhideWhenUsed/>
    <w:rsid w:val="00B36A46"/>
  </w:style>
  <w:style w:type="numbering" w:customStyle="1" w:styleId="NoList11311">
    <w:name w:val="No List11311"/>
    <w:next w:val="NoList"/>
    <w:semiHidden/>
    <w:rsid w:val="00B36A46"/>
  </w:style>
  <w:style w:type="table" w:customStyle="1" w:styleId="TableGrid1111">
    <w:name w:val="Table Grid111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semiHidden/>
    <w:rsid w:val="00B36A46"/>
  </w:style>
  <w:style w:type="numbering" w:customStyle="1" w:styleId="NoList2211">
    <w:name w:val="No List2211"/>
    <w:next w:val="NoList"/>
    <w:semiHidden/>
    <w:rsid w:val="00B36A46"/>
  </w:style>
  <w:style w:type="numbering" w:customStyle="1" w:styleId="NoList3211">
    <w:name w:val="No List3211"/>
    <w:next w:val="NoList"/>
    <w:semiHidden/>
    <w:unhideWhenUsed/>
    <w:rsid w:val="00B36A46"/>
  </w:style>
  <w:style w:type="table" w:customStyle="1" w:styleId="TableList7111">
    <w:name w:val="Table List 71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
    <w:name w:val="Table Web 31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
    <w:name w:val="Light List - Accent 12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
    <w:name w:val="Table Grid 71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
    <w:name w:val="Colorful Grid - Accent 1211"/>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
    <w:name w:val="Table Simple 31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
    <w:name w:val="Table Grid 51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
    <w:name w:val="Table Grid 31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
    <w:name w:val="Table Columns 51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
    <w:name w:val="Light List - Accent 111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
    <w:name w:val="Нет списка1211"/>
    <w:next w:val="NoList"/>
    <w:uiPriority w:val="99"/>
    <w:semiHidden/>
    <w:unhideWhenUsed/>
    <w:rsid w:val="00B36A46"/>
  </w:style>
  <w:style w:type="table" w:customStyle="1" w:styleId="ColorfulGrid-Accent11111">
    <w:name w:val="Colorful Grid - Accent 111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
    <w:name w:val="Light List - Accent 511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
    <w:name w:val="No List4111"/>
    <w:next w:val="NoList"/>
    <w:semiHidden/>
    <w:rsid w:val="00B36A46"/>
  </w:style>
  <w:style w:type="table" w:customStyle="1" w:styleId="Table3Deffects3111">
    <w:name w:val="Table 3D effects 31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NoList"/>
    <w:semiHidden/>
    <w:unhideWhenUsed/>
    <w:rsid w:val="00B36A46"/>
  </w:style>
  <w:style w:type="numbering" w:customStyle="1" w:styleId="NoList5111">
    <w:name w:val="No List5111"/>
    <w:next w:val="NoList"/>
    <w:uiPriority w:val="99"/>
    <w:semiHidden/>
    <w:unhideWhenUsed/>
    <w:rsid w:val="00B36A46"/>
  </w:style>
  <w:style w:type="numbering" w:customStyle="1" w:styleId="NoList12111">
    <w:name w:val="No List12111"/>
    <w:next w:val="NoList"/>
    <w:semiHidden/>
    <w:rsid w:val="00B36A46"/>
  </w:style>
  <w:style w:type="numbering" w:customStyle="1" w:styleId="NoList112111">
    <w:name w:val="No List112111"/>
    <w:next w:val="NoList"/>
    <w:semiHidden/>
    <w:rsid w:val="00B36A46"/>
  </w:style>
  <w:style w:type="numbering" w:customStyle="1" w:styleId="NoList111111111">
    <w:name w:val="No List111111111"/>
    <w:next w:val="NoList"/>
    <w:semiHidden/>
    <w:rsid w:val="00B36A46"/>
  </w:style>
  <w:style w:type="numbering" w:customStyle="1" w:styleId="NoList21111">
    <w:name w:val="No List21111"/>
    <w:next w:val="NoList"/>
    <w:semiHidden/>
    <w:rsid w:val="00B36A46"/>
  </w:style>
  <w:style w:type="table" w:customStyle="1" w:styleId="TableGrid2111">
    <w:name w:val="Table Grid21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B36A46"/>
  </w:style>
  <w:style w:type="numbering" w:customStyle="1" w:styleId="NoList811">
    <w:name w:val="No List811"/>
    <w:next w:val="NoList"/>
    <w:uiPriority w:val="99"/>
    <w:semiHidden/>
    <w:unhideWhenUsed/>
    <w:rsid w:val="00B36A46"/>
  </w:style>
  <w:style w:type="numbering" w:customStyle="1" w:styleId="NoList911">
    <w:name w:val="No List911"/>
    <w:next w:val="NoList"/>
    <w:uiPriority w:val="99"/>
    <w:semiHidden/>
    <w:unhideWhenUsed/>
    <w:rsid w:val="00B36A46"/>
  </w:style>
  <w:style w:type="table" w:customStyle="1" w:styleId="TableGrid411">
    <w:name w:val="Table Grid4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
    <w:name w:val="Table List 72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
    <w:name w:val="Table Web 32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
    <w:name w:val="No List1411"/>
    <w:next w:val="NoList"/>
    <w:semiHidden/>
    <w:unhideWhenUsed/>
    <w:rsid w:val="00B36A46"/>
  </w:style>
  <w:style w:type="numbering" w:customStyle="1" w:styleId="NoList2311">
    <w:name w:val="No List2311"/>
    <w:next w:val="NoList"/>
    <w:semiHidden/>
    <w:unhideWhenUsed/>
    <w:rsid w:val="00B36A46"/>
  </w:style>
  <w:style w:type="numbering" w:customStyle="1" w:styleId="NoList3311">
    <w:name w:val="No List3311"/>
    <w:next w:val="NoList"/>
    <w:semiHidden/>
    <w:unhideWhenUsed/>
    <w:rsid w:val="00B36A46"/>
  </w:style>
  <w:style w:type="table" w:customStyle="1" w:styleId="LightList-Accent1311">
    <w:name w:val="Light List - Accent 13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
    <w:name w:val="Table Grid 72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
    <w:name w:val="Colorful Grid - Accent 13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
    <w:name w:val="Light List - Accent 53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
    <w:name w:val="Table Simple 32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
    <w:name w:val="Table Grid 52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
    <w:name w:val="Table Grid 32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
    <w:name w:val="Light List - Accent 112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
    <w:name w:val="Нет списка1311"/>
    <w:next w:val="NoList"/>
    <w:semiHidden/>
    <w:unhideWhenUsed/>
    <w:rsid w:val="00B36A46"/>
  </w:style>
  <w:style w:type="table" w:customStyle="1" w:styleId="ColorfulGrid-Accent11211">
    <w:name w:val="Colorful Grid - Accent 112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
    <w:name w:val="Light List - Accent 512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
    <w:name w:val="No List4211"/>
    <w:next w:val="NoList"/>
    <w:semiHidden/>
    <w:rsid w:val="00B36A46"/>
  </w:style>
  <w:style w:type="numbering" w:customStyle="1" w:styleId="NoList11411">
    <w:name w:val="No List11411"/>
    <w:next w:val="NoList"/>
    <w:semiHidden/>
    <w:unhideWhenUsed/>
    <w:rsid w:val="00B36A46"/>
  </w:style>
  <w:style w:type="table" w:customStyle="1" w:styleId="Table3Deffects3211">
    <w:name w:val="Table 3D effects 32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
    <w:name w:val="Нет списка11211"/>
    <w:next w:val="NoList"/>
    <w:semiHidden/>
    <w:unhideWhenUsed/>
    <w:rsid w:val="00B36A46"/>
  </w:style>
  <w:style w:type="numbering" w:customStyle="1" w:styleId="NoList1011">
    <w:name w:val="No List1011"/>
    <w:next w:val="NoList"/>
    <w:uiPriority w:val="99"/>
    <w:semiHidden/>
    <w:unhideWhenUsed/>
    <w:rsid w:val="00B36A46"/>
  </w:style>
  <w:style w:type="table" w:customStyle="1" w:styleId="TableGrid5110">
    <w:name w:val="Table Grid5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B36A46"/>
  </w:style>
  <w:style w:type="numbering" w:customStyle="1" w:styleId="NoList11511">
    <w:name w:val="No List11511"/>
    <w:next w:val="NoList"/>
    <w:semiHidden/>
    <w:rsid w:val="00B36A46"/>
  </w:style>
  <w:style w:type="table" w:customStyle="1" w:styleId="TableGrid12110">
    <w:name w:val="Table Grid12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semiHidden/>
    <w:rsid w:val="00B36A46"/>
  </w:style>
  <w:style w:type="numbering" w:customStyle="1" w:styleId="NoList2411">
    <w:name w:val="No List2411"/>
    <w:next w:val="NoList"/>
    <w:semiHidden/>
    <w:rsid w:val="00B36A46"/>
  </w:style>
  <w:style w:type="numbering" w:customStyle="1" w:styleId="NoList3411">
    <w:name w:val="No List3411"/>
    <w:next w:val="NoList"/>
    <w:semiHidden/>
    <w:unhideWhenUsed/>
    <w:rsid w:val="00B36A46"/>
  </w:style>
  <w:style w:type="table" w:customStyle="1" w:styleId="TableList7311">
    <w:name w:val="Table List 73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
    <w:name w:val="Table Web 33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
    <w:name w:val="Table Elegant3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
    <w:name w:val="Table Web 23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
    <w:name w:val="Table Web 13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
    <w:name w:val="Table Grid 83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
    <w:name w:val="Table Contemporary3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
    <w:name w:val="Light List - Accent 14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
    <w:name w:val="Table Grid 73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
    <w:name w:val="Colorful Grid - Accent 14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
    <w:name w:val="Light List - Accent 54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
    <w:name w:val="Table Simple 33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
    <w:name w:val="Table Grid 53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
    <w:name w:val="Table Grid 33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
    <w:name w:val="Table Grid 13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
    <w:name w:val="Table Columns 53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
    <w:name w:val="Light List - Accent 113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
    <w:name w:val="Нет списка1411"/>
    <w:next w:val="NoList"/>
    <w:semiHidden/>
    <w:unhideWhenUsed/>
    <w:rsid w:val="00B36A46"/>
  </w:style>
  <w:style w:type="table" w:customStyle="1" w:styleId="ColorfulGrid-Accent11311">
    <w:name w:val="Colorful Grid - Accent 113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
    <w:name w:val="Light List - Accent 513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
    <w:name w:val="No List4311"/>
    <w:next w:val="NoList"/>
    <w:semiHidden/>
    <w:rsid w:val="00B36A46"/>
  </w:style>
  <w:style w:type="table" w:customStyle="1" w:styleId="Table3Deffects3311">
    <w:name w:val="Table 3D effects 33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
    <w:name w:val="Нет списка11311"/>
    <w:next w:val="NoList"/>
    <w:semiHidden/>
    <w:unhideWhenUsed/>
    <w:rsid w:val="00B36A46"/>
  </w:style>
  <w:style w:type="numbering" w:customStyle="1" w:styleId="NoList5211">
    <w:name w:val="No List5211"/>
    <w:next w:val="NoList"/>
    <w:uiPriority w:val="99"/>
    <w:semiHidden/>
    <w:unhideWhenUsed/>
    <w:rsid w:val="00B36A46"/>
  </w:style>
  <w:style w:type="numbering" w:customStyle="1" w:styleId="NoList12211">
    <w:name w:val="No List12211"/>
    <w:next w:val="NoList"/>
    <w:semiHidden/>
    <w:rsid w:val="00B36A46"/>
  </w:style>
  <w:style w:type="numbering" w:customStyle="1" w:styleId="NoList112211">
    <w:name w:val="No List112211"/>
    <w:next w:val="NoList"/>
    <w:semiHidden/>
    <w:rsid w:val="00B36A46"/>
  </w:style>
  <w:style w:type="numbering" w:customStyle="1" w:styleId="NoList1111211">
    <w:name w:val="No List1111211"/>
    <w:next w:val="NoList"/>
    <w:semiHidden/>
    <w:rsid w:val="00B36A46"/>
  </w:style>
  <w:style w:type="numbering" w:customStyle="1" w:styleId="NoList21211">
    <w:name w:val="No List21211"/>
    <w:next w:val="NoList"/>
    <w:semiHidden/>
    <w:rsid w:val="00B36A46"/>
  </w:style>
  <w:style w:type="table" w:customStyle="1" w:styleId="TableGrid2211">
    <w:name w:val="Table Grid22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B36A46"/>
  </w:style>
  <w:style w:type="table" w:customStyle="1" w:styleId="LightShading-Accent1111">
    <w:name w:val="Light Shading - Accent 111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
    <w:name w:val="Medium Grid 2 - Accent 111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
    <w:name w:val="Medium List 2 - Accent 511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
    <w:name w:val="Light List - Accent 15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
    <w:name w:val="Medium Grid 3 - Accent 511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
    <w:name w:val="Light Shading - Accent 511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
    <w:name w:val="Medium Grid 2 - Accent 511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
    <w:name w:val="Light Grid - Accent 111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
    <w:name w:val="Table List 43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
    <w:name w:val="Table List 412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
    <w:name w:val="Table Theme11"/>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
    <w:name w:val="Table Grid 611"/>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
    <w:name w:val="Table List 42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
    <w:name w:val="Table List 411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
    <w:name w:val="Style113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
    <w:name w:val="Style2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
    <w:name w:val="Style21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
    <w:name w:val="No List1611"/>
    <w:next w:val="NoList"/>
    <w:uiPriority w:val="99"/>
    <w:semiHidden/>
    <w:unhideWhenUsed/>
    <w:rsid w:val="00B36A46"/>
  </w:style>
  <w:style w:type="table" w:customStyle="1" w:styleId="TableGrid6110">
    <w:name w:val="Table Grid6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36A46"/>
  </w:style>
  <w:style w:type="numbering" w:customStyle="1" w:styleId="NoList11611">
    <w:name w:val="No List11611"/>
    <w:next w:val="NoList"/>
    <w:semiHidden/>
    <w:rsid w:val="00B36A46"/>
  </w:style>
  <w:style w:type="table" w:customStyle="1" w:styleId="TableGrid13110">
    <w:name w:val="Table Grid131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
    <w:name w:val="Light List - Accent 16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
    <w:name w:val="Medium Grid 2 - Accent 131"/>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
    <w:name w:val="Medium List 2 - Accent 531"/>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
    <w:name w:val="Medium Grid 3 - Accent 531"/>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
    <w:name w:val="Light Shading - Accent 531"/>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
    <w:name w:val="Medium Grid 2 - Accent 531"/>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
    <w:name w:val="Light Grid - Accent 131"/>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
    <w:name w:val="Light Shading - Accent 14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
    <w:name w:val="Medium Grid 2 - Accent 14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
    <w:name w:val="Medium List 2 - Accent 54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
    <w:name w:val="Light List - Accent 11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
    <w:name w:val="Medium Grid 3 - Accent 54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
    <w:name w:val="Light Shading - Accent 54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
    <w:name w:val="Medium Grid 2 - Accent 54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
    <w:name w:val="Light Grid - Accent 14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
    <w:name w:val="Light Shading - Accent 15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
    <w:name w:val="Medium Grid 2 - Accent 15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
    <w:name w:val="Medium List 2 - Accent 55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
    <w:name w:val="Light List - Accent 116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
    <w:name w:val="Medium Grid 3 - Accent 55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
    <w:name w:val="Light Shading - Accent 55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
    <w:name w:val="Medium Grid 2 - Accent 55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
    <w:name w:val="Light Grid - Accent 15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
    <w:name w:val="No List271"/>
    <w:next w:val="NoList"/>
    <w:uiPriority w:val="99"/>
    <w:semiHidden/>
    <w:unhideWhenUsed/>
    <w:rsid w:val="00B36A46"/>
  </w:style>
  <w:style w:type="table" w:customStyle="1" w:styleId="TableGrid91">
    <w:name w:val="Table Grid9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
    <w:name w:val="Table List 76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
    <w:name w:val="Table Web 36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
    <w:name w:val="Table Elegant6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
    <w:name w:val="Table Web 26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
    <w:name w:val="Table Web 16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
    <w:name w:val="Table Grid 86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
    <w:name w:val="Table Contemporary6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
    <w:name w:val="No List1191"/>
    <w:next w:val="NoList"/>
    <w:semiHidden/>
    <w:unhideWhenUsed/>
    <w:rsid w:val="00B36A46"/>
  </w:style>
  <w:style w:type="numbering" w:customStyle="1" w:styleId="NoList281">
    <w:name w:val="No List281"/>
    <w:next w:val="NoList"/>
    <w:semiHidden/>
    <w:unhideWhenUsed/>
    <w:rsid w:val="00B36A46"/>
  </w:style>
  <w:style w:type="numbering" w:customStyle="1" w:styleId="NoList371">
    <w:name w:val="No List371"/>
    <w:next w:val="NoList"/>
    <w:semiHidden/>
    <w:unhideWhenUsed/>
    <w:rsid w:val="00B36A46"/>
  </w:style>
  <w:style w:type="table" w:customStyle="1" w:styleId="LightList-Accent1171">
    <w:name w:val="Light List - Accent 117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
    <w:name w:val="Table Grid 76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
    <w:name w:val="Colorful Grid - Accent 17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
    <w:name w:val="Light List - Accent 57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
    <w:name w:val="Table Simple 36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
    <w:name w:val="Table Grid 56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
    <w:name w:val="Table Grid 36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
    <w:name w:val="Table Grid 16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
    <w:name w:val="Table Columns 56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
    <w:name w:val="Light List - Accent 118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
    <w:name w:val="Нет списка171"/>
    <w:next w:val="NoList"/>
    <w:semiHidden/>
    <w:unhideWhenUsed/>
    <w:rsid w:val="00B36A46"/>
  </w:style>
  <w:style w:type="table" w:customStyle="1" w:styleId="ColorfulGrid-Accent1161">
    <w:name w:val="Colorful Grid - Accent 116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
    <w:name w:val="Light List - Accent 516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
    <w:name w:val="No List461"/>
    <w:next w:val="NoList"/>
    <w:semiHidden/>
    <w:rsid w:val="00B36A46"/>
  </w:style>
  <w:style w:type="numbering" w:customStyle="1" w:styleId="NoList11101">
    <w:name w:val="No List11101"/>
    <w:next w:val="NoList"/>
    <w:semiHidden/>
    <w:unhideWhenUsed/>
    <w:rsid w:val="00B36A46"/>
  </w:style>
  <w:style w:type="table" w:customStyle="1" w:styleId="Table3Deffects361">
    <w:name w:val="Table 3D effects 36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
    <w:name w:val="Нет списка1161"/>
    <w:next w:val="NoList"/>
    <w:semiHidden/>
    <w:unhideWhenUsed/>
    <w:rsid w:val="00B36A46"/>
  </w:style>
  <w:style w:type="table" w:customStyle="1" w:styleId="LightShading-Accent161">
    <w:name w:val="Light Shading - Accent 16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
    <w:name w:val="Medium Grid 2 - Accent 16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
    <w:name w:val="Medium List 2 - Accent 56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
    <w:name w:val="Light List - Accent 15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
    <w:name w:val="Medium Grid 3 - Accent 56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
    <w:name w:val="Light Shading - Accent 56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
    <w:name w:val="Medium Grid 2 - Accent 56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
    <w:name w:val="Light Grid - Accent 16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
    <w:name w:val="Style114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
    <w:name w:val="Style2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
    <w:name w:val="Style21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
    <w:name w:val="Light Shading - Accent 1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
    <w:name w:val="Medium Grid 2 - Accent 1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
    <w:name w:val="Medium List 2 - Accent 51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
    <w:name w:val="Light List - Accent 16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
    <w:name w:val="Medium Grid 3 - Accent 51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
    <w:name w:val="Light Shading - Accent 51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
    <w:name w:val="Medium Grid 2 - Accent 51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
    <w:name w:val="Light Grid - Accent 1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
    <w:name w:val="No List291"/>
    <w:next w:val="NoList"/>
    <w:uiPriority w:val="99"/>
    <w:semiHidden/>
    <w:unhideWhenUsed/>
    <w:rsid w:val="00B36A46"/>
  </w:style>
  <w:style w:type="table" w:customStyle="1" w:styleId="TableGrid101">
    <w:name w:val="Table Grid10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B36A46"/>
  </w:style>
  <w:style w:type="numbering" w:customStyle="1" w:styleId="NoList11151">
    <w:name w:val="No List11151"/>
    <w:next w:val="NoList"/>
    <w:semiHidden/>
    <w:rsid w:val="00B36A46"/>
  </w:style>
  <w:style w:type="table" w:customStyle="1" w:styleId="TableGrid1510">
    <w:name w:val="Table Grid15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36A46"/>
  </w:style>
  <w:style w:type="table" w:customStyle="1" w:styleId="LightShading-Accent171">
    <w:name w:val="Light Shading - Accent 17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
    <w:name w:val="Medium Grid 2 - Accent 17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
    <w:name w:val="Medium List 2 - Accent 57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
    <w:name w:val="Light List - Accent 119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
    <w:name w:val="Medium Grid 3 - Accent 57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
    <w:name w:val="Light Shading - Accent 57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
    <w:name w:val="Medium Grid 2 - Accent 57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
    <w:name w:val="Light Grid - Accent 17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
    <w:name w:val="No List381"/>
    <w:next w:val="NoList"/>
    <w:uiPriority w:val="99"/>
    <w:semiHidden/>
    <w:unhideWhenUsed/>
    <w:rsid w:val="00B36A46"/>
  </w:style>
  <w:style w:type="table" w:customStyle="1" w:styleId="TableGrid1610">
    <w:name w:val="Table Grid16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B36A46"/>
  </w:style>
  <w:style w:type="numbering" w:customStyle="1" w:styleId="NoList11161">
    <w:name w:val="No List11161"/>
    <w:next w:val="NoList"/>
    <w:semiHidden/>
    <w:rsid w:val="00B36A46"/>
  </w:style>
  <w:style w:type="table" w:customStyle="1" w:styleId="TableGrid171">
    <w:name w:val="Table Grid17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
    <w:name w:val="Light Shading - Accent 18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
    <w:name w:val="Medium Grid 2 - Accent 18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
    <w:name w:val="Medium List 2 - Accent 58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
    <w:name w:val="Light List - Accent 12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
    <w:name w:val="Medium Grid 3 - Accent 58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
    <w:name w:val="Light Shading - Accent 58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
    <w:name w:val="Medium Grid 2 - Accent 58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
    <w:name w:val="Light Grid - Accent 18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
    <w:name w:val="Light Shading - Accent 19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
    <w:name w:val="Medium Grid 2 - Accent 19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
    <w:name w:val="Medium List 2 - Accent 59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
    <w:name w:val="Light List - Accent 12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
    <w:name w:val="Medium Grid 3 - Accent 59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
    <w:name w:val="Light Shading - Accent 59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
    <w:name w:val="Medium Grid 2 - Accent 59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
    <w:name w:val="Light Grid - Accent 19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
    <w:name w:val="Style1152"/>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
    <w:name w:val="Style21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
    <w:name w:val="No List391"/>
    <w:next w:val="NoList"/>
    <w:uiPriority w:val="99"/>
    <w:semiHidden/>
    <w:unhideWhenUsed/>
    <w:rsid w:val="00B36A46"/>
  </w:style>
  <w:style w:type="table" w:customStyle="1" w:styleId="TableGrid181">
    <w:name w:val="Table Grid18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B36A46"/>
  </w:style>
  <w:style w:type="numbering" w:customStyle="1" w:styleId="NoList11171">
    <w:name w:val="No List11171"/>
    <w:next w:val="NoList"/>
    <w:semiHidden/>
    <w:rsid w:val="00B36A46"/>
  </w:style>
  <w:style w:type="table" w:customStyle="1" w:styleId="TableGrid191">
    <w:name w:val="Table Grid19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
    <w:name w:val="Style115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
    <w:name w:val="Style216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
    <w:name w:val="No List401"/>
    <w:next w:val="NoList"/>
    <w:uiPriority w:val="99"/>
    <w:semiHidden/>
    <w:unhideWhenUsed/>
    <w:rsid w:val="00B36A46"/>
  </w:style>
  <w:style w:type="table" w:customStyle="1" w:styleId="TableGrid201">
    <w:name w:val="Table Grid201"/>
    <w:basedOn w:val="TableNormal"/>
    <w:next w:val="TableGrid"/>
    <w:uiPriority w:val="59"/>
    <w:rsid w:val="00B36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
    <w:name w:val="Light Shading - Accent 110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
    <w:name w:val="Light List - Accent 581"/>
    <w:basedOn w:val="TableNormal"/>
    <w:next w:val="LightList-Accent5"/>
    <w:uiPriority w:val="61"/>
    <w:rsid w:val="00B36A46"/>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
    <w:name w:val="Medium List 2 - Accent 11"/>
    <w:basedOn w:val="TableNormal"/>
    <w:next w:val="MediumList2-Accent1"/>
    <w:uiPriority w:val="66"/>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
    <w:name w:val="Medium Grid 2 - Accent 110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
    <w:name w:val="Medium List 2 - Accent 510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
    <w:name w:val="Medium List 1 - Accent 51"/>
    <w:basedOn w:val="TableNormal"/>
    <w:next w:val="MediumList1-Accent5"/>
    <w:uiPriority w:val="65"/>
    <w:rsid w:val="00B36A46"/>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
    <w:name w:val="Medium Grid 3 - Accent 510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
    <w:name w:val="Light Shading - Accent 510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
    <w:name w:val="Medium Grid 2 - Accent 510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B36A46"/>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
    <w:name w:val="Medium List 2 - Accent 31"/>
    <w:basedOn w:val="TableNormal"/>
    <w:next w:val="MediumList2-Accent3"/>
    <w:uiPriority w:val="66"/>
    <w:rsid w:val="00B36A46"/>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B36A46"/>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
    <w:name w:val="Light Grid - Accent 110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
    <w:name w:val="No List471"/>
    <w:next w:val="NoList"/>
    <w:uiPriority w:val="99"/>
    <w:semiHidden/>
    <w:unhideWhenUsed/>
    <w:rsid w:val="00B36A46"/>
  </w:style>
  <w:style w:type="table" w:customStyle="1" w:styleId="TableGrid241">
    <w:name w:val="Table Grid24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B36A46"/>
  </w:style>
  <w:style w:type="numbering" w:customStyle="1" w:styleId="NoList11181">
    <w:name w:val="No List11181"/>
    <w:next w:val="NoList"/>
    <w:semiHidden/>
    <w:rsid w:val="00B36A46"/>
  </w:style>
  <w:style w:type="table" w:customStyle="1" w:styleId="TableGrid1101">
    <w:name w:val="Table Grid110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
    <w:name w:val="Medium Grid 2 - Accent 114"/>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
    <w:name w:val="Medium List 2 - Accent 514"/>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
    <w:name w:val="Medium Grid 3 - Accent 514"/>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
    <w:name w:val="Light Shading - Accent 514"/>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
    <w:name w:val="Medium Grid 2 - Accent 514"/>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
    <w:name w:val="Light Grid - Accent 114"/>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
    <w:name w:val="Medium List 2 - Accent 12"/>
    <w:basedOn w:val="TableNormal"/>
    <w:next w:val="MediumList2-Accent1"/>
    <w:uiPriority w:val="66"/>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leNormal"/>
    <w:next w:val="MediumGrid3-Accent6"/>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
    <w:name w:val="Medium List 1 - Accent 52"/>
    <w:basedOn w:val="TableNormal"/>
    <w:next w:val="MediumList1-Accent5"/>
    <w:uiPriority w:val="65"/>
    <w:semiHidden/>
    <w:unhideWhenUsed/>
    <w:rsid w:val="00B36A46"/>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
    <w:name w:val="Light List - Accent 32"/>
    <w:basedOn w:val="TableNormal"/>
    <w:next w:val="LightList-Accent3"/>
    <w:uiPriority w:val="61"/>
    <w:semiHidden/>
    <w:unhideWhenUsed/>
    <w:rsid w:val="00B36A46"/>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
    <w:name w:val="Medium List 2 - Accent 32"/>
    <w:basedOn w:val="TableNormal"/>
    <w:next w:val="MediumList2-Accent3"/>
    <w:uiPriority w:val="66"/>
    <w:semiHidden/>
    <w:unhideWhenUsed/>
    <w:rsid w:val="00B36A46"/>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B36A46"/>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
    <w:name w:val="No List55"/>
    <w:next w:val="NoList"/>
    <w:uiPriority w:val="99"/>
    <w:semiHidden/>
    <w:unhideWhenUsed/>
    <w:rsid w:val="005150E5"/>
  </w:style>
  <w:style w:type="table" w:customStyle="1" w:styleId="TableGrid29">
    <w:name w:val="Table Grid29"/>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5150E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Side1">
    <w:name w:val="Side1"/>
    <w:basedOn w:val="Normal"/>
    <w:next w:val="Normal"/>
    <w:unhideWhenUsed/>
    <w:qFormat/>
    <w:rsid w:val="005150E5"/>
    <w:pPr>
      <w:spacing w:before="200" w:line="312" w:lineRule="auto"/>
      <w:contextualSpacing w:val="0"/>
      <w:outlineLvl w:val="4"/>
    </w:pPr>
    <w:rPr>
      <w:rFonts w:ascii="Cambria" w:hAnsi="Cambria"/>
      <w:bCs/>
      <w:color w:val="7F7F7F"/>
      <w:szCs w:val="22"/>
      <w:lang w:val="en-US" w:eastAsia="en-US"/>
    </w:rPr>
  </w:style>
  <w:style w:type="paragraph" w:customStyle="1" w:styleId="Heading61">
    <w:name w:val="Heading 61"/>
    <w:basedOn w:val="Normal"/>
    <w:next w:val="Normal"/>
    <w:unhideWhenUsed/>
    <w:qFormat/>
    <w:rsid w:val="005150E5"/>
    <w:pPr>
      <w:spacing w:before="40" w:line="271" w:lineRule="auto"/>
      <w:contextualSpacing w:val="0"/>
      <w:outlineLvl w:val="5"/>
    </w:pPr>
    <w:rPr>
      <w:rFonts w:ascii="Cambria" w:hAnsi="Cambria"/>
      <w:bCs/>
      <w:i/>
      <w:iCs/>
      <w:color w:val="7F7F7F"/>
      <w:szCs w:val="22"/>
      <w:lang w:val="en-US" w:eastAsia="en-US"/>
    </w:rPr>
  </w:style>
  <w:style w:type="paragraph" w:customStyle="1" w:styleId="Heading71">
    <w:name w:val="Heading 71"/>
    <w:basedOn w:val="Normal"/>
    <w:next w:val="Normal"/>
    <w:unhideWhenUsed/>
    <w:qFormat/>
    <w:rsid w:val="005150E5"/>
    <w:pPr>
      <w:spacing w:before="40" w:line="312" w:lineRule="auto"/>
      <w:contextualSpacing w:val="0"/>
      <w:outlineLvl w:val="6"/>
    </w:pPr>
    <w:rPr>
      <w:rFonts w:ascii="Cambria" w:hAnsi="Cambria"/>
      <w:b w:val="0"/>
      <w:i/>
      <w:iCs/>
      <w:szCs w:val="22"/>
      <w:lang w:val="en-US" w:eastAsia="en-US"/>
    </w:rPr>
  </w:style>
  <w:style w:type="paragraph" w:customStyle="1" w:styleId="Heading81">
    <w:name w:val="Heading 81"/>
    <w:basedOn w:val="Normal"/>
    <w:next w:val="Normal"/>
    <w:unhideWhenUsed/>
    <w:qFormat/>
    <w:rsid w:val="005150E5"/>
    <w:pPr>
      <w:spacing w:before="40" w:line="312" w:lineRule="auto"/>
      <w:contextualSpacing w:val="0"/>
      <w:outlineLvl w:val="7"/>
    </w:pPr>
    <w:rPr>
      <w:rFonts w:ascii="Cambria" w:hAnsi="Cambria"/>
      <w:b w:val="0"/>
      <w:sz w:val="20"/>
      <w:szCs w:val="20"/>
      <w:lang w:val="en-US" w:eastAsia="en-US"/>
    </w:rPr>
  </w:style>
  <w:style w:type="paragraph" w:customStyle="1" w:styleId="Heading91">
    <w:name w:val="Heading 91"/>
    <w:basedOn w:val="Normal"/>
    <w:next w:val="Normal"/>
    <w:unhideWhenUsed/>
    <w:qFormat/>
    <w:rsid w:val="005150E5"/>
    <w:pPr>
      <w:spacing w:before="40" w:line="312" w:lineRule="auto"/>
      <w:contextualSpacing w:val="0"/>
      <w:outlineLvl w:val="8"/>
    </w:pPr>
    <w:rPr>
      <w:rFonts w:ascii="Cambria" w:hAnsi="Cambria"/>
      <w:b w:val="0"/>
      <w:i/>
      <w:iCs/>
      <w:spacing w:val="5"/>
      <w:sz w:val="20"/>
      <w:szCs w:val="20"/>
      <w:lang w:val="en-US" w:eastAsia="en-US"/>
    </w:rPr>
  </w:style>
  <w:style w:type="numbering" w:customStyle="1" w:styleId="NoList130">
    <w:name w:val="No List130"/>
    <w:next w:val="NoList"/>
    <w:uiPriority w:val="99"/>
    <w:semiHidden/>
    <w:unhideWhenUsed/>
    <w:rsid w:val="005150E5"/>
  </w:style>
  <w:style w:type="paragraph" w:customStyle="1" w:styleId="BodyTextMaintext1">
    <w:name w:val="Body Text (Main text)1"/>
    <w:basedOn w:val="Normal"/>
    <w:next w:val="BodyText"/>
    <w:rsid w:val="005150E5"/>
    <w:pPr>
      <w:spacing w:before="40" w:after="120" w:line="312" w:lineRule="auto"/>
      <w:contextualSpacing w:val="0"/>
    </w:pPr>
    <w:rPr>
      <w:rFonts w:eastAsia="Calibri"/>
      <w:b w:val="0"/>
      <w:szCs w:val="22"/>
      <w:lang w:val="en-US" w:eastAsia="en-US"/>
    </w:rPr>
  </w:style>
  <w:style w:type="paragraph" w:customStyle="1" w:styleId="BodyTextIndent31">
    <w:name w:val="Body Text Indent 31"/>
    <w:basedOn w:val="Normal"/>
    <w:next w:val="BodyTextIndent3"/>
    <w:rsid w:val="005150E5"/>
    <w:pPr>
      <w:spacing w:before="40" w:after="60" w:line="312" w:lineRule="auto"/>
      <w:contextualSpacing w:val="0"/>
    </w:pPr>
    <w:rPr>
      <w:rFonts w:ascii="Arial Armenian" w:eastAsia="Calibri" w:hAnsi="Arial Armenian"/>
      <w:b w:val="0"/>
      <w:noProof/>
      <w:sz w:val="20"/>
      <w:szCs w:val="20"/>
      <w:lang w:val="en-US" w:eastAsia="en-US"/>
    </w:rPr>
  </w:style>
  <w:style w:type="paragraph" w:customStyle="1" w:styleId="BodyTextIndent21">
    <w:name w:val="Body Text Indent 21"/>
    <w:basedOn w:val="Normal"/>
    <w:next w:val="BodyTextIndent2"/>
    <w:link w:val="BodyTextIndent2Char1"/>
    <w:rsid w:val="005150E5"/>
    <w:pPr>
      <w:widowControl w:val="0"/>
      <w:spacing w:before="40" w:after="120" w:line="312" w:lineRule="auto"/>
      <w:ind w:left="720" w:firstLine="720"/>
      <w:contextualSpacing w:val="0"/>
    </w:pPr>
    <w:rPr>
      <w:rFonts w:ascii="Arial Armenian" w:hAnsi="Arial Armenian"/>
      <w:b w:val="0"/>
      <w:sz w:val="20"/>
      <w:szCs w:val="20"/>
      <w:lang w:val="en-GB" w:eastAsia="en-US"/>
    </w:rPr>
  </w:style>
  <w:style w:type="paragraph" w:customStyle="1" w:styleId="1Text1">
    <w:name w:val="1Text1"/>
    <w:basedOn w:val="Normal"/>
    <w:next w:val="BodyText2"/>
    <w:link w:val="BodyText2Char1"/>
    <w:qFormat/>
    <w:rsid w:val="005150E5"/>
    <w:pPr>
      <w:spacing w:before="40" w:after="120" w:line="480" w:lineRule="auto"/>
      <w:contextualSpacing w:val="0"/>
    </w:pPr>
    <w:rPr>
      <w:rFonts w:ascii="Times New Roman" w:hAnsi="Times New Roman"/>
      <w:b w:val="0"/>
      <w:sz w:val="20"/>
      <w:szCs w:val="20"/>
      <w:lang w:val="en-US" w:eastAsia="en-US"/>
    </w:rPr>
  </w:style>
  <w:style w:type="paragraph" w:customStyle="1" w:styleId="BodyText31">
    <w:name w:val="Body Text 31"/>
    <w:basedOn w:val="Normal"/>
    <w:next w:val="BodyText3"/>
    <w:link w:val="BodyText3Char1"/>
    <w:rsid w:val="005150E5"/>
    <w:pPr>
      <w:spacing w:before="40" w:after="120" w:line="312" w:lineRule="auto"/>
      <w:contextualSpacing w:val="0"/>
    </w:pPr>
    <w:rPr>
      <w:rFonts w:ascii="Times New Roman" w:hAnsi="Times New Roman"/>
      <w:b w:val="0"/>
      <w:sz w:val="16"/>
      <w:szCs w:val="16"/>
    </w:rPr>
  </w:style>
  <w:style w:type="paragraph" w:customStyle="1" w:styleId="ListBullet1">
    <w:name w:val="List Bullet1"/>
    <w:basedOn w:val="Normal"/>
    <w:next w:val="ListBullet"/>
    <w:autoRedefine/>
    <w:qFormat/>
    <w:rsid w:val="005150E5"/>
    <w:pPr>
      <w:tabs>
        <w:tab w:val="num" w:pos="360"/>
      </w:tabs>
      <w:overflowPunct w:val="0"/>
      <w:autoSpaceDE w:val="0"/>
      <w:autoSpaceDN w:val="0"/>
      <w:adjustRightInd w:val="0"/>
      <w:spacing w:before="130" w:after="60" w:line="312" w:lineRule="auto"/>
      <w:ind w:left="360" w:hanging="360"/>
      <w:contextualSpacing w:val="0"/>
      <w:textAlignment w:val="baseline"/>
    </w:pPr>
    <w:rPr>
      <w:b w:val="0"/>
      <w:szCs w:val="22"/>
      <w:lang w:val="en-GB" w:eastAsia="en-US"/>
    </w:rPr>
  </w:style>
  <w:style w:type="paragraph" w:customStyle="1" w:styleId="EndnoteText1">
    <w:name w:val="Endnote Text1"/>
    <w:basedOn w:val="Normal"/>
    <w:next w:val="EndnoteText"/>
    <w:rsid w:val="005150E5"/>
    <w:pPr>
      <w:spacing w:before="40" w:after="60" w:line="312" w:lineRule="auto"/>
      <w:contextualSpacing w:val="0"/>
    </w:pPr>
    <w:rPr>
      <w:rFonts w:eastAsia="Calibri"/>
      <w:b w:val="0"/>
      <w:sz w:val="20"/>
      <w:szCs w:val="20"/>
      <w:lang w:val="en-GB" w:eastAsia="en-US"/>
    </w:rPr>
  </w:style>
  <w:style w:type="table" w:customStyle="1" w:styleId="TableGrid114">
    <w:name w:val="Table Grid114"/>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rsid w:val="005150E5"/>
    <w:pPr>
      <w:spacing w:before="40" w:after="60"/>
      <w:ind w:left="-709" w:right="-483"/>
      <w:contextualSpacing w:val="0"/>
    </w:pPr>
    <w:rPr>
      <w:rFonts w:ascii="Times Armenian" w:hAnsi="Times Armenian"/>
      <w:b w:val="0"/>
      <w:szCs w:val="20"/>
      <w:lang w:val="en-US" w:eastAsia="en-US"/>
    </w:rPr>
  </w:style>
  <w:style w:type="paragraph" w:customStyle="1" w:styleId="TOC41">
    <w:name w:val="TOC 41"/>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1">
    <w:name w:val="TOC 51"/>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itle10">
    <w:name w:val="Title1"/>
    <w:basedOn w:val="Normal"/>
    <w:next w:val="Normal"/>
    <w:qFormat/>
    <w:rsid w:val="005150E5"/>
    <w:pPr>
      <w:pBdr>
        <w:bottom w:val="single" w:sz="4" w:space="1" w:color="auto"/>
      </w:pBdr>
      <w:spacing w:before="40" w:after="60" w:line="240" w:lineRule="auto"/>
    </w:pPr>
    <w:rPr>
      <w:rFonts w:ascii="Cambria" w:hAnsi="Cambria"/>
      <w:b w:val="0"/>
      <w:spacing w:val="5"/>
      <w:sz w:val="52"/>
      <w:szCs w:val="52"/>
      <w:lang w:val="en-US" w:eastAsia="en-US"/>
    </w:rPr>
  </w:style>
  <w:style w:type="paragraph" w:customStyle="1" w:styleId="PlainText1">
    <w:name w:val="Plain Text1"/>
    <w:basedOn w:val="Normal"/>
    <w:next w:val="PlainText"/>
    <w:rsid w:val="005150E5"/>
    <w:pPr>
      <w:spacing w:after="60" w:line="312" w:lineRule="auto"/>
      <w:contextualSpacing w:val="0"/>
    </w:pPr>
    <w:rPr>
      <w:rFonts w:ascii="Courier New" w:eastAsia="Calibri" w:hAnsi="Courier New"/>
      <w:b w:val="0"/>
      <w:sz w:val="20"/>
      <w:szCs w:val="20"/>
      <w:lang w:val="en-US" w:eastAsia="en-US"/>
    </w:rPr>
  </w:style>
  <w:style w:type="paragraph" w:customStyle="1" w:styleId="TOC61">
    <w:name w:val="TOC 61"/>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1">
    <w:name w:val="TOC 71"/>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1">
    <w:name w:val="TOC 81"/>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1">
    <w:name w:val="TOC 91"/>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13">
    <w:name w:val="Table List 71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1">
    <w:name w:val="Table of Figures1"/>
    <w:basedOn w:val="Normal"/>
    <w:next w:val="Normal"/>
    <w:rsid w:val="005150E5"/>
    <w:pPr>
      <w:spacing w:before="40" w:after="60" w:line="312" w:lineRule="auto"/>
      <w:ind w:left="480" w:hanging="480"/>
      <w:contextualSpacing w:val="0"/>
    </w:pPr>
    <w:rPr>
      <w:b w:val="0"/>
      <w:sz w:val="20"/>
      <w:szCs w:val="22"/>
      <w:lang w:val="en-US" w:eastAsia="en-US"/>
    </w:rPr>
  </w:style>
  <w:style w:type="paragraph" w:customStyle="1" w:styleId="Subtitle1">
    <w:name w:val="Subtitle1"/>
    <w:basedOn w:val="Normal"/>
    <w:next w:val="Normal"/>
    <w:qFormat/>
    <w:rsid w:val="005150E5"/>
    <w:pPr>
      <w:spacing w:before="40" w:after="600" w:line="312" w:lineRule="auto"/>
      <w:contextualSpacing w:val="0"/>
    </w:pPr>
    <w:rPr>
      <w:rFonts w:ascii="Cambria" w:hAnsi="Cambria"/>
      <w:b w:val="0"/>
      <w:i/>
      <w:iCs/>
      <w:spacing w:val="13"/>
      <w:sz w:val="24"/>
      <w:lang w:val="en-US" w:eastAsia="en-US"/>
    </w:rPr>
  </w:style>
  <w:style w:type="paragraph" w:customStyle="1" w:styleId="Index11">
    <w:name w:val="Index 11"/>
    <w:basedOn w:val="Normal"/>
    <w:next w:val="Normal"/>
    <w:autoRedefine/>
    <w:rsid w:val="005150E5"/>
    <w:pPr>
      <w:spacing w:before="40" w:after="60" w:line="312" w:lineRule="auto"/>
      <w:ind w:left="240" w:hanging="240"/>
      <w:contextualSpacing w:val="0"/>
    </w:pPr>
    <w:rPr>
      <w:b w:val="0"/>
      <w:szCs w:val="22"/>
      <w:lang w:val="en-US" w:eastAsia="en-US"/>
    </w:rPr>
  </w:style>
  <w:style w:type="paragraph" w:customStyle="1" w:styleId="Index21">
    <w:name w:val="Index 21"/>
    <w:basedOn w:val="Normal"/>
    <w:next w:val="Normal"/>
    <w:autoRedefine/>
    <w:rsid w:val="005150E5"/>
    <w:pPr>
      <w:spacing w:before="40" w:after="60" w:line="312" w:lineRule="auto"/>
      <w:ind w:left="480" w:hanging="240"/>
      <w:contextualSpacing w:val="0"/>
    </w:pPr>
    <w:rPr>
      <w:b w:val="0"/>
      <w:szCs w:val="22"/>
      <w:lang w:val="en-US" w:eastAsia="en-US"/>
    </w:rPr>
  </w:style>
  <w:style w:type="paragraph" w:customStyle="1" w:styleId="Index31">
    <w:name w:val="Index 31"/>
    <w:basedOn w:val="Normal"/>
    <w:next w:val="Normal"/>
    <w:autoRedefine/>
    <w:rsid w:val="005150E5"/>
    <w:pPr>
      <w:spacing w:before="40" w:after="60" w:line="312" w:lineRule="auto"/>
      <w:ind w:left="720" w:hanging="240"/>
      <w:contextualSpacing w:val="0"/>
    </w:pPr>
    <w:rPr>
      <w:b w:val="0"/>
      <w:szCs w:val="22"/>
      <w:lang w:val="en-US" w:eastAsia="en-US"/>
    </w:rPr>
  </w:style>
  <w:style w:type="paragraph" w:customStyle="1" w:styleId="Index41">
    <w:name w:val="Index 41"/>
    <w:basedOn w:val="Normal"/>
    <w:next w:val="Normal"/>
    <w:autoRedefine/>
    <w:rsid w:val="005150E5"/>
    <w:pPr>
      <w:spacing w:before="40" w:after="60" w:line="312" w:lineRule="auto"/>
      <w:ind w:left="960" w:hanging="240"/>
      <w:contextualSpacing w:val="0"/>
    </w:pPr>
    <w:rPr>
      <w:b w:val="0"/>
      <w:szCs w:val="22"/>
      <w:lang w:val="en-US" w:eastAsia="en-US"/>
    </w:rPr>
  </w:style>
  <w:style w:type="paragraph" w:customStyle="1" w:styleId="Index51">
    <w:name w:val="Index 51"/>
    <w:basedOn w:val="Normal"/>
    <w:next w:val="Normal"/>
    <w:autoRedefine/>
    <w:rsid w:val="005150E5"/>
    <w:pPr>
      <w:spacing w:before="40" w:after="60" w:line="312" w:lineRule="auto"/>
      <w:ind w:left="1200" w:hanging="240"/>
      <w:contextualSpacing w:val="0"/>
    </w:pPr>
    <w:rPr>
      <w:b w:val="0"/>
      <w:szCs w:val="22"/>
      <w:lang w:val="en-US" w:eastAsia="en-US"/>
    </w:rPr>
  </w:style>
  <w:style w:type="paragraph" w:customStyle="1" w:styleId="Index61">
    <w:name w:val="Index 61"/>
    <w:basedOn w:val="Normal"/>
    <w:next w:val="Normal"/>
    <w:autoRedefine/>
    <w:rsid w:val="005150E5"/>
    <w:pPr>
      <w:spacing w:before="40" w:after="60" w:line="312" w:lineRule="auto"/>
      <w:ind w:left="1440" w:hanging="240"/>
      <w:contextualSpacing w:val="0"/>
    </w:pPr>
    <w:rPr>
      <w:b w:val="0"/>
      <w:szCs w:val="22"/>
      <w:lang w:val="en-US" w:eastAsia="en-US"/>
    </w:rPr>
  </w:style>
  <w:style w:type="paragraph" w:customStyle="1" w:styleId="Index71">
    <w:name w:val="Index 71"/>
    <w:basedOn w:val="Normal"/>
    <w:next w:val="Normal"/>
    <w:autoRedefine/>
    <w:rsid w:val="005150E5"/>
    <w:pPr>
      <w:spacing w:before="40" w:after="60" w:line="312" w:lineRule="auto"/>
      <w:ind w:left="1680" w:hanging="240"/>
      <w:contextualSpacing w:val="0"/>
    </w:pPr>
    <w:rPr>
      <w:b w:val="0"/>
      <w:szCs w:val="22"/>
      <w:lang w:val="en-US" w:eastAsia="en-US"/>
    </w:rPr>
  </w:style>
  <w:style w:type="paragraph" w:customStyle="1" w:styleId="Index81">
    <w:name w:val="Index 81"/>
    <w:basedOn w:val="Normal"/>
    <w:next w:val="Normal"/>
    <w:autoRedefine/>
    <w:rsid w:val="005150E5"/>
    <w:pPr>
      <w:spacing w:before="40" w:after="60" w:line="312" w:lineRule="auto"/>
      <w:ind w:left="1920" w:hanging="240"/>
      <w:contextualSpacing w:val="0"/>
    </w:pPr>
    <w:rPr>
      <w:b w:val="0"/>
      <w:szCs w:val="22"/>
      <w:lang w:val="en-US" w:eastAsia="en-US"/>
    </w:rPr>
  </w:style>
  <w:style w:type="paragraph" w:customStyle="1" w:styleId="Index91">
    <w:name w:val="Index 91"/>
    <w:basedOn w:val="Normal"/>
    <w:next w:val="Normal"/>
    <w:autoRedefine/>
    <w:rsid w:val="005150E5"/>
    <w:pPr>
      <w:spacing w:before="40" w:after="60" w:line="312" w:lineRule="auto"/>
      <w:ind w:left="2160" w:hanging="240"/>
      <w:contextualSpacing w:val="0"/>
    </w:pPr>
    <w:rPr>
      <w:b w:val="0"/>
      <w:szCs w:val="22"/>
      <w:lang w:val="en-US" w:eastAsia="en-US"/>
    </w:rPr>
  </w:style>
  <w:style w:type="paragraph" w:customStyle="1" w:styleId="IndexHeading1">
    <w:name w:val="Index Heading1"/>
    <w:basedOn w:val="Normal"/>
    <w:next w:val="Index1"/>
    <w:rsid w:val="005150E5"/>
    <w:pPr>
      <w:spacing w:before="40" w:after="60" w:line="312" w:lineRule="auto"/>
      <w:contextualSpacing w:val="0"/>
    </w:pPr>
    <w:rPr>
      <w:b w:val="0"/>
      <w:szCs w:val="22"/>
      <w:lang w:val="en-US" w:eastAsia="en-US"/>
    </w:rPr>
  </w:style>
  <w:style w:type="paragraph" w:customStyle="1" w:styleId="NormalIndent1">
    <w:name w:val="Normal Indent1"/>
    <w:basedOn w:val="Normal"/>
    <w:next w:val="NormalIndent"/>
    <w:rsid w:val="005150E5"/>
    <w:pPr>
      <w:tabs>
        <w:tab w:val="left" w:pos="1134"/>
        <w:tab w:val="left" w:pos="1701"/>
        <w:tab w:val="left" w:pos="2835"/>
        <w:tab w:val="left" w:pos="5103"/>
        <w:tab w:val="left" w:pos="7371"/>
        <w:tab w:val="right" w:pos="9639"/>
      </w:tabs>
      <w:spacing w:before="40" w:after="60" w:line="312" w:lineRule="auto"/>
      <w:ind w:left="1134"/>
      <w:contextualSpacing w:val="0"/>
    </w:pPr>
    <w:rPr>
      <w:b w:val="0"/>
      <w:szCs w:val="22"/>
      <w:lang w:val="en-GB" w:eastAsia="en-US"/>
    </w:rPr>
  </w:style>
  <w:style w:type="paragraph" w:customStyle="1" w:styleId="webb1">
    <w:name w:val="webb1"/>
    <w:basedOn w:val="Normal"/>
    <w:next w:val="NormalWeb"/>
    <w:uiPriority w:val="99"/>
    <w:qFormat/>
    <w:rsid w:val="005150E5"/>
    <w:pPr>
      <w:spacing w:before="100" w:after="100" w:line="312" w:lineRule="auto"/>
      <w:contextualSpacing w:val="0"/>
    </w:pPr>
    <w:rPr>
      <w:b w:val="0"/>
      <w:szCs w:val="20"/>
      <w:lang w:val="en-US" w:eastAsia="en-US"/>
    </w:rPr>
  </w:style>
  <w:style w:type="table" w:customStyle="1" w:styleId="TableWeb213">
    <w:name w:val="Table Web 21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Bullet21">
    <w:name w:val="List Bullet 21"/>
    <w:basedOn w:val="Normal"/>
    <w:next w:val="ListBullet2"/>
    <w:autoRedefine/>
    <w:rsid w:val="005150E5"/>
    <w:pPr>
      <w:spacing w:before="40" w:after="60" w:line="312" w:lineRule="auto"/>
      <w:ind w:left="720" w:hanging="360"/>
      <w:contextualSpacing w:val="0"/>
    </w:pPr>
    <w:rPr>
      <w:b w:val="0"/>
      <w:szCs w:val="22"/>
      <w:lang w:val="en-US" w:eastAsia="en-US"/>
    </w:rPr>
  </w:style>
  <w:style w:type="paragraph" w:customStyle="1" w:styleId="BodyTextFirstIndent1">
    <w:name w:val="Body Text First Indent1"/>
    <w:basedOn w:val="BodyText"/>
    <w:next w:val="BodyTextFirstIndent"/>
    <w:rsid w:val="005150E5"/>
    <w:pPr>
      <w:spacing w:before="40" w:after="120" w:line="312" w:lineRule="auto"/>
      <w:ind w:firstLine="210"/>
      <w:contextualSpacing w:val="0"/>
      <w:jc w:val="both"/>
    </w:pPr>
    <w:rPr>
      <w:rFonts w:ascii="GHEA Grapalat" w:eastAsia="Calibri" w:hAnsi="GHEA Grapalat"/>
      <w:b w:val="0"/>
      <w:sz w:val="22"/>
      <w:szCs w:val="22"/>
    </w:rPr>
  </w:style>
  <w:style w:type="table" w:customStyle="1" w:styleId="TableGrid813">
    <w:name w:val="Table Grid 81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60">
    <w:name w:val="Знак Знак6"/>
    <w:basedOn w:val="Normal"/>
    <w:link w:val="Char31"/>
    <w:rsid w:val="005150E5"/>
    <w:pPr>
      <w:spacing w:before="40" w:after="60" w:line="240" w:lineRule="exact"/>
      <w:contextualSpacing w:val="0"/>
    </w:pPr>
    <w:rPr>
      <w:rFonts w:ascii="Arial" w:hAnsi="Arial" w:cs="Arial"/>
      <w:b w:val="0"/>
      <w:sz w:val="20"/>
      <w:szCs w:val="20"/>
      <w:lang w:val="en-GB" w:eastAsia="en-US"/>
    </w:rPr>
  </w:style>
  <w:style w:type="character" w:customStyle="1" w:styleId="Char31">
    <w:name w:val="Знак Знак Char3"/>
    <w:link w:val="60"/>
    <w:rsid w:val="005150E5"/>
    <w:rPr>
      <w:rFonts w:ascii="Arial" w:hAnsi="Arial" w:cs="Arial"/>
      <w:lang w:val="en-GB"/>
    </w:rPr>
  </w:style>
  <w:style w:type="paragraph" w:customStyle="1" w:styleId="DocumentMap1">
    <w:name w:val="Document Map1"/>
    <w:basedOn w:val="Normal"/>
    <w:next w:val="DocumentMap"/>
    <w:link w:val="DocumentMapChar1"/>
    <w:uiPriority w:val="99"/>
    <w:rsid w:val="005150E5"/>
    <w:pPr>
      <w:shd w:val="clear" w:color="auto" w:fill="000080"/>
      <w:overflowPunct w:val="0"/>
      <w:autoSpaceDE w:val="0"/>
      <w:autoSpaceDN w:val="0"/>
      <w:adjustRightInd w:val="0"/>
      <w:spacing w:before="40" w:after="60" w:line="312" w:lineRule="auto"/>
      <w:contextualSpacing w:val="0"/>
      <w:textAlignment w:val="baseline"/>
    </w:pPr>
    <w:rPr>
      <w:rFonts w:ascii="Tahoma" w:hAnsi="Tahoma"/>
      <w:b w:val="0"/>
      <w:sz w:val="24"/>
      <w:szCs w:val="20"/>
      <w:lang w:val="en-GB"/>
    </w:rPr>
  </w:style>
  <w:style w:type="paragraph" w:customStyle="1" w:styleId="CharChar39">
    <w:name w:val="Char Char39"/>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0">
    <w:name w:val="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Znak3">
    <w:name w:val="Znak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CharCharCharCharCharChar3">
    <w:name w:val="Char Char Char 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32">
    <w:name w:val="Знак Знак Знак Знак Знак Знак Знак Знак Знак Знак Знак Знак Знак Знак Знак Знак Знак Знак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31">
    <w:name w:val="Char Char Char Знак3"/>
    <w:basedOn w:val="Normal"/>
    <w:next w:val="Normal"/>
    <w:rsid w:val="005150E5"/>
    <w:pPr>
      <w:spacing w:before="40" w:after="60" w:line="240" w:lineRule="exact"/>
      <w:contextualSpacing w:val="0"/>
    </w:pPr>
    <w:rPr>
      <w:rFonts w:ascii="Tahoma" w:hAnsi="Tahoma"/>
      <w:b w:val="0"/>
      <w:szCs w:val="20"/>
      <w:lang w:val="en-US" w:eastAsia="en-US"/>
    </w:rPr>
  </w:style>
  <w:style w:type="paragraph" w:customStyle="1" w:styleId="ListContinue21">
    <w:name w:val="List Continue 21"/>
    <w:basedOn w:val="Normal"/>
    <w:next w:val="ListContinue2"/>
    <w:rsid w:val="005150E5"/>
    <w:pPr>
      <w:spacing w:before="40" w:after="120" w:line="312" w:lineRule="auto"/>
      <w:ind w:left="720"/>
      <w:contextualSpacing w:val="0"/>
    </w:pPr>
    <w:rPr>
      <w:b w:val="0"/>
      <w:szCs w:val="22"/>
      <w:lang w:val="en-US" w:eastAsia="en-US"/>
    </w:rPr>
  </w:style>
  <w:style w:type="paragraph" w:customStyle="1" w:styleId="CharCharCharCharCharCharCharChar3">
    <w:name w:val="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CharCharCharCharChar6">
    <w:name w:val="Char Char Char Char Знак Char Знак Char Char Char Char Char Char Char Char Char Char6"/>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3">
    <w:name w:val="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2">
    <w:name w:val="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3">
    <w:name w:val="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CharChar3">
    <w:name w:val="Знак Знак1 Char Char Знак Знак3"/>
    <w:basedOn w:val="Normal"/>
    <w:rsid w:val="005150E5"/>
    <w:pPr>
      <w:tabs>
        <w:tab w:val="num" w:pos="840"/>
      </w:tabs>
      <w:spacing w:before="40" w:after="60" w:line="240" w:lineRule="exact"/>
      <w:ind w:left="840" w:hanging="360"/>
      <w:contextualSpacing w:val="0"/>
    </w:pPr>
    <w:rPr>
      <w:rFonts w:ascii="Verdana" w:hAnsi="Verdana"/>
      <w:b w:val="0"/>
      <w:sz w:val="20"/>
      <w:szCs w:val="20"/>
      <w:lang w:eastAsia="en-US"/>
    </w:rPr>
  </w:style>
  <w:style w:type="paragraph" w:customStyle="1" w:styleId="CharCharCharChar3">
    <w:name w:val="Знак Знак Char Char Знак Знак Char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1Char3">
    <w:name w:val="Char Char Char1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33">
    <w:name w:val="Знак Знак13"/>
    <w:basedOn w:val="Normal"/>
    <w:rsid w:val="005150E5"/>
    <w:pPr>
      <w:spacing w:before="40" w:after="60" w:line="240" w:lineRule="exact"/>
      <w:contextualSpacing w:val="0"/>
    </w:pPr>
    <w:rPr>
      <w:rFonts w:ascii="Arial" w:eastAsia="MS Mincho" w:hAnsi="Arial" w:cs="Arial"/>
      <w:b w:val="0"/>
      <w:sz w:val="20"/>
      <w:szCs w:val="20"/>
      <w:lang w:val="en-US" w:eastAsia="en-US"/>
    </w:rPr>
  </w:style>
  <w:style w:type="paragraph" w:customStyle="1" w:styleId="CharCharCharCharChar30">
    <w:name w:val="Char Char 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1CharCharChar1Char3">
    <w:name w:val="Char Char1 Char Char Char1 Char3"/>
    <w:basedOn w:val="Normal"/>
    <w:autoRedefine/>
    <w:rsid w:val="005150E5"/>
    <w:pPr>
      <w:spacing w:before="40" w:after="60" w:line="312" w:lineRule="auto"/>
      <w:contextualSpacing w:val="0"/>
    </w:pPr>
    <w:rPr>
      <w:rFonts w:eastAsia="SimSun"/>
      <w:b w:val="0"/>
      <w:sz w:val="20"/>
      <w:szCs w:val="20"/>
      <w:lang w:val="en-US"/>
    </w:rPr>
  </w:style>
  <w:style w:type="paragraph" w:customStyle="1" w:styleId="430">
    <w:name w:val="Знак Знак4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33">
    <w:name w:val="Знак Char Знак3"/>
    <w:basedOn w:val="Normal"/>
    <w:rsid w:val="005150E5"/>
    <w:pPr>
      <w:spacing w:before="40" w:after="60" w:line="240" w:lineRule="exact"/>
      <w:contextualSpacing w:val="0"/>
    </w:pPr>
    <w:rPr>
      <w:rFonts w:ascii="Arial" w:eastAsia="Batang" w:hAnsi="Arial" w:cs="Arial"/>
      <w:b w:val="0"/>
      <w:sz w:val="20"/>
      <w:szCs w:val="20"/>
      <w:lang w:val="en-US" w:eastAsia="en-US"/>
    </w:rPr>
  </w:style>
  <w:style w:type="paragraph" w:customStyle="1" w:styleId="CharCharCharCharCharChar3">
    <w:name w:val="Знак Знак Char Char Знак Знак Char Char Знак Знак Char Char3"/>
    <w:basedOn w:val="Normal"/>
    <w:autoRedefine/>
    <w:rsid w:val="005150E5"/>
    <w:pPr>
      <w:spacing w:before="40" w:after="60" w:line="240" w:lineRule="exact"/>
      <w:contextualSpacing w:val="0"/>
    </w:pPr>
    <w:rPr>
      <w:b w:val="0"/>
      <w:sz w:val="28"/>
      <w:szCs w:val="20"/>
      <w:lang w:val="en-US" w:eastAsia="en-US"/>
    </w:rPr>
  </w:style>
  <w:style w:type="paragraph" w:customStyle="1" w:styleId="230">
    <w:name w:val="Знак Знак2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31">
    <w:name w:val="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numbering" w:customStyle="1" w:styleId="NoList1120">
    <w:name w:val="No List1120"/>
    <w:next w:val="NoList"/>
    <w:semiHidden/>
    <w:unhideWhenUsed/>
    <w:rsid w:val="005150E5"/>
  </w:style>
  <w:style w:type="numbering" w:customStyle="1" w:styleId="NoList216">
    <w:name w:val="No List216"/>
    <w:next w:val="NoList"/>
    <w:semiHidden/>
    <w:unhideWhenUsed/>
    <w:rsid w:val="005150E5"/>
  </w:style>
  <w:style w:type="numbering" w:customStyle="1" w:styleId="NoList315">
    <w:name w:val="No List315"/>
    <w:next w:val="NoList"/>
    <w:semiHidden/>
    <w:unhideWhenUsed/>
    <w:rsid w:val="005150E5"/>
  </w:style>
  <w:style w:type="paragraph" w:customStyle="1" w:styleId="ListNumber1">
    <w:name w:val="List Number1"/>
    <w:basedOn w:val="Normal"/>
    <w:next w:val="ListNumber"/>
    <w:rsid w:val="005150E5"/>
    <w:pPr>
      <w:spacing w:before="40" w:after="60" w:line="312" w:lineRule="auto"/>
      <w:ind w:left="720" w:hanging="360"/>
      <w:contextualSpacing w:val="0"/>
    </w:pPr>
    <w:rPr>
      <w:b w:val="0"/>
      <w:szCs w:val="22"/>
      <w:lang w:val="en-US" w:eastAsia="en-US"/>
    </w:rPr>
  </w:style>
  <w:style w:type="paragraph" w:customStyle="1" w:styleId="CharChar113">
    <w:name w:val="Char Char113"/>
    <w:basedOn w:val="Normal"/>
    <w:rsid w:val="005150E5"/>
    <w:pPr>
      <w:spacing w:before="40" w:after="60" w:line="240" w:lineRule="exact"/>
      <w:contextualSpacing w:val="0"/>
    </w:pPr>
    <w:rPr>
      <w:rFonts w:ascii="Arial" w:hAnsi="Arial" w:cs="Arial"/>
      <w:b w:val="0"/>
      <w:sz w:val="20"/>
      <w:szCs w:val="20"/>
      <w:lang w:val="en-US" w:eastAsia="en-US"/>
    </w:rPr>
  </w:style>
  <w:style w:type="character" w:customStyle="1" w:styleId="CharChar163">
    <w:name w:val="Char Char163"/>
    <w:uiPriority w:val="99"/>
    <w:rsid w:val="005150E5"/>
    <w:rPr>
      <w:rFonts w:ascii="Times New Roman" w:hAnsi="Times New Roman"/>
      <w:b/>
      <w:sz w:val="20"/>
      <w:lang w:val="en-GB"/>
    </w:rPr>
  </w:style>
  <w:style w:type="character" w:customStyle="1" w:styleId="CharChar53">
    <w:name w:val="Char Char53"/>
    <w:uiPriority w:val="99"/>
    <w:rsid w:val="005150E5"/>
    <w:rPr>
      <w:rFonts w:ascii="Times New Roman" w:hAnsi="Times New Roman"/>
      <w:sz w:val="20"/>
      <w:lang w:val="en-GB"/>
    </w:rPr>
  </w:style>
  <w:style w:type="paragraph" w:customStyle="1" w:styleId="CharCharCharCharCharChar2">
    <w:name w:val="Char Char Char Char Char Char2"/>
    <w:basedOn w:val="Normal"/>
    <w:rsid w:val="005150E5"/>
    <w:pPr>
      <w:spacing w:before="40" w:after="60" w:line="240" w:lineRule="exact"/>
      <w:contextualSpacing w:val="0"/>
    </w:pPr>
    <w:rPr>
      <w:rFonts w:ascii="Arial" w:eastAsia="Calibri" w:hAnsi="Arial" w:cs="Arial"/>
      <w:b w:val="0"/>
      <w:sz w:val="20"/>
      <w:szCs w:val="20"/>
      <w:lang w:val="en-US" w:eastAsia="en-US"/>
    </w:rPr>
  </w:style>
  <w:style w:type="paragraph" w:customStyle="1" w:styleId="3b">
    <w:name w:val="Знак3"/>
    <w:basedOn w:val="Normal"/>
    <w:rsid w:val="005150E5"/>
    <w:pPr>
      <w:spacing w:before="40" w:after="60" w:line="240" w:lineRule="exact"/>
      <w:contextualSpacing w:val="0"/>
    </w:pPr>
    <w:rPr>
      <w:rFonts w:ascii="Arial" w:eastAsia="Calibri" w:hAnsi="Arial" w:cs="Arial"/>
      <w:b w:val="0"/>
      <w:sz w:val="20"/>
      <w:szCs w:val="20"/>
      <w:lang w:val="en-GB" w:eastAsia="en-US"/>
    </w:rPr>
  </w:style>
  <w:style w:type="paragraph" w:customStyle="1" w:styleId="BodyText11">
    <w:name w:val="Body Text11"/>
    <w:basedOn w:val="Normal"/>
    <w:rsid w:val="005150E5"/>
    <w:pPr>
      <w:tabs>
        <w:tab w:val="num" w:pos="0"/>
      </w:tabs>
      <w:spacing w:before="40" w:after="240" w:line="312" w:lineRule="auto"/>
      <w:contextualSpacing w:val="0"/>
    </w:pPr>
    <w:rPr>
      <w:rFonts w:ascii="Times Armenian" w:hAnsi="Times Armenian"/>
      <w:b w:val="0"/>
      <w:szCs w:val="22"/>
      <w:lang w:val="en-US"/>
    </w:rPr>
  </w:style>
  <w:style w:type="table" w:customStyle="1" w:styleId="LightList-Accent1113">
    <w:name w:val="Light List - Accent 111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
    <w:name w:val="Colorful Grid - Accent 118"/>
    <w:basedOn w:val="TableNormal"/>
    <w:next w:val="ColorfulGrid-Accent1"/>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
    <w:name w:val="Light List - Accent 518"/>
    <w:basedOn w:val="TableNormal"/>
    <w:next w:val="LightList-Accent5"/>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0">
    <w:name w:val="Нет списка19"/>
    <w:next w:val="NoList"/>
    <w:semiHidden/>
    <w:unhideWhenUsed/>
    <w:rsid w:val="005150E5"/>
  </w:style>
  <w:style w:type="paragraph" w:customStyle="1" w:styleId="List1">
    <w:name w:val="List1"/>
    <w:basedOn w:val="BodyText"/>
    <w:next w:val="List"/>
    <w:rsid w:val="005150E5"/>
    <w:pPr>
      <w:suppressAutoHyphens/>
      <w:spacing w:before="40" w:after="120" w:line="288" w:lineRule="auto"/>
      <w:contextualSpacing w:val="0"/>
      <w:jc w:val="both"/>
    </w:pPr>
    <w:rPr>
      <w:rFonts w:ascii="GHEA Grapalat" w:hAnsi="GHEA Grapalat" w:cs="GHEA Grapalat"/>
      <w:b w:val="0"/>
      <w:kern w:val="1"/>
      <w:sz w:val="22"/>
      <w:szCs w:val="22"/>
      <w:lang w:val="en-US" w:eastAsia="en-US"/>
    </w:rPr>
  </w:style>
  <w:style w:type="character" w:customStyle="1" w:styleId="CharChar123">
    <w:name w:val="Char Char123"/>
    <w:rsid w:val="005150E5"/>
    <w:rPr>
      <w:sz w:val="22"/>
      <w:lang w:val="en-GB" w:eastAsia="en-US" w:bidi="ar-SA"/>
    </w:rPr>
  </w:style>
  <w:style w:type="paragraph" w:customStyle="1" w:styleId="IntenseQuote1">
    <w:name w:val="Intense Quote1"/>
    <w:basedOn w:val="Normal"/>
    <w:next w:val="Normal"/>
    <w:qFormat/>
    <w:rsid w:val="005150E5"/>
    <w:pPr>
      <w:pBdr>
        <w:bottom w:val="single" w:sz="4" w:space="1" w:color="auto"/>
      </w:pBdr>
      <w:spacing w:before="200" w:after="280" w:line="312" w:lineRule="auto"/>
      <w:ind w:left="1008" w:right="1152"/>
      <w:contextualSpacing w:val="0"/>
    </w:pPr>
    <w:rPr>
      <w:bCs/>
      <w:i/>
      <w:iCs/>
      <w:szCs w:val="22"/>
      <w:lang w:val="en-US" w:eastAsia="en-US"/>
    </w:rPr>
  </w:style>
  <w:style w:type="character" w:customStyle="1" w:styleId="CharChar213">
    <w:name w:val="Char Char213"/>
    <w:locked/>
    <w:rsid w:val="005150E5"/>
    <w:rPr>
      <w:sz w:val="22"/>
      <w:lang w:val="en-GB" w:eastAsia="en-US"/>
    </w:rPr>
  </w:style>
  <w:style w:type="character" w:customStyle="1" w:styleId="CharChar222">
    <w:name w:val="Char Char222"/>
    <w:rsid w:val="005150E5"/>
    <w:rPr>
      <w:rFonts w:cs="Times New Roman"/>
      <w:lang w:val="ru-RU" w:eastAsia="ru-RU" w:bidi="ar-SA"/>
    </w:rPr>
  </w:style>
  <w:style w:type="numbering" w:customStyle="1" w:styleId="NoList413">
    <w:name w:val="No List413"/>
    <w:next w:val="NoList"/>
    <w:semiHidden/>
    <w:rsid w:val="005150E5"/>
  </w:style>
  <w:style w:type="character" w:customStyle="1" w:styleId="CharChar182">
    <w:name w:val="Char Char182"/>
    <w:rsid w:val="005150E5"/>
    <w:rPr>
      <w:rFonts w:ascii="Arial Armenian" w:eastAsia="Times New Roman" w:hAnsi="Arial Armenian"/>
      <w:i/>
      <w:sz w:val="22"/>
      <w:u w:val="single"/>
      <w:lang w:val="en-GB"/>
    </w:rPr>
  </w:style>
  <w:style w:type="character" w:customStyle="1" w:styleId="CharChar192">
    <w:name w:val="Char Char192"/>
    <w:rsid w:val="005150E5"/>
    <w:rPr>
      <w:b/>
      <w:sz w:val="32"/>
      <w:lang w:val="en-GB" w:eastAsia="en-US" w:bidi="ar-SA"/>
    </w:rPr>
  </w:style>
  <w:style w:type="character" w:customStyle="1" w:styleId="CharChar202">
    <w:name w:val="Char Char202"/>
    <w:rsid w:val="005150E5"/>
    <w:rPr>
      <w:rFonts w:ascii="Garamond" w:hAnsi="Garamond"/>
      <w:i/>
      <w:spacing w:val="-5"/>
      <w:sz w:val="28"/>
      <w:lang w:val="en-GB" w:eastAsia="en-US" w:bidi="ar-SA"/>
    </w:rPr>
  </w:style>
  <w:style w:type="numbering" w:customStyle="1" w:styleId="NoList11115">
    <w:name w:val="No List11115"/>
    <w:next w:val="NoList"/>
    <w:semiHidden/>
    <w:unhideWhenUsed/>
    <w:rsid w:val="005150E5"/>
  </w:style>
  <w:style w:type="character" w:customStyle="1" w:styleId="CharChar172">
    <w:name w:val="Char Char172"/>
    <w:rsid w:val="005150E5"/>
    <w:rPr>
      <w:rFonts w:ascii="Arial Armenian" w:hAnsi="Arial Armenian"/>
      <w:i/>
      <w:sz w:val="22"/>
      <w:u w:val="single"/>
      <w:lang w:val="en-GB" w:eastAsia="en-US" w:bidi="ar-SA"/>
    </w:rPr>
  </w:style>
  <w:style w:type="character" w:customStyle="1" w:styleId="CharChar282">
    <w:name w:val="Char Char282"/>
    <w:rsid w:val="005150E5"/>
    <w:rPr>
      <w:rFonts w:ascii="Arial Armenian" w:hAnsi="Arial Armenian"/>
      <w:i/>
      <w:sz w:val="22"/>
      <w:u w:val="single"/>
      <w:lang w:val="en-GB"/>
    </w:rPr>
  </w:style>
  <w:style w:type="character" w:customStyle="1" w:styleId="CharChar272">
    <w:name w:val="Char Char272"/>
    <w:rsid w:val="005150E5"/>
    <w:rPr>
      <w:rFonts w:ascii="Garamond" w:hAnsi="Garamond"/>
      <w:i/>
      <w:spacing w:val="-5"/>
      <w:sz w:val="28"/>
      <w:shd w:val="pct5" w:color="auto" w:fill="auto"/>
      <w:lang w:val="en-GB"/>
    </w:rPr>
  </w:style>
  <w:style w:type="character" w:customStyle="1" w:styleId="CharChar262">
    <w:name w:val="Char Char262"/>
    <w:rsid w:val="005150E5"/>
    <w:rPr>
      <w:rFonts w:ascii="Arial Black" w:hAnsi="Arial Black"/>
      <w:caps/>
      <w:spacing w:val="60"/>
      <w:position w:val="4"/>
      <w:sz w:val="14"/>
      <w:lang w:val="en-GB"/>
    </w:rPr>
  </w:style>
  <w:style w:type="character" w:customStyle="1" w:styleId="CharChar252">
    <w:name w:val="Char Char252"/>
    <w:rsid w:val="005150E5"/>
    <w:rPr>
      <w:rFonts w:ascii="Garamond" w:hAnsi="Garamond"/>
      <w:b/>
      <w:i/>
      <w:kern w:val="28"/>
      <w:lang w:val="en-GB"/>
    </w:rPr>
  </w:style>
  <w:style w:type="character" w:customStyle="1" w:styleId="CharChar242">
    <w:name w:val="Char Char242"/>
    <w:rsid w:val="005150E5"/>
    <w:rPr>
      <w:rFonts w:ascii="Arial Armenian" w:hAnsi="Arial Armenian"/>
      <w:noProof/>
      <w:lang w:val="en-US" w:eastAsia="en-US" w:bidi="ar-SA"/>
    </w:rPr>
  </w:style>
  <w:style w:type="character" w:customStyle="1" w:styleId="CharChar232">
    <w:name w:val="Char Char232"/>
    <w:rsid w:val="005150E5"/>
    <w:rPr>
      <w:rFonts w:ascii="Arial Armenian" w:hAnsi="Arial Armenian"/>
      <w:lang w:val="en-GB" w:eastAsia="en-US" w:bidi="ar-SA"/>
    </w:rPr>
  </w:style>
  <w:style w:type="character" w:customStyle="1" w:styleId="CharChar312">
    <w:name w:val="Char Char312"/>
    <w:rsid w:val="005150E5"/>
    <w:rPr>
      <w:rFonts w:ascii="Arial Armenian" w:hAnsi="Arial Armenian"/>
      <w:noProof/>
      <w:lang w:val="en-US" w:eastAsia="en-US" w:bidi="ar-SA"/>
    </w:rPr>
  </w:style>
  <w:style w:type="table" w:customStyle="1" w:styleId="Table3Deffects313">
    <w:name w:val="Table 3D effects 31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TopofForm1">
    <w:name w:val="z-Top of Form1"/>
    <w:basedOn w:val="Normal"/>
    <w:next w:val="Normal"/>
    <w:hidden/>
    <w:uiPriority w:val="99"/>
    <w:unhideWhenUsed/>
    <w:rsid w:val="005150E5"/>
    <w:pPr>
      <w:pBdr>
        <w:bottom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z-BottomofForm1">
    <w:name w:val="z-Bottom of Form1"/>
    <w:basedOn w:val="Normal"/>
    <w:next w:val="Normal"/>
    <w:hidden/>
    <w:uiPriority w:val="99"/>
    <w:unhideWhenUsed/>
    <w:rsid w:val="005150E5"/>
    <w:pPr>
      <w:pBdr>
        <w:top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HTMLPreformatted1">
    <w:name w:val="HTML Preformatted1"/>
    <w:basedOn w:val="Normal"/>
    <w:next w:val="HTMLPreformatted"/>
    <w:uiPriority w:val="99"/>
    <w:unhideWhenUsed/>
    <w:rsid w:val="0051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60" w:line="312" w:lineRule="auto"/>
      <w:contextualSpacing w:val="0"/>
    </w:pPr>
    <w:rPr>
      <w:rFonts w:ascii="Arial Unicode" w:eastAsia="Calibri" w:hAnsi="Arial Unicode"/>
      <w:b w:val="0"/>
      <w:sz w:val="20"/>
      <w:szCs w:val="20"/>
      <w:lang w:val="en-US" w:eastAsia="en-US"/>
    </w:rPr>
  </w:style>
  <w:style w:type="numbering" w:customStyle="1" w:styleId="118">
    <w:name w:val="Нет списка118"/>
    <w:next w:val="NoList"/>
    <w:semiHidden/>
    <w:unhideWhenUsed/>
    <w:rsid w:val="005150E5"/>
  </w:style>
  <w:style w:type="character" w:customStyle="1" w:styleId="CharChar352">
    <w:name w:val="Char Char352"/>
    <w:rsid w:val="005150E5"/>
    <w:rPr>
      <w:rFonts w:ascii="Arial Armenian" w:hAnsi="Arial Armenian"/>
      <w:i/>
      <w:sz w:val="22"/>
      <w:u w:val="single"/>
      <w:lang w:val="en-GB"/>
    </w:rPr>
  </w:style>
  <w:style w:type="character" w:customStyle="1" w:styleId="CharChar342">
    <w:name w:val="Char Char342"/>
    <w:rsid w:val="005150E5"/>
    <w:rPr>
      <w:rFonts w:ascii="Garamond" w:hAnsi="Garamond"/>
      <w:i/>
      <w:spacing w:val="-5"/>
      <w:sz w:val="28"/>
      <w:shd w:val="pct5" w:color="auto" w:fill="auto"/>
      <w:lang w:val="en-GB"/>
    </w:rPr>
  </w:style>
  <w:style w:type="character" w:customStyle="1" w:styleId="CharChar332">
    <w:name w:val="Char Char332"/>
    <w:rsid w:val="005150E5"/>
    <w:rPr>
      <w:rFonts w:ascii="Arial Black" w:hAnsi="Arial Black"/>
      <w:caps/>
      <w:spacing w:val="60"/>
      <w:position w:val="4"/>
      <w:sz w:val="14"/>
      <w:lang w:val="en-GB"/>
    </w:rPr>
  </w:style>
  <w:style w:type="character" w:customStyle="1" w:styleId="CharChar322">
    <w:name w:val="Char Char322"/>
    <w:rsid w:val="005150E5"/>
    <w:rPr>
      <w:rFonts w:ascii="Garamond" w:hAnsi="Garamond"/>
      <w:b/>
      <w:i/>
      <w:kern w:val="28"/>
      <w:lang w:val="en-GB"/>
    </w:rPr>
  </w:style>
  <w:style w:type="character" w:customStyle="1" w:styleId="CharChar302">
    <w:name w:val="Char Char302"/>
    <w:rsid w:val="005150E5"/>
    <w:rPr>
      <w:rFonts w:ascii="Arial Armenian" w:hAnsi="Arial Armenian"/>
      <w:lang w:val="en-GB" w:eastAsia="en-US" w:bidi="ar-SA"/>
    </w:rPr>
  </w:style>
  <w:style w:type="character" w:customStyle="1" w:styleId="CharChar292">
    <w:name w:val="Char Char292"/>
    <w:rsid w:val="005150E5"/>
    <w:rPr>
      <w:rFonts w:ascii="Arial Armenian" w:hAnsi="Arial Armenian"/>
      <w:lang w:val="ru-RU" w:eastAsia="ru-RU" w:bidi="ar-SA"/>
    </w:rPr>
  </w:style>
  <w:style w:type="paragraph" w:customStyle="1" w:styleId="textbox">
    <w:name w:val="textbox"/>
    <w:basedOn w:val="Normal"/>
    <w:rsid w:val="005150E5"/>
    <w:pPr>
      <w:spacing w:before="40" w:after="60" w:line="160" w:lineRule="exact"/>
      <w:contextualSpacing w:val="0"/>
    </w:pPr>
    <w:rPr>
      <w:b w:val="0"/>
      <w:smallCaps/>
      <w:sz w:val="16"/>
      <w:szCs w:val="20"/>
      <w:lang w:val="hy-AM" w:eastAsia="en-US"/>
    </w:rPr>
  </w:style>
  <w:style w:type="character" w:customStyle="1" w:styleId="t121">
    <w:name w:val="t121"/>
    <w:rsid w:val="005150E5"/>
    <w:rPr>
      <w:b/>
      <w:bCs/>
      <w:color w:val="191970"/>
    </w:rPr>
  </w:style>
  <w:style w:type="character" w:customStyle="1" w:styleId="t61">
    <w:name w:val="t61"/>
    <w:rsid w:val="005150E5"/>
    <w:rPr>
      <w:b/>
      <w:bCs/>
      <w:color w:val="191970"/>
    </w:rPr>
  </w:style>
  <w:style w:type="table" w:customStyle="1" w:styleId="TableGrid115">
    <w:name w:val="Table Grid115"/>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4">
    <w:name w:val="Char Char Char Char Знак Char Знак Char Char Char Char Char Char Char Char Char Char4"/>
    <w:basedOn w:val="Normal"/>
    <w:rsid w:val="005150E5"/>
    <w:pPr>
      <w:tabs>
        <w:tab w:val="left" w:pos="709"/>
      </w:tabs>
      <w:spacing w:before="40" w:after="60" w:line="312" w:lineRule="auto"/>
      <w:contextualSpacing w:val="0"/>
    </w:pPr>
    <w:rPr>
      <w:rFonts w:ascii="Tahoma" w:hAnsi="Tahoma" w:cs="Tahoma"/>
      <w:b w:val="0"/>
      <w:szCs w:val="22"/>
      <w:lang w:val="pl-PL" w:eastAsia="pl-PL"/>
    </w:rPr>
  </w:style>
  <w:style w:type="character" w:customStyle="1" w:styleId="CharChar62">
    <w:name w:val="Char Char62"/>
    <w:locked/>
    <w:rsid w:val="005150E5"/>
    <w:rPr>
      <w:rFonts w:ascii="Times LatArm" w:eastAsia="Calibri" w:hAnsi="Times LatArm" w:cs="Times LatArm"/>
      <w:sz w:val="22"/>
      <w:szCs w:val="22"/>
      <w:lang w:val="en-GB" w:eastAsia="en-US" w:bidi="ar-SA"/>
    </w:rPr>
  </w:style>
  <w:style w:type="character" w:customStyle="1" w:styleId="CentredCharChar">
    <w:name w:val="Centred Char Char"/>
    <w:locked/>
    <w:rsid w:val="005150E5"/>
    <w:rPr>
      <w:rFonts w:eastAsia="Calibri"/>
      <w:b/>
      <w:bCs/>
      <w:i/>
      <w:iCs/>
      <w:sz w:val="24"/>
      <w:szCs w:val="24"/>
      <w:lang w:val="en-GB" w:eastAsia="en-US" w:bidi="ar-SA"/>
    </w:rPr>
  </w:style>
  <w:style w:type="character" w:customStyle="1" w:styleId="SideCharChar">
    <w:name w:val="Side Char Char"/>
    <w:locked/>
    <w:rsid w:val="005150E5"/>
    <w:rPr>
      <w:rFonts w:eastAsia="Calibri"/>
      <w:sz w:val="22"/>
      <w:szCs w:val="22"/>
      <w:lang w:val="en-GB" w:eastAsia="en-US" w:bidi="ar-SA"/>
    </w:rPr>
  </w:style>
  <w:style w:type="character" w:customStyle="1" w:styleId="CharChar80">
    <w:name w:val="Char Char8"/>
    <w:locked/>
    <w:rsid w:val="005150E5"/>
    <w:rPr>
      <w:rFonts w:ascii="Times Armenian" w:eastAsia="Calibri" w:hAnsi="Times Armenian" w:cs="Times Armenian"/>
      <w:color w:val="993300"/>
      <w:sz w:val="22"/>
      <w:szCs w:val="22"/>
      <w:lang w:val="hy-AM" w:eastAsia="en-US" w:bidi="ar-SA"/>
    </w:rPr>
  </w:style>
  <w:style w:type="character" w:customStyle="1" w:styleId="CharChar42">
    <w:name w:val="Char Char42"/>
    <w:locked/>
    <w:rsid w:val="005150E5"/>
    <w:rPr>
      <w:rFonts w:eastAsia="Calibri"/>
      <w:sz w:val="22"/>
      <w:szCs w:val="22"/>
      <w:lang w:val="en-GB" w:eastAsia="en-US" w:bidi="ar-SA"/>
    </w:rPr>
  </w:style>
  <w:style w:type="character" w:customStyle="1" w:styleId="CharChar38">
    <w:name w:val="Char Char38"/>
    <w:uiPriority w:val="99"/>
    <w:locked/>
    <w:rsid w:val="005150E5"/>
    <w:rPr>
      <w:rFonts w:eastAsia="Calibri"/>
      <w:sz w:val="22"/>
      <w:szCs w:val="22"/>
      <w:lang w:val="en-GB" w:eastAsia="en-US" w:bidi="ar-SA"/>
    </w:rPr>
  </w:style>
  <w:style w:type="character" w:customStyle="1" w:styleId="CharChar212">
    <w:name w:val="Char Char212"/>
    <w:locked/>
    <w:rsid w:val="005150E5"/>
    <w:rPr>
      <w:rFonts w:ascii="Times Armenian" w:eastAsia="Calibri" w:hAnsi="Times Armenian" w:cs="Times Armenian"/>
      <w:b/>
      <w:bCs/>
      <w:sz w:val="22"/>
      <w:szCs w:val="22"/>
      <w:lang w:val="en-US" w:eastAsia="en-US" w:bidi="ar-SA"/>
    </w:rPr>
  </w:style>
  <w:style w:type="numbering" w:customStyle="1" w:styleId="NoList56">
    <w:name w:val="No List56"/>
    <w:next w:val="NoList"/>
    <w:uiPriority w:val="99"/>
    <w:semiHidden/>
    <w:rsid w:val="005150E5"/>
  </w:style>
  <w:style w:type="numbering" w:customStyle="1" w:styleId="NoList63">
    <w:name w:val="No List63"/>
    <w:next w:val="NoList"/>
    <w:uiPriority w:val="99"/>
    <w:semiHidden/>
    <w:unhideWhenUsed/>
    <w:rsid w:val="005150E5"/>
  </w:style>
  <w:style w:type="table" w:customStyle="1" w:styleId="TableGrid210">
    <w:name w:val="Table Grid210"/>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5150E5"/>
    <w:rPr>
      <w:rFonts w:ascii="GHEA Grapalat" w:hAnsi="GHEA Grapalat"/>
      <w:spacing w:val="-4"/>
      <w:sz w:val="24"/>
      <w:szCs w:val="24"/>
    </w:rPr>
  </w:style>
  <w:style w:type="paragraph" w:customStyle="1" w:styleId="namak0">
    <w:name w:val="namak"/>
    <w:basedOn w:val="Normal"/>
    <w:link w:val="namak"/>
    <w:rsid w:val="005150E5"/>
    <w:pPr>
      <w:spacing w:before="40" w:after="60" w:line="400" w:lineRule="exact"/>
      <w:ind w:firstLine="397"/>
      <w:contextualSpacing w:val="0"/>
    </w:pPr>
    <w:rPr>
      <w:b w:val="0"/>
      <w:spacing w:val="-4"/>
      <w:sz w:val="24"/>
      <w:lang w:val="en-US" w:eastAsia="en-US"/>
    </w:rPr>
  </w:style>
  <w:style w:type="numbering" w:customStyle="1" w:styleId="NoList73">
    <w:name w:val="No List73"/>
    <w:next w:val="NoList"/>
    <w:uiPriority w:val="99"/>
    <w:semiHidden/>
    <w:unhideWhenUsed/>
    <w:rsid w:val="005150E5"/>
  </w:style>
  <w:style w:type="numbering" w:customStyle="1" w:styleId="NoList1210">
    <w:name w:val="No List1210"/>
    <w:next w:val="NoList"/>
    <w:uiPriority w:val="99"/>
    <w:semiHidden/>
    <w:unhideWhenUsed/>
    <w:rsid w:val="005150E5"/>
  </w:style>
  <w:style w:type="table" w:customStyle="1" w:styleId="TableGrid330">
    <w:name w:val="Table Grid33"/>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5CharCharCharCharCharChar2">
    <w:name w:val="Char Char5 Char Char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CharChar2">
    <w:name w:val="Char Char5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2">
    <w:name w:val="Char Char5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numbering" w:customStyle="1" w:styleId="NoList83">
    <w:name w:val="No List83"/>
    <w:next w:val="NoList"/>
    <w:uiPriority w:val="99"/>
    <w:semiHidden/>
    <w:unhideWhenUsed/>
    <w:rsid w:val="005150E5"/>
  </w:style>
  <w:style w:type="numbering" w:customStyle="1" w:styleId="123">
    <w:name w:val="Нет списка123"/>
    <w:next w:val="NoList"/>
    <w:semiHidden/>
    <w:unhideWhenUsed/>
    <w:rsid w:val="005150E5"/>
  </w:style>
  <w:style w:type="numbering" w:customStyle="1" w:styleId="NoList133">
    <w:name w:val="No List133"/>
    <w:next w:val="NoList"/>
    <w:semiHidden/>
    <w:unhideWhenUsed/>
    <w:rsid w:val="005150E5"/>
  </w:style>
  <w:style w:type="numbering" w:customStyle="1" w:styleId="NoList217">
    <w:name w:val="No List217"/>
    <w:next w:val="NoList"/>
    <w:semiHidden/>
    <w:unhideWhenUsed/>
    <w:rsid w:val="005150E5"/>
  </w:style>
  <w:style w:type="numbering" w:customStyle="1" w:styleId="NoList316">
    <w:name w:val="No List316"/>
    <w:next w:val="NoList"/>
    <w:semiHidden/>
    <w:unhideWhenUsed/>
    <w:rsid w:val="005150E5"/>
  </w:style>
  <w:style w:type="numbering" w:customStyle="1" w:styleId="1113">
    <w:name w:val="Нет списка1113"/>
    <w:next w:val="NoList"/>
    <w:semiHidden/>
    <w:unhideWhenUsed/>
    <w:rsid w:val="005150E5"/>
  </w:style>
  <w:style w:type="numbering" w:customStyle="1" w:styleId="NoList414">
    <w:name w:val="No List414"/>
    <w:next w:val="NoList"/>
    <w:semiHidden/>
    <w:rsid w:val="005150E5"/>
  </w:style>
  <w:style w:type="numbering" w:customStyle="1" w:styleId="NoList11116">
    <w:name w:val="No List11116"/>
    <w:next w:val="NoList"/>
    <w:semiHidden/>
    <w:unhideWhenUsed/>
    <w:rsid w:val="005150E5"/>
  </w:style>
  <w:style w:type="numbering" w:customStyle="1" w:styleId="11112">
    <w:name w:val="Нет списка11112"/>
    <w:next w:val="NoList"/>
    <w:semiHidden/>
    <w:unhideWhenUsed/>
    <w:rsid w:val="005150E5"/>
  </w:style>
  <w:style w:type="numbering" w:customStyle="1" w:styleId="NoList93">
    <w:name w:val="No List93"/>
    <w:next w:val="NoList"/>
    <w:uiPriority w:val="99"/>
    <w:semiHidden/>
    <w:unhideWhenUsed/>
    <w:rsid w:val="005150E5"/>
  </w:style>
  <w:style w:type="character" w:customStyle="1" w:styleId="newstext">
    <w:name w:val="news_text"/>
    <w:rsid w:val="005150E5"/>
  </w:style>
  <w:style w:type="table" w:customStyle="1" w:styleId="TableGrid43">
    <w:name w:val="Table Grid43"/>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5150E5"/>
    <w:rPr>
      <w:rFonts w:ascii="Sylfaen" w:hAnsi="Sylfaen" w:cs="Sylfaen"/>
      <w:color w:val="000000"/>
      <w:sz w:val="24"/>
      <w:szCs w:val="24"/>
    </w:rPr>
  </w:style>
  <w:style w:type="table" w:customStyle="1" w:styleId="GridTable1Light-Accent51">
    <w:name w:val="Grid Table 1 Light - Accent 51"/>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5150E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5150E5"/>
  </w:style>
  <w:style w:type="numbering" w:customStyle="1" w:styleId="NoList103">
    <w:name w:val="No List103"/>
    <w:next w:val="NoList"/>
    <w:uiPriority w:val="99"/>
    <w:semiHidden/>
    <w:unhideWhenUsed/>
    <w:rsid w:val="005150E5"/>
  </w:style>
  <w:style w:type="table" w:customStyle="1" w:styleId="TableGrid530">
    <w:name w:val="Table Grid53"/>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
    <w:name w:val="Table List 7112"/>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
    <w:name w:val="Table Web 3112"/>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
    <w:name w:val="No List143"/>
    <w:next w:val="NoList"/>
    <w:semiHidden/>
    <w:unhideWhenUsed/>
    <w:rsid w:val="005150E5"/>
  </w:style>
  <w:style w:type="numbering" w:customStyle="1" w:styleId="NoList223">
    <w:name w:val="No List223"/>
    <w:next w:val="NoList"/>
    <w:semiHidden/>
    <w:unhideWhenUsed/>
    <w:rsid w:val="005150E5"/>
  </w:style>
  <w:style w:type="numbering" w:customStyle="1" w:styleId="NoList323">
    <w:name w:val="No List323"/>
    <w:next w:val="NoList"/>
    <w:semiHidden/>
    <w:unhideWhenUsed/>
    <w:rsid w:val="005150E5"/>
  </w:style>
  <w:style w:type="table" w:customStyle="1" w:styleId="LightList-Accent126">
    <w:name w:val="Light List - Accent 126"/>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
    <w:name w:val="Table Grid 7112"/>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
    <w:name w:val="Colorful Grid - Accent 133"/>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
    <w:name w:val="Light List - Accent 533"/>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
    <w:name w:val="Table Simple 3112"/>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
    <w:name w:val="Table Grid 5112"/>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
    <w:name w:val="Table Grid 3112"/>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
    <w:name w:val="Table Grid 1112"/>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
    <w:name w:val="Table Columns 5112"/>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
    <w:name w:val="Light List - Accent 1114"/>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0">
    <w:name w:val="Нет списка133"/>
    <w:next w:val="NoList"/>
    <w:semiHidden/>
    <w:unhideWhenUsed/>
    <w:rsid w:val="005150E5"/>
  </w:style>
  <w:style w:type="table" w:customStyle="1" w:styleId="ColorfulGrid-Accent1113">
    <w:name w:val="Colorful Grid - Accent 1113"/>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
    <w:name w:val="Light List - Accent 5113"/>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
    <w:name w:val="No List423"/>
    <w:next w:val="NoList"/>
    <w:semiHidden/>
    <w:rsid w:val="005150E5"/>
  </w:style>
  <w:style w:type="numbering" w:customStyle="1" w:styleId="NoList1125">
    <w:name w:val="No List1125"/>
    <w:next w:val="NoList"/>
    <w:semiHidden/>
    <w:unhideWhenUsed/>
    <w:rsid w:val="005150E5"/>
  </w:style>
  <w:style w:type="table" w:customStyle="1" w:styleId="Table3Deffects3112">
    <w:name w:val="Table 3D effects 3112"/>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
    <w:name w:val="Нет списка1123"/>
    <w:next w:val="NoList"/>
    <w:semiHidden/>
    <w:unhideWhenUsed/>
    <w:rsid w:val="005150E5"/>
  </w:style>
  <w:style w:type="table" w:customStyle="1" w:styleId="TableGrid11120">
    <w:name w:val="Table Grid1112"/>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rsid w:val="005150E5"/>
  </w:style>
  <w:style w:type="numbering" w:customStyle="1" w:styleId="NoList612">
    <w:name w:val="No List612"/>
    <w:next w:val="NoList"/>
    <w:uiPriority w:val="99"/>
    <w:semiHidden/>
    <w:unhideWhenUsed/>
    <w:rsid w:val="005150E5"/>
  </w:style>
  <w:style w:type="table" w:customStyle="1" w:styleId="TableGrid213">
    <w:name w:val="Table Grid213"/>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
    <w:name w:val="No List712"/>
    <w:next w:val="NoList"/>
    <w:uiPriority w:val="99"/>
    <w:semiHidden/>
    <w:unhideWhenUsed/>
    <w:rsid w:val="005150E5"/>
  </w:style>
  <w:style w:type="numbering" w:customStyle="1" w:styleId="NoList1213">
    <w:name w:val="No List1213"/>
    <w:next w:val="NoList"/>
    <w:uiPriority w:val="99"/>
    <w:semiHidden/>
    <w:unhideWhenUsed/>
    <w:rsid w:val="005150E5"/>
  </w:style>
  <w:style w:type="table" w:customStyle="1" w:styleId="TableGrid3120">
    <w:name w:val="Table Grid312"/>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
    <w:name w:val="No List812"/>
    <w:next w:val="NoList"/>
    <w:uiPriority w:val="99"/>
    <w:semiHidden/>
    <w:unhideWhenUsed/>
    <w:rsid w:val="005150E5"/>
  </w:style>
  <w:style w:type="numbering" w:customStyle="1" w:styleId="1212">
    <w:name w:val="Нет списка1212"/>
    <w:next w:val="NoList"/>
    <w:semiHidden/>
    <w:unhideWhenUsed/>
    <w:rsid w:val="005150E5"/>
  </w:style>
  <w:style w:type="numbering" w:customStyle="1" w:styleId="NoList1312">
    <w:name w:val="No List1312"/>
    <w:next w:val="NoList"/>
    <w:semiHidden/>
    <w:unhideWhenUsed/>
    <w:rsid w:val="005150E5"/>
  </w:style>
  <w:style w:type="numbering" w:customStyle="1" w:styleId="NoList2113">
    <w:name w:val="No List2113"/>
    <w:next w:val="NoList"/>
    <w:semiHidden/>
    <w:unhideWhenUsed/>
    <w:rsid w:val="005150E5"/>
  </w:style>
  <w:style w:type="numbering" w:customStyle="1" w:styleId="NoList3113">
    <w:name w:val="No List3113"/>
    <w:next w:val="NoList"/>
    <w:semiHidden/>
    <w:unhideWhenUsed/>
    <w:rsid w:val="005150E5"/>
  </w:style>
  <w:style w:type="numbering" w:customStyle="1" w:styleId="11121">
    <w:name w:val="Нет списка11121"/>
    <w:next w:val="NoList"/>
    <w:semiHidden/>
    <w:unhideWhenUsed/>
    <w:rsid w:val="005150E5"/>
  </w:style>
  <w:style w:type="numbering" w:customStyle="1" w:styleId="NoList4112">
    <w:name w:val="No List4112"/>
    <w:next w:val="NoList"/>
    <w:semiHidden/>
    <w:rsid w:val="005150E5"/>
  </w:style>
  <w:style w:type="numbering" w:customStyle="1" w:styleId="NoList111113">
    <w:name w:val="No List111113"/>
    <w:next w:val="NoList"/>
    <w:semiHidden/>
    <w:unhideWhenUsed/>
    <w:rsid w:val="005150E5"/>
  </w:style>
  <w:style w:type="numbering" w:customStyle="1" w:styleId="111111">
    <w:name w:val="Нет списка111111"/>
    <w:next w:val="NoList"/>
    <w:semiHidden/>
    <w:unhideWhenUsed/>
    <w:rsid w:val="005150E5"/>
  </w:style>
  <w:style w:type="paragraph" w:customStyle="1" w:styleId="CharChar37">
    <w:name w:val="Char Char37"/>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BodyText23">
    <w:name w:val="Body Text2"/>
    <w:basedOn w:val="Normal"/>
    <w:rsid w:val="005150E5"/>
    <w:pPr>
      <w:tabs>
        <w:tab w:val="num" w:pos="0"/>
      </w:tabs>
      <w:spacing w:before="0" w:after="240" w:line="240" w:lineRule="auto"/>
      <w:ind w:firstLine="0"/>
      <w:contextualSpacing w:val="0"/>
    </w:pPr>
    <w:rPr>
      <w:rFonts w:ascii="Times Armenian" w:hAnsi="Times Armenian"/>
      <w:b w:val="0"/>
      <w:sz w:val="24"/>
      <w:lang w:val="en-US"/>
    </w:rPr>
  </w:style>
  <w:style w:type="paragraph" w:customStyle="1" w:styleId="Znak2">
    <w:name w:val="Znak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Char2">
    <w:name w:val="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CharChar5">
    <w:name w:val="Char Char Char Char Знак Char Знак Char Char Char Char Char Char Char Char Char Char5"/>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2">
    <w:name w:val="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2">
    <w:name w:val="Знак Знак Char2"/>
    <w:link w:val="5"/>
    <w:rsid w:val="005150E5"/>
    <w:rPr>
      <w:rFonts w:ascii="Arial" w:hAnsi="Arial" w:cs="Arial"/>
      <w:b/>
    </w:rPr>
  </w:style>
  <w:style w:type="paragraph" w:customStyle="1" w:styleId="CharCharCharCharCharCharCharCharCharChar2">
    <w:name w:val="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2">
    <w:name w:val="Char Char Char 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CharChar2">
    <w:name w:val="Знак Знак1 Char Char Знак Знак2"/>
    <w:basedOn w:val="Normal"/>
    <w:rsid w:val="005150E5"/>
    <w:pPr>
      <w:tabs>
        <w:tab w:val="num" w:pos="840"/>
      </w:tabs>
      <w:spacing w:before="0" w:after="160" w:line="240" w:lineRule="exact"/>
      <w:ind w:left="840" w:hanging="360"/>
      <w:contextualSpacing w:val="0"/>
    </w:pPr>
    <w:rPr>
      <w:rFonts w:ascii="Verdana" w:hAnsi="Verdana"/>
      <w:b w:val="0"/>
      <w:sz w:val="20"/>
      <w:szCs w:val="20"/>
      <w:lang w:eastAsia="en-US"/>
    </w:rPr>
  </w:style>
  <w:style w:type="paragraph" w:customStyle="1" w:styleId="CharCharCharChar2">
    <w:name w:val="Знак Знак Char Char Знак Знак Char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21">
    <w:name w:val="Знак Знак Знак Знак Знак Знак Знак Знак Знак Знак Знак Знак Знак Знак Знак Знак Знак Знак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CharChar21">
    <w:name w:val="Char Char Char Знак2"/>
    <w:basedOn w:val="Normal"/>
    <w:next w:val="Normal"/>
    <w:rsid w:val="005150E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CharChar1Char2">
    <w:name w:val="Char Char Char1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24">
    <w:name w:val="Знак Знак12"/>
    <w:basedOn w:val="Normal"/>
    <w:rsid w:val="005150E5"/>
    <w:pPr>
      <w:spacing w:before="0" w:after="160" w:line="240" w:lineRule="exact"/>
      <w:ind w:firstLine="0"/>
      <w:contextualSpacing w:val="0"/>
      <w:jc w:val="left"/>
    </w:pPr>
    <w:rPr>
      <w:rFonts w:ascii="Arial" w:eastAsia="MS Mincho" w:hAnsi="Arial" w:cs="Arial"/>
      <w:b w:val="0"/>
      <w:sz w:val="20"/>
      <w:szCs w:val="20"/>
      <w:lang w:val="en-US" w:eastAsia="en-US"/>
    </w:rPr>
  </w:style>
  <w:style w:type="paragraph" w:customStyle="1" w:styleId="CharChar1CharCharChar1Char2">
    <w:name w:val="Char Char1 Char Char Char1 Char2"/>
    <w:basedOn w:val="Normal"/>
    <w:autoRedefine/>
    <w:rsid w:val="005150E5"/>
    <w:pPr>
      <w:spacing w:before="0" w:line="240" w:lineRule="auto"/>
      <w:ind w:firstLine="0"/>
      <w:contextualSpacing w:val="0"/>
      <w:jc w:val="left"/>
    </w:pPr>
    <w:rPr>
      <w:rFonts w:ascii="Times New Roman" w:eastAsia="SimSun" w:hAnsi="Times New Roman"/>
      <w:b w:val="0"/>
      <w:sz w:val="20"/>
      <w:szCs w:val="20"/>
      <w:lang w:val="en-US"/>
    </w:rPr>
  </w:style>
  <w:style w:type="paragraph" w:customStyle="1" w:styleId="420">
    <w:name w:val="Знак Знак4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22">
    <w:name w:val="Знак Char Знак2"/>
    <w:basedOn w:val="Normal"/>
    <w:rsid w:val="005150E5"/>
    <w:pPr>
      <w:spacing w:before="0" w:after="160" w:line="240" w:lineRule="exact"/>
      <w:ind w:firstLine="0"/>
      <w:contextualSpacing w:val="0"/>
      <w:jc w:val="left"/>
    </w:pPr>
    <w:rPr>
      <w:rFonts w:ascii="Arial" w:eastAsia="Batang" w:hAnsi="Arial" w:cs="Arial"/>
      <w:b w:val="0"/>
      <w:sz w:val="20"/>
      <w:szCs w:val="20"/>
      <w:lang w:val="en-US" w:eastAsia="en-US"/>
    </w:rPr>
  </w:style>
  <w:style w:type="paragraph" w:customStyle="1" w:styleId="CharCharCharCharCharChar20">
    <w:name w:val="Знак Знак Char Char Знак Знак Char Char Знак Знак Char Char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220">
    <w:name w:val="Знак Знак2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20">
    <w:name w:val="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Char52">
    <w:name w:val="Char Char52"/>
    <w:rsid w:val="005150E5"/>
    <w:rPr>
      <w:rFonts w:ascii="Arial Armenian" w:hAnsi="Arial Armenian" w:cs="Sylfaen"/>
      <w:sz w:val="24"/>
      <w:szCs w:val="24"/>
      <w:lang w:val="ru-RU" w:eastAsia="ru-RU"/>
    </w:rPr>
  </w:style>
  <w:style w:type="paragraph" w:customStyle="1" w:styleId="CharCharCharCharCharChar10">
    <w:name w:val="Char Char Char Char Char Char1"/>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1100">
    <w:name w:val="Char Char110"/>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2d">
    <w:name w:val="Знак2"/>
    <w:basedOn w:val="Normal"/>
    <w:rsid w:val="005150E5"/>
    <w:pPr>
      <w:spacing w:before="0" w:after="160" w:line="240" w:lineRule="exact"/>
      <w:ind w:firstLine="0"/>
      <w:contextualSpacing w:val="0"/>
      <w:jc w:val="left"/>
    </w:pPr>
    <w:rPr>
      <w:rFonts w:ascii="Arial" w:hAnsi="Arial" w:cs="Arial"/>
      <w:b w:val="0"/>
      <w:sz w:val="20"/>
      <w:szCs w:val="20"/>
      <w:lang w:val="en-GB" w:eastAsia="en-US"/>
    </w:rPr>
  </w:style>
  <w:style w:type="character" w:customStyle="1" w:styleId="CharChar281">
    <w:name w:val="Char Char281"/>
    <w:rsid w:val="005150E5"/>
    <w:rPr>
      <w:rFonts w:ascii="Arial Armenian" w:hAnsi="Arial Armenian"/>
      <w:i/>
      <w:sz w:val="22"/>
      <w:u w:val="single"/>
      <w:lang w:val="en-GB"/>
    </w:rPr>
  </w:style>
  <w:style w:type="character" w:customStyle="1" w:styleId="CharChar271">
    <w:name w:val="Char Char271"/>
    <w:rsid w:val="005150E5"/>
    <w:rPr>
      <w:rFonts w:ascii="Garamond" w:hAnsi="Garamond"/>
      <w:i/>
      <w:spacing w:val="-5"/>
      <w:sz w:val="28"/>
      <w:shd w:val="pct5" w:color="auto" w:fill="auto"/>
      <w:lang w:val="en-GB"/>
    </w:rPr>
  </w:style>
  <w:style w:type="character" w:customStyle="1" w:styleId="CharChar261">
    <w:name w:val="Char Char261"/>
    <w:rsid w:val="005150E5"/>
    <w:rPr>
      <w:rFonts w:ascii="Arial Black" w:hAnsi="Arial Black"/>
      <w:caps/>
      <w:spacing w:val="60"/>
      <w:position w:val="4"/>
      <w:sz w:val="14"/>
      <w:lang w:val="en-GB"/>
    </w:rPr>
  </w:style>
  <w:style w:type="character" w:customStyle="1" w:styleId="CharChar251">
    <w:name w:val="Char Char251"/>
    <w:rsid w:val="005150E5"/>
    <w:rPr>
      <w:rFonts w:ascii="Garamond" w:hAnsi="Garamond"/>
      <w:b/>
      <w:i/>
      <w:kern w:val="28"/>
      <w:lang w:val="en-GB"/>
    </w:rPr>
  </w:style>
  <w:style w:type="character" w:customStyle="1" w:styleId="CharChar351">
    <w:name w:val="Char Char351"/>
    <w:rsid w:val="005150E5"/>
    <w:rPr>
      <w:rFonts w:ascii="Arial Armenian" w:hAnsi="Arial Armenian"/>
      <w:i/>
      <w:sz w:val="22"/>
      <w:u w:val="single"/>
      <w:lang w:val="en-GB"/>
    </w:rPr>
  </w:style>
  <w:style w:type="character" w:customStyle="1" w:styleId="CharChar341">
    <w:name w:val="Char Char341"/>
    <w:rsid w:val="005150E5"/>
    <w:rPr>
      <w:rFonts w:ascii="Garamond" w:hAnsi="Garamond"/>
      <w:i/>
      <w:spacing w:val="-5"/>
      <w:sz w:val="28"/>
      <w:shd w:val="pct5" w:color="auto" w:fill="auto"/>
      <w:lang w:val="en-GB"/>
    </w:rPr>
  </w:style>
  <w:style w:type="character" w:customStyle="1" w:styleId="CharChar331">
    <w:name w:val="Char Char331"/>
    <w:rsid w:val="005150E5"/>
    <w:rPr>
      <w:rFonts w:ascii="Arial Black" w:hAnsi="Arial Black"/>
      <w:caps/>
      <w:spacing w:val="60"/>
      <w:position w:val="4"/>
      <w:sz w:val="14"/>
      <w:lang w:val="en-GB"/>
    </w:rPr>
  </w:style>
  <w:style w:type="character" w:customStyle="1" w:styleId="CharChar321">
    <w:name w:val="Char Char321"/>
    <w:rsid w:val="005150E5"/>
    <w:rPr>
      <w:rFonts w:ascii="Garamond" w:hAnsi="Garamond"/>
      <w:b/>
      <w:i/>
      <w:kern w:val="28"/>
      <w:lang w:val="en-GB"/>
    </w:rPr>
  </w:style>
  <w:style w:type="character" w:customStyle="1" w:styleId="CharChar311">
    <w:name w:val="Char Char311"/>
    <w:rsid w:val="005150E5"/>
    <w:rPr>
      <w:rFonts w:ascii="Arial Armenian" w:hAnsi="Arial Armenian"/>
      <w:noProof/>
      <w:lang w:val="en-US" w:eastAsia="en-US" w:bidi="ar-SA"/>
    </w:rPr>
  </w:style>
  <w:style w:type="character" w:customStyle="1" w:styleId="CharChar301">
    <w:name w:val="Char Char301"/>
    <w:rsid w:val="005150E5"/>
    <w:rPr>
      <w:rFonts w:ascii="Arial Armenian" w:hAnsi="Arial Armenian"/>
      <w:lang w:val="en-GB" w:eastAsia="en-US" w:bidi="ar-SA"/>
    </w:rPr>
  </w:style>
  <w:style w:type="character" w:customStyle="1" w:styleId="CharChar291">
    <w:name w:val="Char Char291"/>
    <w:rsid w:val="005150E5"/>
    <w:rPr>
      <w:rFonts w:ascii="Arial Armenian" w:hAnsi="Arial Armenian"/>
      <w:lang w:val="ru-RU" w:eastAsia="ru-RU" w:bidi="ar-SA"/>
    </w:rPr>
  </w:style>
  <w:style w:type="paragraph" w:customStyle="1" w:styleId="CharChar5CharCharCharCharCharChar1">
    <w:name w:val="Char Char5 Char Char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CharChar1">
    <w:name w:val="Char Char5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1">
    <w:name w:val="Char Char5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61">
    <w:name w:val="Char Char61"/>
    <w:locked/>
    <w:rsid w:val="005150E5"/>
    <w:rPr>
      <w:rFonts w:ascii="Times LatArm" w:eastAsia="Calibri" w:hAnsi="Times LatArm" w:cs="Times LatArm"/>
      <w:sz w:val="22"/>
      <w:szCs w:val="22"/>
      <w:lang w:val="en-GB" w:eastAsia="en-US" w:bidi="ar-SA"/>
    </w:rPr>
  </w:style>
  <w:style w:type="character" w:customStyle="1" w:styleId="CharChar81">
    <w:name w:val="Char Char81"/>
    <w:locked/>
    <w:rsid w:val="005150E5"/>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5150E5"/>
    <w:rPr>
      <w:rFonts w:ascii="Courier New" w:eastAsia="Calibri" w:hAnsi="Courier New" w:cs="Courier New"/>
      <w:lang w:val="en-US" w:eastAsia="en-US" w:bidi="ar-SA"/>
    </w:rPr>
  </w:style>
  <w:style w:type="character" w:customStyle="1" w:styleId="CharChar41">
    <w:name w:val="Char Char41"/>
    <w:locked/>
    <w:rsid w:val="005150E5"/>
    <w:rPr>
      <w:rFonts w:eastAsia="Calibri"/>
      <w:sz w:val="22"/>
      <w:szCs w:val="22"/>
      <w:lang w:val="en-GB" w:eastAsia="en-US" w:bidi="ar-SA"/>
    </w:rPr>
  </w:style>
  <w:style w:type="character" w:customStyle="1" w:styleId="CharChar36">
    <w:name w:val="Char Char36"/>
    <w:locked/>
    <w:rsid w:val="005150E5"/>
    <w:rPr>
      <w:rFonts w:eastAsia="Calibri"/>
      <w:sz w:val="22"/>
      <w:szCs w:val="22"/>
      <w:lang w:val="en-GB" w:eastAsia="en-US" w:bidi="ar-SA"/>
    </w:rPr>
  </w:style>
  <w:style w:type="character" w:customStyle="1" w:styleId="CharChar210">
    <w:name w:val="Char Char210"/>
    <w:locked/>
    <w:rsid w:val="005150E5"/>
    <w:rPr>
      <w:rFonts w:ascii="Times Armenian" w:eastAsia="Calibri" w:hAnsi="Times Armenian" w:cs="Times Armenian"/>
      <w:b/>
      <w:bCs/>
      <w:sz w:val="22"/>
      <w:szCs w:val="22"/>
      <w:lang w:val="en-US" w:eastAsia="en-US" w:bidi="ar-SA"/>
    </w:rPr>
  </w:style>
  <w:style w:type="table" w:customStyle="1" w:styleId="TableGrid63">
    <w:name w:val="Table Grid63"/>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
    <w:name w:val="Table Grid22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0E5"/>
    <w:rPr>
      <w:color w:val="605E5C"/>
      <w:shd w:val="clear" w:color="auto" w:fill="E1DFDD"/>
    </w:rPr>
  </w:style>
  <w:style w:type="table" w:customStyle="1" w:styleId="GridTable1Light-Accent11">
    <w:name w:val="Grid Table 1 Light - Accent 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5150E5"/>
    <w:rPr>
      <w:rFonts w:ascii="Calibri Light" w:eastAsia="Times New Roman" w:hAnsi="Calibri Light" w:cs="Times New Roman"/>
      <w:color w:val="2E74B5"/>
      <w:sz w:val="24"/>
      <w:szCs w:val="24"/>
    </w:rPr>
  </w:style>
  <w:style w:type="character" w:customStyle="1" w:styleId="Heading6Char2">
    <w:name w:val="Heading 6 Char2"/>
    <w:basedOn w:val="DefaultParagraphFont"/>
    <w:uiPriority w:val="9"/>
    <w:semiHidden/>
    <w:rsid w:val="005150E5"/>
    <w:rPr>
      <w:rFonts w:ascii="Calibri Light" w:eastAsia="Times New Roman" w:hAnsi="Calibri Light" w:cs="Times New Roman"/>
      <w:color w:val="1F4D78"/>
      <w:sz w:val="24"/>
      <w:szCs w:val="24"/>
    </w:rPr>
  </w:style>
  <w:style w:type="character" w:customStyle="1" w:styleId="Heading7Char2">
    <w:name w:val="Heading 7 Char2"/>
    <w:basedOn w:val="DefaultParagraphFont"/>
    <w:uiPriority w:val="9"/>
    <w:semiHidden/>
    <w:rsid w:val="005150E5"/>
    <w:rPr>
      <w:rFonts w:ascii="Calibri Light" w:eastAsia="Times New Roman" w:hAnsi="Calibri Light" w:cs="Times New Roman"/>
      <w:i/>
      <w:iCs/>
      <w:color w:val="1F4D78"/>
      <w:sz w:val="24"/>
      <w:szCs w:val="24"/>
    </w:rPr>
  </w:style>
  <w:style w:type="character" w:customStyle="1" w:styleId="Heading8Char2">
    <w:name w:val="Heading 8 Char2"/>
    <w:basedOn w:val="DefaultParagraphFont"/>
    <w:uiPriority w:val="9"/>
    <w:semiHidden/>
    <w:rsid w:val="005150E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150E5"/>
    <w:rPr>
      <w:rFonts w:ascii="Calibri Light" w:eastAsia="Times New Roman" w:hAnsi="Calibri Light" w:cs="Times New Roman"/>
      <w:i/>
      <w:iCs/>
      <w:color w:val="272727"/>
      <w:sz w:val="21"/>
      <w:szCs w:val="21"/>
    </w:rPr>
  </w:style>
  <w:style w:type="character" w:customStyle="1" w:styleId="BodyTextIndent3Char2">
    <w:name w:val="Body Text Indent 3 Char2"/>
    <w:basedOn w:val="DefaultParagraphFont"/>
    <w:uiPriority w:val="99"/>
    <w:rsid w:val="005150E5"/>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5150E5"/>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5150E5"/>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5150E5"/>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5150E5"/>
    <w:rPr>
      <w:rFonts w:ascii="Calibri Light" w:eastAsia="Times New Roman" w:hAnsi="Calibri Light" w:cs="Times New Roman"/>
      <w:spacing w:val="-10"/>
      <w:kern w:val="28"/>
      <w:sz w:val="56"/>
      <w:szCs w:val="56"/>
    </w:rPr>
  </w:style>
  <w:style w:type="character" w:customStyle="1" w:styleId="PlainTextChar2">
    <w:name w:val="Plain Text Char2"/>
    <w:basedOn w:val="DefaultParagraphFont"/>
    <w:uiPriority w:val="99"/>
    <w:rsid w:val="005150E5"/>
    <w:rPr>
      <w:rFonts w:ascii="Consolas" w:eastAsia="Times New Roman" w:hAnsi="Consolas" w:cs="Times New Roman"/>
      <w:sz w:val="21"/>
      <w:szCs w:val="21"/>
    </w:rPr>
  </w:style>
  <w:style w:type="table" w:customStyle="1" w:styleId="TableList78">
    <w:name w:val="Table List 78"/>
    <w:basedOn w:val="TableNormal"/>
    <w:next w:val="TableList7"/>
    <w:uiPriority w:val="99"/>
    <w:semiHidden/>
    <w:unhideWhenUsed/>
    <w:rsid w:val="005150E5"/>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
    <w:name w:val="Table Web 38"/>
    <w:basedOn w:val="TableNormal"/>
    <w:next w:val="TableWeb3"/>
    <w:uiPriority w:val="99"/>
    <w:semiHidden/>
    <w:unhideWhenUsed/>
    <w:rsid w:val="005150E5"/>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
    <w:name w:val="Table Elegant8"/>
    <w:basedOn w:val="TableNormal"/>
    <w:next w:val="TableElegant"/>
    <w:uiPriority w:val="99"/>
    <w:semiHidden/>
    <w:unhideWhenUsed/>
    <w:rsid w:val="005150E5"/>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ubtitleChar3">
    <w:name w:val="Subtitle Char3"/>
    <w:basedOn w:val="DefaultParagraphFont"/>
    <w:uiPriority w:val="11"/>
    <w:rsid w:val="005150E5"/>
    <w:rPr>
      <w:rFonts w:eastAsia="Times New Roman"/>
      <w:color w:val="5A5A5A"/>
      <w:spacing w:val="15"/>
    </w:rPr>
  </w:style>
  <w:style w:type="table" w:customStyle="1" w:styleId="TableWeb28">
    <w:name w:val="Table Web 28"/>
    <w:basedOn w:val="TableNormal"/>
    <w:next w:val="TableWeb2"/>
    <w:uiPriority w:val="99"/>
    <w:semiHidden/>
    <w:unhideWhenUsed/>
    <w:rsid w:val="005150E5"/>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
    <w:name w:val="Table Web 18"/>
    <w:basedOn w:val="TableNormal"/>
    <w:next w:val="TableWeb1"/>
    <w:uiPriority w:val="99"/>
    <w:semiHidden/>
    <w:unhideWhenUsed/>
    <w:rsid w:val="005150E5"/>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FirstIndentChar3">
    <w:name w:val="Body Text First Indent Char3"/>
    <w:basedOn w:val="BodyTextChar1"/>
    <w:uiPriority w:val="99"/>
    <w:rsid w:val="005150E5"/>
    <w:rPr>
      <w:rFonts w:ascii="Times New Roman" w:eastAsia="Times New Roman" w:hAnsi="Times New Roman" w:cs="Times New Roman"/>
      <w:sz w:val="24"/>
      <w:szCs w:val="24"/>
    </w:rPr>
  </w:style>
  <w:style w:type="table" w:customStyle="1" w:styleId="TableGrid88">
    <w:name w:val="Table Grid 88"/>
    <w:basedOn w:val="TableNormal"/>
    <w:next w:val="TableGrid8"/>
    <w:uiPriority w:val="99"/>
    <w:semiHidden/>
    <w:unhideWhenUsed/>
    <w:rsid w:val="005150E5"/>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uiPriority w:val="99"/>
    <w:semiHidden/>
    <w:unhideWhenUsed/>
    <w:rsid w:val="005150E5"/>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DocumentMapChar2">
    <w:name w:val="Document Map Char2"/>
    <w:basedOn w:val="DefaultParagraphFont"/>
    <w:uiPriority w:val="99"/>
    <w:rsid w:val="005150E5"/>
    <w:rPr>
      <w:rFonts w:ascii="Segoe UI" w:eastAsia="Times New Roman" w:hAnsi="Segoe UI" w:cs="Segoe UI"/>
      <w:sz w:val="16"/>
      <w:szCs w:val="16"/>
    </w:rPr>
  </w:style>
  <w:style w:type="character" w:customStyle="1" w:styleId="QuoteChar1">
    <w:name w:val="Quote Char1"/>
    <w:basedOn w:val="DefaultParagraphFont"/>
    <w:uiPriority w:val="29"/>
    <w:rsid w:val="005150E5"/>
    <w:rPr>
      <w:rFonts w:ascii="Times New Roman" w:eastAsia="Times New Roman" w:hAnsi="Times New Roman" w:cs="Times New Roman"/>
      <w:i/>
      <w:iCs/>
      <w:color w:val="404040"/>
      <w:sz w:val="24"/>
      <w:szCs w:val="24"/>
    </w:rPr>
  </w:style>
  <w:style w:type="table" w:customStyle="1" w:styleId="LightList-Accent127">
    <w:name w:val="Light List - Accent 127"/>
    <w:basedOn w:val="TableNormal"/>
    <w:next w:val="LightList-Accent1"/>
    <w:uiPriority w:val="61"/>
    <w:semiHidden/>
    <w:unhideWhenUsed/>
    <w:rsid w:val="005150E5"/>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
    <w:name w:val="Table Grid 78"/>
    <w:basedOn w:val="TableNormal"/>
    <w:next w:val="TableGrid7"/>
    <w:uiPriority w:val="99"/>
    <w:semiHidden/>
    <w:unhideWhenUsed/>
    <w:rsid w:val="005150E5"/>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
    <w:name w:val="Colorful Grid - Accent 19"/>
    <w:basedOn w:val="TableNormal"/>
    <w:next w:val="ColorfulGrid-Accent1"/>
    <w:uiPriority w:val="73"/>
    <w:semiHidden/>
    <w:unhideWhenUsed/>
    <w:rsid w:val="005150E5"/>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
    <w:name w:val="Light List - Accent 510"/>
    <w:basedOn w:val="TableNormal"/>
    <w:next w:val="LightList-Accent5"/>
    <w:uiPriority w:val="61"/>
    <w:semiHidden/>
    <w:unhideWhenUsed/>
    <w:rsid w:val="005150E5"/>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
    <w:name w:val="Table Simple 38"/>
    <w:basedOn w:val="TableNormal"/>
    <w:next w:val="TableSimple3"/>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
    <w:name w:val="Table Grid 58"/>
    <w:basedOn w:val="TableNormal"/>
    <w:next w:val="TableGrid5"/>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
    <w:name w:val="Table Grid 38"/>
    <w:basedOn w:val="TableNormal"/>
    <w:next w:val="TableGrid3"/>
    <w:uiPriority w:val="99"/>
    <w:semiHidden/>
    <w:unhideWhenUsed/>
    <w:rsid w:val="005150E5"/>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0">
    <w:name w:val="Table Grid 18"/>
    <w:basedOn w:val="TableNormal"/>
    <w:next w:val="TableGrid10"/>
    <w:uiPriority w:val="99"/>
    <w:semiHidden/>
    <w:unhideWhenUsed/>
    <w:rsid w:val="005150E5"/>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
    <w:name w:val="Table Columns 58"/>
    <w:basedOn w:val="TableNormal"/>
    <w:next w:val="TableColumns5"/>
    <w:uiPriority w:val="99"/>
    <w:semiHidden/>
    <w:unhideWhenUsed/>
    <w:rsid w:val="005150E5"/>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IntenseQuoteChar1">
    <w:name w:val="Intense Quote Char1"/>
    <w:basedOn w:val="DefaultParagraphFont"/>
    <w:uiPriority w:val="30"/>
    <w:rsid w:val="005150E5"/>
    <w:rPr>
      <w:rFonts w:ascii="Times New Roman" w:eastAsia="Times New Roman" w:hAnsi="Times New Roman" w:cs="Times New Roman"/>
      <w:i/>
      <w:iCs/>
      <w:color w:val="5B9BD5"/>
      <w:sz w:val="24"/>
      <w:szCs w:val="24"/>
    </w:rPr>
  </w:style>
  <w:style w:type="table" w:customStyle="1" w:styleId="Table3Deffects38">
    <w:name w:val="Table 3D effects 38"/>
    <w:basedOn w:val="TableNormal"/>
    <w:next w:val="Table3Deffects3"/>
    <w:uiPriority w:val="99"/>
    <w:semiHidden/>
    <w:unhideWhenUsed/>
    <w:rsid w:val="005150E5"/>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TopofFormChar1">
    <w:name w:val="z-Top of Form Char1"/>
    <w:basedOn w:val="DefaultParagraphFont"/>
    <w:uiPriority w:val="99"/>
    <w:semiHidden/>
    <w:rsid w:val="005150E5"/>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150E5"/>
    <w:rPr>
      <w:rFonts w:ascii="Arial" w:eastAsia="Times New Roman" w:hAnsi="Arial" w:cs="Arial"/>
      <w:vanish/>
      <w:sz w:val="16"/>
      <w:szCs w:val="16"/>
    </w:rPr>
  </w:style>
  <w:style w:type="character" w:customStyle="1" w:styleId="HTMLPreformattedChar1">
    <w:name w:val="HTML Preformatted Char1"/>
    <w:basedOn w:val="DefaultParagraphFont"/>
    <w:uiPriority w:val="99"/>
    <w:rsid w:val="005150E5"/>
    <w:rPr>
      <w:rFonts w:ascii="Consolas" w:eastAsia="Times New Roman" w:hAnsi="Consolas" w:cs="Times New Roman"/>
      <w:sz w:val="20"/>
      <w:szCs w:val="20"/>
    </w:rPr>
  </w:style>
  <w:style w:type="numbering" w:customStyle="1" w:styleId="NoList153">
    <w:name w:val="No List153"/>
    <w:next w:val="NoList"/>
    <w:uiPriority w:val="99"/>
    <w:semiHidden/>
    <w:unhideWhenUsed/>
    <w:rsid w:val="005150E5"/>
  </w:style>
  <w:style w:type="table" w:customStyle="1" w:styleId="TableGrid123">
    <w:name w:val="Table Grid123"/>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2">
    <w:name w:val="TOC 52"/>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OC62">
    <w:name w:val="TOC 62"/>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2">
    <w:name w:val="TOC 72"/>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2">
    <w:name w:val="TOC 82"/>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2">
    <w:name w:val="TOC 92"/>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23">
    <w:name w:val="Table List 72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3">
    <w:name w:val="Table Web 32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3">
    <w:name w:val="Table Web 13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3">
    <w:name w:val="Table Grid 83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3">
    <w:name w:val="Table Contemporary3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3">
    <w:name w:val="No List163"/>
    <w:next w:val="NoList"/>
    <w:semiHidden/>
    <w:unhideWhenUsed/>
    <w:rsid w:val="005150E5"/>
  </w:style>
  <w:style w:type="numbering" w:customStyle="1" w:styleId="NoList233">
    <w:name w:val="No List233"/>
    <w:next w:val="NoList"/>
    <w:semiHidden/>
    <w:unhideWhenUsed/>
    <w:rsid w:val="005150E5"/>
  </w:style>
  <w:style w:type="numbering" w:customStyle="1" w:styleId="NoList333">
    <w:name w:val="No List333"/>
    <w:next w:val="NoList"/>
    <w:semiHidden/>
    <w:unhideWhenUsed/>
    <w:rsid w:val="005150E5"/>
  </w:style>
  <w:style w:type="table" w:customStyle="1" w:styleId="LightList-Accent133">
    <w:name w:val="Light List - Accent 13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3">
    <w:name w:val="Table Grid 72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3">
    <w:name w:val="Colorful Grid - Accent 14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3">
    <w:name w:val="Light List - Accent 54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3">
    <w:name w:val="Table Simple 32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3">
    <w:name w:val="Table Grid 52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3">
    <w:name w:val="Table Grid 32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30">
    <w:name w:val="Table Grid 12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3">
    <w:name w:val="Light List - Accent 1123"/>
    <w:basedOn w:val="TableNormal"/>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3">
    <w:name w:val="Нет списка143"/>
    <w:next w:val="NoList"/>
    <w:semiHidden/>
    <w:unhideWhenUsed/>
    <w:rsid w:val="005150E5"/>
  </w:style>
  <w:style w:type="table" w:customStyle="1" w:styleId="ColorfulGrid-Accent1123">
    <w:name w:val="Colorful Grid - Accent 1123"/>
    <w:basedOn w:val="TableNormal"/>
    <w:rsid w:val="005150E5"/>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3">
    <w:name w:val="Light List - Accent 5123"/>
    <w:basedOn w:val="TableNormal"/>
    <w:rsid w:val="005150E5"/>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3">
    <w:name w:val="No List433"/>
    <w:next w:val="NoList"/>
    <w:semiHidden/>
    <w:rsid w:val="005150E5"/>
  </w:style>
  <w:style w:type="numbering" w:customStyle="1" w:styleId="NoList1133">
    <w:name w:val="No List1133"/>
    <w:next w:val="NoList"/>
    <w:semiHidden/>
    <w:unhideWhenUsed/>
    <w:rsid w:val="005150E5"/>
  </w:style>
  <w:style w:type="table" w:customStyle="1" w:styleId="Table3Deffects323">
    <w:name w:val="Table 3D effects 32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NoList"/>
    <w:semiHidden/>
    <w:unhideWhenUsed/>
    <w:rsid w:val="005150E5"/>
  </w:style>
  <w:style w:type="table" w:customStyle="1" w:styleId="TableGrid133">
    <w:name w:val="Table Grid133"/>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rsid w:val="005150E5"/>
  </w:style>
  <w:style w:type="numbering" w:customStyle="1" w:styleId="NoList621">
    <w:name w:val="No List621"/>
    <w:next w:val="NoList"/>
    <w:uiPriority w:val="99"/>
    <w:semiHidden/>
    <w:unhideWhenUsed/>
    <w:rsid w:val="005150E5"/>
  </w:style>
  <w:style w:type="table" w:customStyle="1" w:styleId="TableGrid232">
    <w:name w:val="Table Grid232"/>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1">
    <w:name w:val="No List721"/>
    <w:next w:val="NoList"/>
    <w:uiPriority w:val="99"/>
    <w:semiHidden/>
    <w:unhideWhenUsed/>
    <w:rsid w:val="005150E5"/>
  </w:style>
  <w:style w:type="numbering" w:customStyle="1" w:styleId="NoList1223">
    <w:name w:val="No List1223"/>
    <w:next w:val="NoList"/>
    <w:uiPriority w:val="99"/>
    <w:semiHidden/>
    <w:unhideWhenUsed/>
    <w:rsid w:val="005150E5"/>
  </w:style>
  <w:style w:type="table" w:customStyle="1" w:styleId="TableGrid3210">
    <w:name w:val="Table Grid32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
    <w:name w:val="Table Web 2121"/>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
    <w:name w:val="Colorful Grid - Accent 1221"/>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
    <w:name w:val="Light List - Accent 5221"/>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
    <w:name w:val="No List821"/>
    <w:next w:val="NoList"/>
    <w:uiPriority w:val="99"/>
    <w:semiHidden/>
    <w:unhideWhenUsed/>
    <w:rsid w:val="005150E5"/>
  </w:style>
  <w:style w:type="numbering" w:customStyle="1" w:styleId="1221">
    <w:name w:val="Нет списка1221"/>
    <w:next w:val="NoList"/>
    <w:semiHidden/>
    <w:unhideWhenUsed/>
    <w:rsid w:val="005150E5"/>
  </w:style>
  <w:style w:type="numbering" w:customStyle="1" w:styleId="NoList1321">
    <w:name w:val="No List1321"/>
    <w:next w:val="NoList"/>
    <w:semiHidden/>
    <w:unhideWhenUsed/>
    <w:rsid w:val="005150E5"/>
  </w:style>
  <w:style w:type="numbering" w:customStyle="1" w:styleId="NoList2123">
    <w:name w:val="No List2123"/>
    <w:next w:val="NoList"/>
    <w:semiHidden/>
    <w:unhideWhenUsed/>
    <w:rsid w:val="005150E5"/>
  </w:style>
  <w:style w:type="numbering" w:customStyle="1" w:styleId="NoList3123">
    <w:name w:val="No List3123"/>
    <w:next w:val="NoList"/>
    <w:semiHidden/>
    <w:unhideWhenUsed/>
    <w:rsid w:val="005150E5"/>
  </w:style>
  <w:style w:type="numbering" w:customStyle="1" w:styleId="11131">
    <w:name w:val="Нет списка11131"/>
    <w:next w:val="NoList"/>
    <w:semiHidden/>
    <w:unhideWhenUsed/>
    <w:rsid w:val="005150E5"/>
  </w:style>
  <w:style w:type="numbering" w:customStyle="1" w:styleId="NoList4121">
    <w:name w:val="No List4121"/>
    <w:next w:val="NoList"/>
    <w:semiHidden/>
    <w:rsid w:val="005150E5"/>
  </w:style>
  <w:style w:type="numbering" w:customStyle="1" w:styleId="NoList11123">
    <w:name w:val="No List11123"/>
    <w:next w:val="NoList"/>
    <w:semiHidden/>
    <w:unhideWhenUsed/>
    <w:rsid w:val="005150E5"/>
  </w:style>
  <w:style w:type="numbering" w:customStyle="1" w:styleId="111121">
    <w:name w:val="Нет списка111121"/>
    <w:next w:val="NoList"/>
    <w:semiHidden/>
    <w:unhideWhenUsed/>
    <w:rsid w:val="005150E5"/>
  </w:style>
  <w:style w:type="numbering" w:customStyle="1" w:styleId="NoList912">
    <w:name w:val="No List912"/>
    <w:next w:val="NoList"/>
    <w:uiPriority w:val="99"/>
    <w:semiHidden/>
    <w:unhideWhenUsed/>
    <w:rsid w:val="005150E5"/>
  </w:style>
  <w:style w:type="table" w:customStyle="1" w:styleId="TableGrid421">
    <w:name w:val="Table Grid421"/>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012">
    <w:name w:val="No List1012"/>
    <w:next w:val="NoList"/>
    <w:uiPriority w:val="99"/>
    <w:semiHidden/>
    <w:unhideWhenUsed/>
    <w:rsid w:val="005150E5"/>
  </w:style>
  <w:style w:type="table" w:customStyle="1" w:styleId="TableGrid5120">
    <w:name w:val="Table Grid512"/>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
    <w:name w:val="Table List 7121"/>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
    <w:name w:val="Table Web 3121"/>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2">
    <w:name w:val="Table Grid 82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2">
    <w:name w:val="Table Contemporary2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2">
    <w:name w:val="No List1412"/>
    <w:next w:val="NoList"/>
    <w:semiHidden/>
    <w:unhideWhenUsed/>
    <w:rsid w:val="005150E5"/>
  </w:style>
  <w:style w:type="numbering" w:customStyle="1" w:styleId="NoList2212">
    <w:name w:val="No List2212"/>
    <w:next w:val="NoList"/>
    <w:semiHidden/>
    <w:unhideWhenUsed/>
    <w:rsid w:val="005150E5"/>
  </w:style>
  <w:style w:type="numbering" w:customStyle="1" w:styleId="NoList3212">
    <w:name w:val="No List3212"/>
    <w:next w:val="NoList"/>
    <w:semiHidden/>
    <w:unhideWhenUsed/>
    <w:rsid w:val="005150E5"/>
  </w:style>
  <w:style w:type="table" w:customStyle="1" w:styleId="LightList-Accent1212">
    <w:name w:val="Light List - Accent 12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1">
    <w:name w:val="Table Grid 7121"/>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2">
    <w:name w:val="Colorful Grid - Accent 13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2">
    <w:name w:val="Light List - Accent 53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1">
    <w:name w:val="Table Simple 3121"/>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
    <w:name w:val="Table Grid 5121"/>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
    <w:name w:val="Table Grid 3121"/>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
    <w:name w:val="Table Grid 1121"/>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
    <w:name w:val="Table Columns 5121"/>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2">
    <w:name w:val="Light List - Accent 111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2">
    <w:name w:val="Нет списка1312"/>
    <w:next w:val="NoList"/>
    <w:semiHidden/>
    <w:unhideWhenUsed/>
    <w:rsid w:val="005150E5"/>
  </w:style>
  <w:style w:type="table" w:customStyle="1" w:styleId="ColorfulGrid-Accent11112">
    <w:name w:val="Colorful Grid - Accent 11112"/>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2">
    <w:name w:val="Light List - Accent 51112"/>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2">
    <w:name w:val="No List4212"/>
    <w:next w:val="NoList"/>
    <w:semiHidden/>
    <w:rsid w:val="005150E5"/>
  </w:style>
  <w:style w:type="numbering" w:customStyle="1" w:styleId="NoList11213">
    <w:name w:val="No List11213"/>
    <w:next w:val="NoList"/>
    <w:semiHidden/>
    <w:unhideWhenUsed/>
    <w:rsid w:val="005150E5"/>
  </w:style>
  <w:style w:type="table" w:customStyle="1" w:styleId="Table3Deffects3121">
    <w:name w:val="Table 3D effects 3121"/>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2">
    <w:name w:val="Нет списка11212"/>
    <w:next w:val="NoList"/>
    <w:semiHidden/>
    <w:unhideWhenUsed/>
    <w:rsid w:val="005150E5"/>
  </w:style>
  <w:style w:type="table" w:customStyle="1" w:styleId="TableGrid11210">
    <w:name w:val="Table Grid1121"/>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2">
    <w:name w:val="No List5112"/>
    <w:next w:val="NoList"/>
    <w:uiPriority w:val="99"/>
    <w:semiHidden/>
    <w:rsid w:val="005150E5"/>
  </w:style>
  <w:style w:type="numbering" w:customStyle="1" w:styleId="NoList6111">
    <w:name w:val="No List6111"/>
    <w:next w:val="NoList"/>
    <w:uiPriority w:val="99"/>
    <w:semiHidden/>
    <w:unhideWhenUsed/>
    <w:rsid w:val="005150E5"/>
  </w:style>
  <w:style w:type="table" w:customStyle="1" w:styleId="TableGrid2112">
    <w:name w:val="Table Grid2112"/>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1">
    <w:name w:val="No List7111"/>
    <w:next w:val="NoList"/>
    <w:uiPriority w:val="99"/>
    <w:semiHidden/>
    <w:unhideWhenUsed/>
    <w:rsid w:val="005150E5"/>
  </w:style>
  <w:style w:type="numbering" w:customStyle="1" w:styleId="NoList12112">
    <w:name w:val="No List12112"/>
    <w:next w:val="NoList"/>
    <w:uiPriority w:val="99"/>
    <w:semiHidden/>
    <w:unhideWhenUsed/>
    <w:rsid w:val="005150E5"/>
  </w:style>
  <w:style w:type="table" w:customStyle="1" w:styleId="TableGrid31110">
    <w:name w:val="Table Grid3111"/>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
    <w:name w:val="Table Web 21111"/>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
    <w:name w:val="Table Web 11111"/>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
    <w:name w:val="Table Grid 81111"/>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
    <w:name w:val="Table Contemporary1111"/>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
    <w:name w:val="Colorful Grid - Accent 12111"/>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
    <w:name w:val="Light List - Accent 52111"/>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
    <w:name w:val="No List8111"/>
    <w:next w:val="NoList"/>
    <w:uiPriority w:val="99"/>
    <w:semiHidden/>
    <w:unhideWhenUsed/>
    <w:rsid w:val="005150E5"/>
  </w:style>
  <w:style w:type="numbering" w:customStyle="1" w:styleId="12111">
    <w:name w:val="Нет списка12111"/>
    <w:next w:val="NoList"/>
    <w:semiHidden/>
    <w:unhideWhenUsed/>
    <w:rsid w:val="005150E5"/>
  </w:style>
  <w:style w:type="numbering" w:customStyle="1" w:styleId="NoList13111">
    <w:name w:val="No List13111"/>
    <w:next w:val="NoList"/>
    <w:semiHidden/>
    <w:unhideWhenUsed/>
    <w:rsid w:val="005150E5"/>
  </w:style>
  <w:style w:type="numbering" w:customStyle="1" w:styleId="NoList21112">
    <w:name w:val="No List21112"/>
    <w:next w:val="NoList"/>
    <w:semiHidden/>
    <w:unhideWhenUsed/>
    <w:rsid w:val="005150E5"/>
  </w:style>
  <w:style w:type="numbering" w:customStyle="1" w:styleId="NoList31112">
    <w:name w:val="No List31112"/>
    <w:next w:val="NoList"/>
    <w:semiHidden/>
    <w:unhideWhenUsed/>
    <w:rsid w:val="005150E5"/>
  </w:style>
  <w:style w:type="numbering" w:customStyle="1" w:styleId="111211">
    <w:name w:val="Нет списка111211"/>
    <w:next w:val="NoList"/>
    <w:semiHidden/>
    <w:unhideWhenUsed/>
    <w:rsid w:val="005150E5"/>
  </w:style>
  <w:style w:type="numbering" w:customStyle="1" w:styleId="NoList41111">
    <w:name w:val="No List41111"/>
    <w:next w:val="NoList"/>
    <w:semiHidden/>
    <w:rsid w:val="005150E5"/>
  </w:style>
  <w:style w:type="numbering" w:customStyle="1" w:styleId="NoList111123">
    <w:name w:val="No List111123"/>
    <w:next w:val="NoList"/>
    <w:semiHidden/>
    <w:unhideWhenUsed/>
    <w:rsid w:val="005150E5"/>
  </w:style>
  <w:style w:type="numbering" w:customStyle="1" w:styleId="1111111">
    <w:name w:val="Нет списка1111111"/>
    <w:next w:val="NoList"/>
    <w:semiHidden/>
    <w:unhideWhenUsed/>
    <w:rsid w:val="005150E5"/>
  </w:style>
  <w:style w:type="table" w:customStyle="1" w:styleId="TableGrid612">
    <w:name w:val="Table Grid612"/>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2">
    <w:name w:val="Table Grid221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unhideWhenUsed/>
    <w:rsid w:val="005150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Table7Colorful-Accent11">
    <w:name w:val="List Table 7 Colorful - Accent 11"/>
    <w:basedOn w:val="TableNormal"/>
    <w:uiPriority w:val="52"/>
    <w:rsid w:val="001E3933"/>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7">
    <w:name w:val="No List57"/>
    <w:next w:val="NoList"/>
    <w:semiHidden/>
    <w:rsid w:val="00A00B8B"/>
  </w:style>
  <w:style w:type="paragraph" w:customStyle="1" w:styleId="DefaultParagraphFontParaChar">
    <w:name w:val="Default Paragraph Font Para Char"/>
    <w:basedOn w:val="Normal"/>
    <w:locked/>
    <w:rsid w:val="00A00B8B"/>
    <w:pPr>
      <w:spacing w:before="0" w:after="160" w:line="240" w:lineRule="auto"/>
      <w:ind w:firstLine="0"/>
      <w:contextualSpacing w:val="0"/>
      <w:jc w:val="left"/>
    </w:pPr>
    <w:rPr>
      <w:rFonts w:ascii="Verdana" w:eastAsia="Batang" w:hAnsi="Verdana" w:cs="Verdana"/>
      <w:b w:val="0"/>
      <w:sz w:val="24"/>
      <w:lang w:val="en-GB" w:eastAsia="en-US"/>
    </w:rPr>
  </w:style>
  <w:style w:type="table" w:customStyle="1" w:styleId="TableGrid300">
    <w:name w:val="Table Grid30"/>
    <w:basedOn w:val="TableNormal"/>
    <w:next w:val="TableGrid"/>
    <w:rsid w:val="00A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Ամփոփոթերթ"/>
    <w:basedOn w:val="Normal"/>
    <w:rsid w:val="00A00B8B"/>
    <w:pPr>
      <w:framePr w:wrap="around" w:vAnchor="text" w:hAnchor="text" w:y="1"/>
      <w:numPr>
        <w:numId w:val="25"/>
      </w:numPr>
      <w:spacing w:before="0" w:line="240" w:lineRule="auto"/>
      <w:contextualSpacing w:val="0"/>
      <w:jc w:val="left"/>
    </w:pPr>
    <w:rPr>
      <w:rFonts w:ascii="Sylfaen" w:hAnsi="Sylfaen" w:cs="Sylfaen"/>
      <w:b w:val="0"/>
      <w:szCs w:val="22"/>
      <w:lang w:val="en-US" w:eastAsia="en-US"/>
    </w:rPr>
  </w:style>
  <w:style w:type="paragraph" w:customStyle="1" w:styleId="GHM">
    <w:name w:val="GHM"/>
    <w:rsid w:val="00A00B8B"/>
    <w:rPr>
      <w:rFonts w:ascii="GHEA Mariam" w:hAnsi="GHEA Mariam"/>
      <w:sz w:val="24"/>
      <w:szCs w:val="24"/>
      <w:lang w:val="hy-AM"/>
    </w:rPr>
  </w:style>
  <w:style w:type="paragraph" w:customStyle="1" w:styleId="Charb">
    <w:name w:val="Char"/>
    <w:basedOn w:val="Normal"/>
    <w:locked/>
    <w:rsid w:val="00A00B8B"/>
    <w:pPr>
      <w:spacing w:before="0" w:after="160" w:line="240" w:lineRule="auto"/>
      <w:ind w:firstLine="0"/>
      <w:contextualSpacing w:val="0"/>
      <w:jc w:val="left"/>
    </w:pPr>
    <w:rPr>
      <w:rFonts w:ascii="Verdana" w:eastAsia="Batang" w:hAnsi="Verdana" w:cs="Verdana"/>
      <w:b w:val="0"/>
      <w:sz w:val="24"/>
      <w:lang w:val="en-GB"/>
    </w:rPr>
  </w:style>
  <w:style w:type="table" w:customStyle="1" w:styleId="TableGrid340">
    <w:name w:val="Table Grid34"/>
    <w:basedOn w:val="TableNormal"/>
    <w:next w:val="TableGrid"/>
    <w:uiPriority w:val="39"/>
    <w:rsid w:val="00836C0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E12E8"/>
  </w:style>
  <w:style w:type="table" w:customStyle="1" w:styleId="TableGrid350">
    <w:name w:val="Table Grid35"/>
    <w:basedOn w:val="TableNormal"/>
    <w:next w:val="TableGrid"/>
    <w:uiPriority w:val="39"/>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9">
    <w:name w:val="Table List 79"/>
    <w:basedOn w:val="TableNormal"/>
    <w:next w:val="TableList7"/>
    <w:rsid w:val="004E12E8"/>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9">
    <w:name w:val="Table Web 39"/>
    <w:basedOn w:val="TableNormal"/>
    <w:next w:val="TableWeb3"/>
    <w:rsid w:val="004E12E8"/>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9">
    <w:name w:val="Table Elegant9"/>
    <w:basedOn w:val="TableNormal"/>
    <w:next w:val="TableElegant"/>
    <w:rsid w:val="004E12E8"/>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9">
    <w:name w:val="Table Web 19"/>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9">
    <w:name w:val="Table Grid 89"/>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4">
    <w:name w:val="No List134"/>
    <w:next w:val="NoList"/>
    <w:semiHidden/>
    <w:unhideWhenUsed/>
    <w:rsid w:val="004E12E8"/>
  </w:style>
  <w:style w:type="numbering" w:customStyle="1" w:styleId="NoList218">
    <w:name w:val="No List218"/>
    <w:next w:val="NoList"/>
    <w:semiHidden/>
    <w:unhideWhenUsed/>
    <w:rsid w:val="004E12E8"/>
  </w:style>
  <w:style w:type="numbering" w:customStyle="1" w:styleId="NoList317">
    <w:name w:val="No List317"/>
    <w:next w:val="NoList"/>
    <w:semiHidden/>
    <w:unhideWhenUsed/>
    <w:rsid w:val="004E12E8"/>
  </w:style>
  <w:style w:type="table" w:customStyle="1" w:styleId="LightList-Accent128">
    <w:name w:val="Light List - Accent 128"/>
    <w:basedOn w:val="TableNormal"/>
    <w:next w:val="LightList-Accent1"/>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9">
    <w:name w:val="Table Grid 79"/>
    <w:basedOn w:val="TableNormal"/>
    <w:next w:val="TableGrid7"/>
    <w:rsid w:val="004E12E8"/>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0">
    <w:name w:val="Colorful Grid - Accent 110"/>
    <w:basedOn w:val="TableNormal"/>
    <w:next w:val="ColorfulGrid-Accent1"/>
    <w:uiPriority w:val="73"/>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9">
    <w:name w:val="Light List - Accent 519"/>
    <w:basedOn w:val="TableNormal"/>
    <w:next w:val="LightList-Accent5"/>
    <w:uiPriority w:val="61"/>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9">
    <w:name w:val="Table Simple 39"/>
    <w:basedOn w:val="TableNormal"/>
    <w:next w:val="TableSimple3"/>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9">
    <w:name w:val="Table Grid 59"/>
    <w:basedOn w:val="TableNormal"/>
    <w:next w:val="TableGrid5"/>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9">
    <w:name w:val="Table Grid 39"/>
    <w:basedOn w:val="TableNormal"/>
    <w:next w:val="TableGrid3"/>
    <w:rsid w:val="004E12E8"/>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90">
    <w:name w:val="Table Grid 19"/>
    <w:basedOn w:val="TableNormal"/>
    <w:next w:val="TableGrid10"/>
    <w:rsid w:val="004E12E8"/>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9">
    <w:name w:val="Table Columns 59"/>
    <w:basedOn w:val="TableNormal"/>
    <w:next w:val="TableColumns5"/>
    <w:rsid w:val="004E12E8"/>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5">
    <w:name w:val="Light List - Accent 1115"/>
    <w:basedOn w:val="TableNormal"/>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00">
    <w:name w:val="Нет списка110"/>
    <w:next w:val="NoList"/>
    <w:semiHidden/>
    <w:unhideWhenUsed/>
    <w:rsid w:val="004E12E8"/>
  </w:style>
  <w:style w:type="table" w:customStyle="1" w:styleId="ColorfulGrid-Accent119">
    <w:name w:val="Colorful Grid - Accent 119"/>
    <w:basedOn w:val="TableNormal"/>
    <w:rsid w:val="004E12E8"/>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0">
    <w:name w:val="Light List - Accent 5110"/>
    <w:basedOn w:val="TableNormal"/>
    <w:rsid w:val="004E12E8"/>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5">
    <w:name w:val="No List415"/>
    <w:next w:val="NoList"/>
    <w:semiHidden/>
    <w:rsid w:val="004E12E8"/>
  </w:style>
  <w:style w:type="numbering" w:customStyle="1" w:styleId="NoList1126">
    <w:name w:val="No List1126"/>
    <w:next w:val="NoList"/>
    <w:semiHidden/>
    <w:unhideWhenUsed/>
    <w:rsid w:val="004E12E8"/>
  </w:style>
  <w:style w:type="table" w:customStyle="1" w:styleId="Table3Deffects39">
    <w:name w:val="Table 3D effects 39"/>
    <w:basedOn w:val="TableNormal"/>
    <w:next w:val="Table3Deffects3"/>
    <w:rsid w:val="004E12E8"/>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
    <w:name w:val="Нет списка119"/>
    <w:next w:val="NoList"/>
    <w:semiHidden/>
    <w:unhideWhenUsed/>
    <w:rsid w:val="004E12E8"/>
  </w:style>
  <w:style w:type="table" w:customStyle="1" w:styleId="TableGrid116">
    <w:name w:val="Table Grid116"/>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rsid w:val="004E12E8"/>
  </w:style>
  <w:style w:type="numbering" w:customStyle="1" w:styleId="NoList64">
    <w:name w:val="No List64"/>
    <w:next w:val="NoList"/>
    <w:uiPriority w:val="99"/>
    <w:semiHidden/>
    <w:unhideWhenUsed/>
    <w:rsid w:val="004E12E8"/>
  </w:style>
  <w:style w:type="table" w:customStyle="1" w:styleId="TableGrid214">
    <w:name w:val="Table Grid214"/>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4E12E8"/>
  </w:style>
  <w:style w:type="numbering" w:customStyle="1" w:styleId="NoList1214">
    <w:name w:val="No List1214"/>
    <w:next w:val="NoList"/>
    <w:uiPriority w:val="99"/>
    <w:semiHidden/>
    <w:unhideWhenUsed/>
    <w:rsid w:val="004E12E8"/>
  </w:style>
  <w:style w:type="table" w:customStyle="1" w:styleId="TableGrid360">
    <w:name w:val="Table Grid36"/>
    <w:basedOn w:val="TableNormal"/>
    <w:next w:val="TableGrid"/>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4">
    <w:name w:val="No List84"/>
    <w:next w:val="NoList"/>
    <w:uiPriority w:val="99"/>
    <w:semiHidden/>
    <w:unhideWhenUsed/>
    <w:rsid w:val="004E12E8"/>
  </w:style>
  <w:style w:type="numbering" w:customStyle="1" w:styleId="1240">
    <w:name w:val="Нет списка124"/>
    <w:next w:val="NoList"/>
    <w:uiPriority w:val="99"/>
    <w:semiHidden/>
    <w:unhideWhenUsed/>
    <w:rsid w:val="004E12E8"/>
  </w:style>
  <w:style w:type="numbering" w:customStyle="1" w:styleId="NoList135">
    <w:name w:val="No List135"/>
    <w:next w:val="NoList"/>
    <w:semiHidden/>
    <w:unhideWhenUsed/>
    <w:rsid w:val="004E12E8"/>
  </w:style>
  <w:style w:type="numbering" w:customStyle="1" w:styleId="NoList219">
    <w:name w:val="No List219"/>
    <w:next w:val="NoList"/>
    <w:semiHidden/>
    <w:unhideWhenUsed/>
    <w:rsid w:val="004E12E8"/>
  </w:style>
  <w:style w:type="numbering" w:customStyle="1" w:styleId="NoList318">
    <w:name w:val="No List318"/>
    <w:next w:val="NoList"/>
    <w:semiHidden/>
    <w:unhideWhenUsed/>
    <w:rsid w:val="004E12E8"/>
  </w:style>
  <w:style w:type="numbering" w:customStyle="1" w:styleId="1114">
    <w:name w:val="Нет списка1114"/>
    <w:next w:val="NoList"/>
    <w:semiHidden/>
    <w:unhideWhenUsed/>
    <w:rsid w:val="004E12E8"/>
  </w:style>
  <w:style w:type="numbering" w:customStyle="1" w:styleId="NoList416">
    <w:name w:val="No List416"/>
    <w:next w:val="NoList"/>
    <w:semiHidden/>
    <w:rsid w:val="004E12E8"/>
  </w:style>
  <w:style w:type="numbering" w:customStyle="1" w:styleId="NoList11117">
    <w:name w:val="No List11117"/>
    <w:next w:val="NoList"/>
    <w:semiHidden/>
    <w:unhideWhenUsed/>
    <w:rsid w:val="004E12E8"/>
  </w:style>
  <w:style w:type="numbering" w:customStyle="1" w:styleId="11113">
    <w:name w:val="Нет списка11113"/>
    <w:next w:val="NoList"/>
    <w:semiHidden/>
    <w:unhideWhenUsed/>
    <w:rsid w:val="004E12E8"/>
  </w:style>
  <w:style w:type="numbering" w:customStyle="1" w:styleId="NoList94">
    <w:name w:val="No List94"/>
    <w:next w:val="NoList"/>
    <w:uiPriority w:val="99"/>
    <w:semiHidden/>
    <w:unhideWhenUsed/>
    <w:rsid w:val="004E12E8"/>
  </w:style>
  <w:style w:type="table" w:customStyle="1" w:styleId="TableGrid44">
    <w:name w:val="Table Grid44"/>
    <w:basedOn w:val="TableNormal"/>
    <w:next w:val="TableGrid"/>
    <w:uiPriority w:val="39"/>
    <w:rsid w:val="004E12E8"/>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E12E8"/>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E12E8"/>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2">
    <w:name w:val="Grid Table 4 - Accent 112"/>
    <w:basedOn w:val="TableNormal"/>
    <w:uiPriority w:val="49"/>
    <w:rsid w:val="004E12E8"/>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4">
    <w:name w:val="No List104"/>
    <w:next w:val="NoList"/>
    <w:uiPriority w:val="99"/>
    <w:semiHidden/>
    <w:unhideWhenUsed/>
    <w:rsid w:val="004E12E8"/>
  </w:style>
  <w:style w:type="table" w:customStyle="1" w:styleId="TableGrid540">
    <w:name w:val="Table Grid54"/>
    <w:basedOn w:val="TableNormal"/>
    <w:next w:val="TableGrid"/>
    <w:uiPriority w:val="39"/>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4">
    <w:name w:val="Table List 714"/>
    <w:basedOn w:val="TableNormal"/>
    <w:next w:val="TableList7"/>
    <w:rsid w:val="004E12E8"/>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4">
    <w:name w:val="Table Web 314"/>
    <w:basedOn w:val="TableNormal"/>
    <w:next w:val="TableWeb3"/>
    <w:rsid w:val="004E12E8"/>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4E12E8"/>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4">
    <w:name w:val="Table Grid 824"/>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4">
    <w:name w:val="Table Contemporary24"/>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4">
    <w:name w:val="No List144"/>
    <w:next w:val="NoList"/>
    <w:semiHidden/>
    <w:unhideWhenUsed/>
    <w:rsid w:val="004E12E8"/>
  </w:style>
  <w:style w:type="numbering" w:customStyle="1" w:styleId="NoList224">
    <w:name w:val="No List224"/>
    <w:next w:val="NoList"/>
    <w:semiHidden/>
    <w:unhideWhenUsed/>
    <w:rsid w:val="004E12E8"/>
  </w:style>
  <w:style w:type="numbering" w:customStyle="1" w:styleId="NoList324">
    <w:name w:val="No List324"/>
    <w:next w:val="NoList"/>
    <w:semiHidden/>
    <w:unhideWhenUsed/>
    <w:rsid w:val="004E12E8"/>
  </w:style>
  <w:style w:type="table" w:customStyle="1" w:styleId="LightList-Accent129">
    <w:name w:val="Light List - Accent 129"/>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4">
    <w:name w:val="Table Grid 714"/>
    <w:basedOn w:val="TableNormal"/>
    <w:next w:val="TableGrid7"/>
    <w:rsid w:val="004E12E8"/>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4">
    <w:name w:val="Colorful Grid - Accent 134"/>
    <w:basedOn w:val="TableNormal"/>
    <w:next w:val="ColorfulGrid-Accent1"/>
    <w:uiPriority w:val="73"/>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4">
    <w:name w:val="Light List - Accent 534"/>
    <w:basedOn w:val="TableNormal"/>
    <w:next w:val="LightList-Accent5"/>
    <w:uiPriority w:val="61"/>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4">
    <w:name w:val="Table Simple 314"/>
    <w:basedOn w:val="TableNormal"/>
    <w:next w:val="TableSimple3"/>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4">
    <w:name w:val="Table Grid 514"/>
    <w:basedOn w:val="TableNormal"/>
    <w:next w:val="TableGrid5"/>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4">
    <w:name w:val="Table Grid 314"/>
    <w:basedOn w:val="TableNormal"/>
    <w:next w:val="TableGrid3"/>
    <w:rsid w:val="004E12E8"/>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40">
    <w:name w:val="Table Grid 114"/>
    <w:basedOn w:val="TableNormal"/>
    <w:next w:val="TableGrid10"/>
    <w:rsid w:val="004E12E8"/>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4">
    <w:name w:val="Table Columns 514"/>
    <w:basedOn w:val="TableNormal"/>
    <w:next w:val="TableColumns5"/>
    <w:rsid w:val="004E12E8"/>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6">
    <w:name w:val="Light List - Accent 1116"/>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4">
    <w:name w:val="Нет списка134"/>
    <w:next w:val="NoList"/>
    <w:semiHidden/>
    <w:unhideWhenUsed/>
    <w:rsid w:val="004E12E8"/>
  </w:style>
  <w:style w:type="table" w:customStyle="1" w:styleId="ColorfulGrid-Accent1114">
    <w:name w:val="Colorful Grid - Accent 1114"/>
    <w:basedOn w:val="TableNormal"/>
    <w:rsid w:val="004E12E8"/>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4">
    <w:name w:val="Light List - Accent 5114"/>
    <w:basedOn w:val="TableNormal"/>
    <w:rsid w:val="004E12E8"/>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4">
    <w:name w:val="No List424"/>
    <w:next w:val="NoList"/>
    <w:semiHidden/>
    <w:rsid w:val="004E12E8"/>
  </w:style>
  <w:style w:type="numbering" w:customStyle="1" w:styleId="NoList1127">
    <w:name w:val="No List1127"/>
    <w:next w:val="NoList"/>
    <w:semiHidden/>
    <w:unhideWhenUsed/>
    <w:rsid w:val="004E12E8"/>
  </w:style>
  <w:style w:type="table" w:customStyle="1" w:styleId="Table3Deffects314">
    <w:name w:val="Table 3D effects 314"/>
    <w:basedOn w:val="TableNormal"/>
    <w:next w:val="Table3Deffects3"/>
    <w:rsid w:val="004E12E8"/>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NoList"/>
    <w:semiHidden/>
    <w:unhideWhenUsed/>
    <w:rsid w:val="004E12E8"/>
  </w:style>
  <w:style w:type="table" w:customStyle="1" w:styleId="TableGrid117">
    <w:name w:val="Table Grid117"/>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
    <w:name w:val="No List514"/>
    <w:next w:val="NoList"/>
    <w:uiPriority w:val="99"/>
    <w:semiHidden/>
    <w:rsid w:val="004E12E8"/>
  </w:style>
  <w:style w:type="numbering" w:customStyle="1" w:styleId="NoList613">
    <w:name w:val="No List613"/>
    <w:next w:val="NoList"/>
    <w:uiPriority w:val="99"/>
    <w:semiHidden/>
    <w:unhideWhenUsed/>
    <w:rsid w:val="004E12E8"/>
  </w:style>
  <w:style w:type="table" w:customStyle="1" w:styleId="TableGrid215">
    <w:name w:val="Table Grid215"/>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4E12E8"/>
  </w:style>
  <w:style w:type="numbering" w:customStyle="1" w:styleId="NoList1215">
    <w:name w:val="No List1215"/>
    <w:next w:val="NoList"/>
    <w:uiPriority w:val="99"/>
    <w:semiHidden/>
    <w:unhideWhenUsed/>
    <w:rsid w:val="004E12E8"/>
  </w:style>
  <w:style w:type="table" w:customStyle="1" w:styleId="TableGrid3130">
    <w:name w:val="Table Grid313"/>
    <w:basedOn w:val="TableNormal"/>
    <w:next w:val="TableGrid"/>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3">
    <w:name w:val="Table Web 2113"/>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3">
    <w:name w:val="Table Web 1113"/>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3">
    <w:name w:val="Table Grid 8113"/>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3">
    <w:name w:val="Table Contemporary113"/>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3">
    <w:name w:val="Colorful Grid - Accent 1213"/>
    <w:basedOn w:val="TableNormal"/>
    <w:next w:val="ColorfulGrid-Accent1"/>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3">
    <w:name w:val="Light List - Accent 5213"/>
    <w:basedOn w:val="TableNormal"/>
    <w:next w:val="LightList-Accent5"/>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3">
    <w:name w:val="No List813"/>
    <w:next w:val="NoList"/>
    <w:uiPriority w:val="99"/>
    <w:semiHidden/>
    <w:unhideWhenUsed/>
    <w:rsid w:val="004E12E8"/>
  </w:style>
  <w:style w:type="numbering" w:customStyle="1" w:styleId="1213">
    <w:name w:val="Нет списка1213"/>
    <w:next w:val="NoList"/>
    <w:uiPriority w:val="99"/>
    <w:semiHidden/>
    <w:unhideWhenUsed/>
    <w:rsid w:val="004E12E8"/>
  </w:style>
  <w:style w:type="numbering" w:customStyle="1" w:styleId="NoList1313">
    <w:name w:val="No List1313"/>
    <w:next w:val="NoList"/>
    <w:semiHidden/>
    <w:unhideWhenUsed/>
    <w:rsid w:val="004E12E8"/>
  </w:style>
  <w:style w:type="numbering" w:customStyle="1" w:styleId="NoList2114">
    <w:name w:val="No List2114"/>
    <w:next w:val="NoList"/>
    <w:semiHidden/>
    <w:unhideWhenUsed/>
    <w:rsid w:val="004E12E8"/>
  </w:style>
  <w:style w:type="numbering" w:customStyle="1" w:styleId="NoList3114">
    <w:name w:val="No List3114"/>
    <w:next w:val="NoList"/>
    <w:semiHidden/>
    <w:unhideWhenUsed/>
    <w:rsid w:val="004E12E8"/>
  </w:style>
  <w:style w:type="numbering" w:customStyle="1" w:styleId="11122">
    <w:name w:val="Нет списка11122"/>
    <w:next w:val="NoList"/>
    <w:semiHidden/>
    <w:unhideWhenUsed/>
    <w:rsid w:val="004E12E8"/>
  </w:style>
  <w:style w:type="numbering" w:customStyle="1" w:styleId="NoList4113">
    <w:name w:val="No List4113"/>
    <w:next w:val="NoList"/>
    <w:semiHidden/>
    <w:rsid w:val="004E12E8"/>
  </w:style>
  <w:style w:type="numbering" w:customStyle="1" w:styleId="NoList11118">
    <w:name w:val="No List11118"/>
    <w:next w:val="NoList"/>
    <w:semiHidden/>
    <w:unhideWhenUsed/>
    <w:rsid w:val="004E12E8"/>
  </w:style>
  <w:style w:type="numbering" w:customStyle="1" w:styleId="111112">
    <w:name w:val="Нет списка111112"/>
    <w:next w:val="NoList"/>
    <w:semiHidden/>
    <w:unhideWhenUsed/>
    <w:rsid w:val="004E12E8"/>
  </w:style>
  <w:style w:type="table" w:customStyle="1" w:styleId="TableGrid64">
    <w:name w:val="Table Grid64"/>
    <w:basedOn w:val="TableNormal"/>
    <w:next w:val="TableGrid"/>
    <w:uiPriority w:val="39"/>
    <w:rsid w:val="004E12E8"/>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E12E8"/>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4">
    <w:name w:val="Table Grid224"/>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E12E8"/>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11">
    <w:name w:val="Grid Table 1 Light - Accent 51111"/>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3">
    <w:name w:val="Table Grid22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9032E3"/>
  </w:style>
  <w:style w:type="table" w:customStyle="1" w:styleId="TableGrid370">
    <w:name w:val="Table Grid37"/>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
    <w:name w:val="Medium Grid 3 - Accent 12"/>
    <w:basedOn w:val="TableNormal"/>
    <w:next w:val="MediumGrid3-Accent1"/>
    <w:uiPriority w:val="69"/>
    <w:rsid w:val="009032E3"/>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6">
    <w:name w:val="No List136"/>
    <w:next w:val="NoList"/>
    <w:uiPriority w:val="99"/>
    <w:semiHidden/>
    <w:unhideWhenUsed/>
    <w:rsid w:val="009032E3"/>
  </w:style>
  <w:style w:type="table" w:customStyle="1" w:styleId="TableGrid118">
    <w:name w:val="Table Grid118"/>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5">
    <w:name w:val="Table List 715"/>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5">
    <w:name w:val="Table Web 315"/>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5">
    <w:name w:val="Table Elegant15"/>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5">
    <w:name w:val="Table Web 115"/>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5">
    <w:name w:val="Table Grid 815"/>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5">
    <w:name w:val="Table Contemporary15"/>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8">
    <w:name w:val="No List1128"/>
    <w:next w:val="NoList"/>
    <w:semiHidden/>
    <w:unhideWhenUsed/>
    <w:rsid w:val="009032E3"/>
  </w:style>
  <w:style w:type="numbering" w:customStyle="1" w:styleId="NoList220">
    <w:name w:val="No List220"/>
    <w:next w:val="NoList"/>
    <w:semiHidden/>
    <w:unhideWhenUsed/>
    <w:rsid w:val="009032E3"/>
  </w:style>
  <w:style w:type="numbering" w:customStyle="1" w:styleId="NoList319">
    <w:name w:val="No List319"/>
    <w:next w:val="NoList"/>
    <w:semiHidden/>
    <w:unhideWhenUsed/>
    <w:rsid w:val="009032E3"/>
  </w:style>
  <w:style w:type="table" w:customStyle="1" w:styleId="LightList-Accent1117">
    <w:name w:val="Light List - Accent 1117"/>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5">
    <w:name w:val="Table Grid 715"/>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10">
    <w:name w:val="Colorful Grid - Accent 1110"/>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5">
    <w:name w:val="Light List - Accent 511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5">
    <w:name w:val="Table Simple 315"/>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5">
    <w:name w:val="Table Grid 515"/>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5">
    <w:name w:val="Table Grid 315"/>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50">
    <w:name w:val="Table Grid 115"/>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5">
    <w:name w:val="Table Columns 515"/>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200">
    <w:name w:val="Нет списка120"/>
    <w:next w:val="NoList"/>
    <w:semiHidden/>
    <w:unhideWhenUsed/>
    <w:rsid w:val="009032E3"/>
  </w:style>
  <w:style w:type="numbering" w:customStyle="1" w:styleId="NoList417">
    <w:name w:val="No List417"/>
    <w:next w:val="NoList"/>
    <w:semiHidden/>
    <w:rsid w:val="009032E3"/>
  </w:style>
  <w:style w:type="numbering" w:customStyle="1" w:styleId="NoList11119">
    <w:name w:val="No List11119"/>
    <w:next w:val="NoList"/>
    <w:semiHidden/>
    <w:unhideWhenUsed/>
    <w:rsid w:val="009032E3"/>
  </w:style>
  <w:style w:type="table" w:customStyle="1" w:styleId="Table3Deffects315">
    <w:name w:val="Table 3D effects 315"/>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NoList"/>
    <w:semiHidden/>
    <w:unhideWhenUsed/>
    <w:rsid w:val="009032E3"/>
  </w:style>
  <w:style w:type="table" w:customStyle="1" w:styleId="TableGrid119">
    <w:name w:val="Table Grid119"/>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rsid w:val="009032E3"/>
  </w:style>
  <w:style w:type="numbering" w:customStyle="1" w:styleId="NoList65">
    <w:name w:val="No List65"/>
    <w:next w:val="NoList"/>
    <w:uiPriority w:val="99"/>
    <w:semiHidden/>
    <w:unhideWhenUsed/>
    <w:rsid w:val="009032E3"/>
  </w:style>
  <w:style w:type="table" w:customStyle="1" w:styleId="TableGrid216">
    <w:name w:val="Table Grid216"/>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9032E3"/>
  </w:style>
  <w:style w:type="numbering" w:customStyle="1" w:styleId="NoList1216">
    <w:name w:val="No List1216"/>
    <w:next w:val="NoList"/>
    <w:uiPriority w:val="99"/>
    <w:semiHidden/>
    <w:unhideWhenUsed/>
    <w:rsid w:val="009032E3"/>
  </w:style>
  <w:style w:type="table" w:customStyle="1" w:styleId="TableGrid380">
    <w:name w:val="Table Grid38"/>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5">
    <w:name w:val="Colorful Grid - Accent 125"/>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5">
    <w:name w:val="Light List - Accent 52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5">
    <w:name w:val="No List85"/>
    <w:next w:val="NoList"/>
    <w:uiPriority w:val="99"/>
    <w:semiHidden/>
    <w:unhideWhenUsed/>
    <w:rsid w:val="009032E3"/>
  </w:style>
  <w:style w:type="numbering" w:customStyle="1" w:styleId="125">
    <w:name w:val="Нет списка125"/>
    <w:next w:val="NoList"/>
    <w:uiPriority w:val="99"/>
    <w:semiHidden/>
    <w:unhideWhenUsed/>
    <w:rsid w:val="009032E3"/>
  </w:style>
  <w:style w:type="numbering" w:customStyle="1" w:styleId="NoList137">
    <w:name w:val="No List137"/>
    <w:next w:val="NoList"/>
    <w:semiHidden/>
    <w:unhideWhenUsed/>
    <w:rsid w:val="009032E3"/>
  </w:style>
  <w:style w:type="numbering" w:customStyle="1" w:styleId="NoList2110">
    <w:name w:val="No List2110"/>
    <w:next w:val="NoList"/>
    <w:semiHidden/>
    <w:unhideWhenUsed/>
    <w:rsid w:val="009032E3"/>
  </w:style>
  <w:style w:type="numbering" w:customStyle="1" w:styleId="NoList3110">
    <w:name w:val="No List3110"/>
    <w:next w:val="NoList"/>
    <w:semiHidden/>
    <w:unhideWhenUsed/>
    <w:rsid w:val="009032E3"/>
  </w:style>
  <w:style w:type="numbering" w:customStyle="1" w:styleId="1115">
    <w:name w:val="Нет списка1115"/>
    <w:next w:val="NoList"/>
    <w:semiHidden/>
    <w:unhideWhenUsed/>
    <w:rsid w:val="009032E3"/>
  </w:style>
  <w:style w:type="numbering" w:customStyle="1" w:styleId="NoList418">
    <w:name w:val="No List418"/>
    <w:next w:val="NoList"/>
    <w:semiHidden/>
    <w:rsid w:val="009032E3"/>
  </w:style>
  <w:style w:type="numbering" w:customStyle="1" w:styleId="NoList111110">
    <w:name w:val="No List111110"/>
    <w:next w:val="NoList"/>
    <w:semiHidden/>
    <w:unhideWhenUsed/>
    <w:rsid w:val="009032E3"/>
  </w:style>
  <w:style w:type="numbering" w:customStyle="1" w:styleId="11114">
    <w:name w:val="Нет списка11114"/>
    <w:next w:val="NoList"/>
    <w:semiHidden/>
    <w:unhideWhenUsed/>
    <w:rsid w:val="009032E3"/>
  </w:style>
  <w:style w:type="numbering" w:customStyle="1" w:styleId="NoList95">
    <w:name w:val="No List95"/>
    <w:next w:val="NoList"/>
    <w:uiPriority w:val="99"/>
    <w:semiHidden/>
    <w:unhideWhenUsed/>
    <w:rsid w:val="009032E3"/>
  </w:style>
  <w:style w:type="table" w:customStyle="1" w:styleId="TableGrid45">
    <w:name w:val="Table Grid45"/>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4">
    <w:name w:val="Grid Table 1 Light - Accent 514"/>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5">
    <w:name w:val="No List105"/>
    <w:next w:val="NoList"/>
    <w:uiPriority w:val="99"/>
    <w:semiHidden/>
    <w:unhideWhenUsed/>
    <w:rsid w:val="009032E3"/>
  </w:style>
  <w:style w:type="table" w:customStyle="1" w:styleId="TableGrid550">
    <w:name w:val="Table Grid55"/>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3">
    <w:name w:val="Table List 7113"/>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3">
    <w:name w:val="Table Web 3113"/>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5">
    <w:name w:val="Table Web 225"/>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5">
    <w:name w:val="Table Web 125"/>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5">
    <w:name w:val="Table Grid 825"/>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5">
    <w:name w:val="Table Contemporary25"/>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5">
    <w:name w:val="No List145"/>
    <w:next w:val="NoList"/>
    <w:semiHidden/>
    <w:unhideWhenUsed/>
    <w:rsid w:val="009032E3"/>
  </w:style>
  <w:style w:type="numbering" w:customStyle="1" w:styleId="NoList225">
    <w:name w:val="No List225"/>
    <w:next w:val="NoList"/>
    <w:semiHidden/>
    <w:unhideWhenUsed/>
    <w:rsid w:val="009032E3"/>
  </w:style>
  <w:style w:type="numbering" w:customStyle="1" w:styleId="NoList325">
    <w:name w:val="No List325"/>
    <w:next w:val="NoList"/>
    <w:semiHidden/>
    <w:unhideWhenUsed/>
    <w:rsid w:val="009032E3"/>
  </w:style>
  <w:style w:type="table" w:customStyle="1" w:styleId="LightList-Accent1210">
    <w:name w:val="Light List - Accent 1210"/>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3">
    <w:name w:val="Table Grid 7113"/>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5">
    <w:name w:val="Colorful Grid - Accent 135"/>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5">
    <w:name w:val="Light List - Accent 535"/>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3">
    <w:name w:val="Table Simple 3113"/>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3">
    <w:name w:val="Table Grid 5113"/>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3">
    <w:name w:val="Table Grid 3113"/>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30">
    <w:name w:val="Table Grid 1113"/>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3">
    <w:name w:val="Table Columns 5113"/>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8">
    <w:name w:val="Light List - Accent 1118"/>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5">
    <w:name w:val="Нет списка135"/>
    <w:next w:val="NoList"/>
    <w:semiHidden/>
    <w:unhideWhenUsed/>
    <w:rsid w:val="009032E3"/>
  </w:style>
  <w:style w:type="table" w:customStyle="1" w:styleId="ColorfulGrid-Accent1115">
    <w:name w:val="Colorful Grid - Accent 1115"/>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6">
    <w:name w:val="Light List - Accent 5116"/>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5">
    <w:name w:val="No List425"/>
    <w:next w:val="NoList"/>
    <w:semiHidden/>
    <w:rsid w:val="009032E3"/>
  </w:style>
  <w:style w:type="numbering" w:customStyle="1" w:styleId="NoList1129">
    <w:name w:val="No List1129"/>
    <w:next w:val="NoList"/>
    <w:semiHidden/>
    <w:unhideWhenUsed/>
    <w:rsid w:val="009032E3"/>
  </w:style>
  <w:style w:type="table" w:customStyle="1" w:styleId="Table3Deffects3113">
    <w:name w:val="Table 3D effects 3113"/>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5">
    <w:name w:val="Нет списка1125"/>
    <w:next w:val="NoList"/>
    <w:semiHidden/>
    <w:unhideWhenUsed/>
    <w:rsid w:val="009032E3"/>
  </w:style>
  <w:style w:type="table" w:customStyle="1" w:styleId="TableGrid1115">
    <w:name w:val="Table Grid1115"/>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rsid w:val="009032E3"/>
  </w:style>
  <w:style w:type="numbering" w:customStyle="1" w:styleId="NoList614">
    <w:name w:val="No List614"/>
    <w:next w:val="NoList"/>
    <w:uiPriority w:val="99"/>
    <w:semiHidden/>
    <w:unhideWhenUsed/>
    <w:rsid w:val="009032E3"/>
  </w:style>
  <w:style w:type="table" w:customStyle="1" w:styleId="TableGrid217">
    <w:name w:val="Table Grid217"/>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9032E3"/>
  </w:style>
  <w:style w:type="numbering" w:customStyle="1" w:styleId="NoList1217">
    <w:name w:val="No List1217"/>
    <w:next w:val="NoList"/>
    <w:uiPriority w:val="99"/>
    <w:semiHidden/>
    <w:unhideWhenUsed/>
    <w:rsid w:val="009032E3"/>
  </w:style>
  <w:style w:type="table" w:customStyle="1" w:styleId="TableGrid3140">
    <w:name w:val="Table Grid314"/>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4">
    <w:name w:val="Table Web 2114"/>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4">
    <w:name w:val="Table Web 1114"/>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4">
    <w:name w:val="Table Grid 8114"/>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4">
    <w:name w:val="Table Contemporary114"/>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4">
    <w:name w:val="Colorful Grid - Accent 1214"/>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4">
    <w:name w:val="Light List - Accent 5214"/>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4">
    <w:name w:val="No List814"/>
    <w:next w:val="NoList"/>
    <w:uiPriority w:val="99"/>
    <w:semiHidden/>
    <w:unhideWhenUsed/>
    <w:rsid w:val="009032E3"/>
  </w:style>
  <w:style w:type="numbering" w:customStyle="1" w:styleId="1214">
    <w:name w:val="Нет списка1214"/>
    <w:next w:val="NoList"/>
    <w:uiPriority w:val="99"/>
    <w:semiHidden/>
    <w:unhideWhenUsed/>
    <w:rsid w:val="009032E3"/>
  </w:style>
  <w:style w:type="numbering" w:customStyle="1" w:styleId="NoList1314">
    <w:name w:val="No List1314"/>
    <w:next w:val="NoList"/>
    <w:semiHidden/>
    <w:unhideWhenUsed/>
    <w:rsid w:val="009032E3"/>
  </w:style>
  <w:style w:type="numbering" w:customStyle="1" w:styleId="NoList2115">
    <w:name w:val="No List2115"/>
    <w:next w:val="NoList"/>
    <w:semiHidden/>
    <w:unhideWhenUsed/>
    <w:rsid w:val="009032E3"/>
  </w:style>
  <w:style w:type="numbering" w:customStyle="1" w:styleId="NoList3115">
    <w:name w:val="No List3115"/>
    <w:next w:val="NoList"/>
    <w:semiHidden/>
    <w:unhideWhenUsed/>
    <w:rsid w:val="009032E3"/>
  </w:style>
  <w:style w:type="numbering" w:customStyle="1" w:styleId="11123">
    <w:name w:val="Нет списка11123"/>
    <w:next w:val="NoList"/>
    <w:semiHidden/>
    <w:unhideWhenUsed/>
    <w:rsid w:val="009032E3"/>
  </w:style>
  <w:style w:type="numbering" w:customStyle="1" w:styleId="NoList4114">
    <w:name w:val="No List4114"/>
    <w:next w:val="NoList"/>
    <w:semiHidden/>
    <w:rsid w:val="009032E3"/>
  </w:style>
  <w:style w:type="numbering" w:customStyle="1" w:styleId="NoList111114">
    <w:name w:val="No List111114"/>
    <w:next w:val="NoList"/>
    <w:semiHidden/>
    <w:unhideWhenUsed/>
    <w:rsid w:val="009032E3"/>
  </w:style>
  <w:style w:type="numbering" w:customStyle="1" w:styleId="111113">
    <w:name w:val="Нет списка111113"/>
    <w:next w:val="NoList"/>
    <w:semiHidden/>
    <w:unhideWhenUsed/>
    <w:rsid w:val="009032E3"/>
  </w:style>
  <w:style w:type="table" w:customStyle="1" w:styleId="TableGrid65">
    <w:name w:val="Table Grid65"/>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3">
    <w:name w:val="Grid Table 1 Light - Accent 5113"/>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5">
    <w:name w:val="Table Grid22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 Grid8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3">
    <w:name w:val="Grid Table 1 Light - Accent 113"/>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10">
    <w:name w:val="Table List 710"/>
    <w:basedOn w:val="TableNormal"/>
    <w:next w:val="TableList7"/>
    <w:uiPriority w:val="99"/>
    <w:semiHidden/>
    <w:unhideWhenUsed/>
    <w:rsid w:val="009032E3"/>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0">
    <w:name w:val="Table Web 310"/>
    <w:basedOn w:val="TableNormal"/>
    <w:next w:val="TableWeb3"/>
    <w:uiPriority w:val="99"/>
    <w:semiHidden/>
    <w:unhideWhenUsed/>
    <w:rsid w:val="009032E3"/>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0">
    <w:name w:val="Table Elegant10"/>
    <w:basedOn w:val="TableNormal"/>
    <w:next w:val="TableElegant"/>
    <w:uiPriority w:val="99"/>
    <w:semiHidden/>
    <w:unhideWhenUsed/>
    <w:rsid w:val="009032E3"/>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uiPriority w:val="99"/>
    <w:semiHidden/>
    <w:unhideWhenUsed/>
    <w:rsid w:val="009032E3"/>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0">
    <w:name w:val="Table Web 110"/>
    <w:basedOn w:val="TableNormal"/>
    <w:next w:val="TableWeb1"/>
    <w:uiPriority w:val="99"/>
    <w:semiHidden/>
    <w:unhideWhenUsed/>
    <w:rsid w:val="009032E3"/>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0">
    <w:name w:val="Table Grid 810"/>
    <w:basedOn w:val="TableNormal"/>
    <w:next w:val="TableGrid8"/>
    <w:uiPriority w:val="99"/>
    <w:semiHidden/>
    <w:unhideWhenUsed/>
    <w:rsid w:val="009032E3"/>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0">
    <w:name w:val="Table Contemporary10"/>
    <w:basedOn w:val="TableNormal"/>
    <w:next w:val="TableContemporary"/>
    <w:uiPriority w:val="99"/>
    <w:semiHidden/>
    <w:unhideWhenUsed/>
    <w:rsid w:val="009032E3"/>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0">
    <w:name w:val="Light List - Accent 130"/>
    <w:basedOn w:val="TableNormal"/>
    <w:next w:val="LightList-Accent1"/>
    <w:uiPriority w:val="61"/>
    <w:semiHidden/>
    <w:unhideWhenUsed/>
    <w:rsid w:val="009032E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100">
    <w:name w:val="Table Grid 710"/>
    <w:basedOn w:val="TableNormal"/>
    <w:next w:val="TableGrid7"/>
    <w:uiPriority w:val="99"/>
    <w:semiHidden/>
    <w:unhideWhenUsed/>
    <w:rsid w:val="009032E3"/>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0">
    <w:name w:val="Colorful Grid - Accent 120"/>
    <w:basedOn w:val="TableNormal"/>
    <w:next w:val="ColorfulGrid-Accent1"/>
    <w:uiPriority w:val="73"/>
    <w:semiHidden/>
    <w:unhideWhenUsed/>
    <w:rsid w:val="009032E3"/>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20">
    <w:name w:val="Light List - Accent 520"/>
    <w:basedOn w:val="TableNormal"/>
    <w:next w:val="LightList-Accent5"/>
    <w:uiPriority w:val="61"/>
    <w:semiHidden/>
    <w:unhideWhenUsed/>
    <w:rsid w:val="009032E3"/>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10">
    <w:name w:val="Table Simple 310"/>
    <w:basedOn w:val="TableNormal"/>
    <w:next w:val="TableSimple3"/>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00">
    <w:name w:val="Table Grid 510"/>
    <w:basedOn w:val="TableNormal"/>
    <w:next w:val="TableGrid5"/>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00">
    <w:name w:val="Table Grid 310"/>
    <w:basedOn w:val="TableNormal"/>
    <w:next w:val="TableGrid3"/>
    <w:uiPriority w:val="99"/>
    <w:semiHidden/>
    <w:unhideWhenUsed/>
    <w:rsid w:val="009032E3"/>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 110"/>
    <w:basedOn w:val="TableNormal"/>
    <w:next w:val="TableGrid10"/>
    <w:uiPriority w:val="99"/>
    <w:semiHidden/>
    <w:unhideWhenUsed/>
    <w:rsid w:val="009032E3"/>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0">
    <w:name w:val="Table Columns 510"/>
    <w:basedOn w:val="TableNormal"/>
    <w:next w:val="TableColumns5"/>
    <w:uiPriority w:val="99"/>
    <w:semiHidden/>
    <w:unhideWhenUsed/>
    <w:rsid w:val="009032E3"/>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0">
    <w:name w:val="Table 3D effects 310"/>
    <w:basedOn w:val="TableNormal"/>
    <w:next w:val="Table3Deffects3"/>
    <w:uiPriority w:val="99"/>
    <w:semiHidden/>
    <w:unhideWhenUsed/>
    <w:rsid w:val="009032E3"/>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4">
    <w:name w:val="No List154"/>
    <w:next w:val="NoList"/>
    <w:uiPriority w:val="99"/>
    <w:semiHidden/>
    <w:unhideWhenUsed/>
    <w:rsid w:val="009032E3"/>
  </w:style>
  <w:style w:type="table" w:customStyle="1" w:styleId="TableGrid124">
    <w:name w:val="Table Grid124"/>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4">
    <w:name w:val="Table List 724"/>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4">
    <w:name w:val="Table Web 324"/>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4">
    <w:name w:val="Table Elegant24"/>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4">
    <w:name w:val="Table Web 234"/>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4">
    <w:name w:val="Table Web 134"/>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4">
    <w:name w:val="Table Grid 834"/>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4">
    <w:name w:val="Table Contemporary34"/>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4">
    <w:name w:val="No List164"/>
    <w:next w:val="NoList"/>
    <w:semiHidden/>
    <w:unhideWhenUsed/>
    <w:rsid w:val="009032E3"/>
  </w:style>
  <w:style w:type="numbering" w:customStyle="1" w:styleId="NoList234">
    <w:name w:val="No List234"/>
    <w:next w:val="NoList"/>
    <w:semiHidden/>
    <w:unhideWhenUsed/>
    <w:rsid w:val="009032E3"/>
  </w:style>
  <w:style w:type="numbering" w:customStyle="1" w:styleId="NoList334">
    <w:name w:val="No List334"/>
    <w:next w:val="NoList"/>
    <w:semiHidden/>
    <w:unhideWhenUsed/>
    <w:rsid w:val="009032E3"/>
  </w:style>
  <w:style w:type="table" w:customStyle="1" w:styleId="LightList-Accent134">
    <w:name w:val="Light List - Accent 134"/>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4">
    <w:name w:val="Table Grid 724"/>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4">
    <w:name w:val="Colorful Grid - Accent 144"/>
    <w:basedOn w:val="TableNormal"/>
    <w:next w:val="ColorfulGrid-Accent1"/>
    <w:uiPriority w:val="73"/>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4">
    <w:name w:val="Light List - Accent 544"/>
    <w:basedOn w:val="TableNormal"/>
    <w:next w:val="LightList-Accent5"/>
    <w:uiPriority w:val="61"/>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4">
    <w:name w:val="Table Simple 324"/>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4">
    <w:name w:val="Table Grid 524"/>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4">
    <w:name w:val="Table Grid 324"/>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40">
    <w:name w:val="Table Grid 124"/>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4">
    <w:name w:val="Table Columns 524"/>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4">
    <w:name w:val="Light List - Accent 1124"/>
    <w:basedOn w:val="TableNormal"/>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4">
    <w:name w:val="Нет списка144"/>
    <w:next w:val="NoList"/>
    <w:semiHidden/>
    <w:unhideWhenUsed/>
    <w:rsid w:val="009032E3"/>
  </w:style>
  <w:style w:type="table" w:customStyle="1" w:styleId="ColorfulGrid-Accent1124">
    <w:name w:val="Colorful Grid - Accent 1124"/>
    <w:basedOn w:val="TableNormal"/>
    <w:rsid w:val="009032E3"/>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4">
    <w:name w:val="Light List - Accent 5124"/>
    <w:basedOn w:val="TableNormal"/>
    <w:rsid w:val="009032E3"/>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4">
    <w:name w:val="No List434"/>
    <w:next w:val="NoList"/>
    <w:semiHidden/>
    <w:rsid w:val="009032E3"/>
  </w:style>
  <w:style w:type="numbering" w:customStyle="1" w:styleId="NoList1134">
    <w:name w:val="No List1134"/>
    <w:next w:val="NoList"/>
    <w:semiHidden/>
    <w:unhideWhenUsed/>
    <w:rsid w:val="009032E3"/>
  </w:style>
  <w:style w:type="table" w:customStyle="1" w:styleId="Table3Deffects324">
    <w:name w:val="Table 3D effects 324"/>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NoList"/>
    <w:semiHidden/>
    <w:unhideWhenUsed/>
    <w:rsid w:val="009032E3"/>
  </w:style>
  <w:style w:type="table" w:customStyle="1" w:styleId="TableGrid134">
    <w:name w:val="Table Grid134"/>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
    <w:name w:val="No List524"/>
    <w:next w:val="NoList"/>
    <w:uiPriority w:val="99"/>
    <w:semiHidden/>
    <w:rsid w:val="009032E3"/>
  </w:style>
  <w:style w:type="numbering" w:customStyle="1" w:styleId="NoList622">
    <w:name w:val="No List622"/>
    <w:next w:val="NoList"/>
    <w:uiPriority w:val="99"/>
    <w:semiHidden/>
    <w:unhideWhenUsed/>
    <w:rsid w:val="009032E3"/>
  </w:style>
  <w:style w:type="table" w:customStyle="1" w:styleId="TableGrid233">
    <w:name w:val="Table Grid233"/>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2">
    <w:name w:val="No List722"/>
    <w:next w:val="NoList"/>
    <w:uiPriority w:val="99"/>
    <w:semiHidden/>
    <w:unhideWhenUsed/>
    <w:rsid w:val="009032E3"/>
  </w:style>
  <w:style w:type="numbering" w:customStyle="1" w:styleId="NoList1224">
    <w:name w:val="No List1224"/>
    <w:next w:val="NoList"/>
    <w:uiPriority w:val="99"/>
    <w:semiHidden/>
    <w:unhideWhenUsed/>
    <w:rsid w:val="009032E3"/>
  </w:style>
  <w:style w:type="table" w:customStyle="1" w:styleId="TableGrid3220">
    <w:name w:val="Table Grid322"/>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2">
    <w:name w:val="Table Web 2122"/>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2">
    <w:name w:val="Table Grid 8122"/>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2">
    <w:name w:val="Table Contemporary122"/>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2">
    <w:name w:val="Colorful Grid - Accent 1222"/>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2">
    <w:name w:val="Light List - Accent 5222"/>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2">
    <w:name w:val="No List822"/>
    <w:next w:val="NoList"/>
    <w:uiPriority w:val="99"/>
    <w:semiHidden/>
    <w:unhideWhenUsed/>
    <w:rsid w:val="009032E3"/>
  </w:style>
  <w:style w:type="numbering" w:customStyle="1" w:styleId="1222">
    <w:name w:val="Нет списка1222"/>
    <w:next w:val="NoList"/>
    <w:uiPriority w:val="99"/>
    <w:semiHidden/>
    <w:unhideWhenUsed/>
    <w:rsid w:val="009032E3"/>
  </w:style>
  <w:style w:type="numbering" w:customStyle="1" w:styleId="NoList1322">
    <w:name w:val="No List1322"/>
    <w:next w:val="NoList"/>
    <w:semiHidden/>
    <w:unhideWhenUsed/>
    <w:rsid w:val="009032E3"/>
  </w:style>
  <w:style w:type="numbering" w:customStyle="1" w:styleId="NoList2124">
    <w:name w:val="No List2124"/>
    <w:next w:val="NoList"/>
    <w:semiHidden/>
    <w:unhideWhenUsed/>
    <w:rsid w:val="009032E3"/>
  </w:style>
  <w:style w:type="numbering" w:customStyle="1" w:styleId="NoList3124">
    <w:name w:val="No List3124"/>
    <w:next w:val="NoList"/>
    <w:semiHidden/>
    <w:unhideWhenUsed/>
    <w:rsid w:val="009032E3"/>
  </w:style>
  <w:style w:type="numbering" w:customStyle="1" w:styleId="11132">
    <w:name w:val="Нет списка11132"/>
    <w:next w:val="NoList"/>
    <w:semiHidden/>
    <w:unhideWhenUsed/>
    <w:rsid w:val="009032E3"/>
  </w:style>
  <w:style w:type="numbering" w:customStyle="1" w:styleId="NoList4122">
    <w:name w:val="No List4122"/>
    <w:next w:val="NoList"/>
    <w:semiHidden/>
    <w:rsid w:val="009032E3"/>
  </w:style>
  <w:style w:type="numbering" w:customStyle="1" w:styleId="NoList11124">
    <w:name w:val="No List11124"/>
    <w:next w:val="NoList"/>
    <w:semiHidden/>
    <w:unhideWhenUsed/>
    <w:rsid w:val="009032E3"/>
  </w:style>
  <w:style w:type="numbering" w:customStyle="1" w:styleId="111122">
    <w:name w:val="Нет списка111122"/>
    <w:next w:val="NoList"/>
    <w:semiHidden/>
    <w:unhideWhenUsed/>
    <w:rsid w:val="009032E3"/>
  </w:style>
  <w:style w:type="numbering" w:customStyle="1" w:styleId="NoList913">
    <w:name w:val="No List913"/>
    <w:next w:val="NoList"/>
    <w:uiPriority w:val="99"/>
    <w:semiHidden/>
    <w:unhideWhenUsed/>
    <w:rsid w:val="009032E3"/>
  </w:style>
  <w:style w:type="table" w:customStyle="1" w:styleId="TableGrid422">
    <w:name w:val="Table Grid422"/>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1">
    <w:name w:val="Grid Table 4 - Accent 1111"/>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3">
    <w:name w:val="No List1013"/>
    <w:next w:val="NoList"/>
    <w:uiPriority w:val="99"/>
    <w:semiHidden/>
    <w:unhideWhenUsed/>
    <w:rsid w:val="009032E3"/>
  </w:style>
  <w:style w:type="table" w:customStyle="1" w:styleId="TableGrid5130">
    <w:name w:val="Table Grid513"/>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2">
    <w:name w:val="Table List 7122"/>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2">
    <w:name w:val="Table Web 3122"/>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3">
    <w:name w:val="Table Web 2213"/>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3">
    <w:name w:val="Table Web 1213"/>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3">
    <w:name w:val="Table Grid 8213"/>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3">
    <w:name w:val="Table Contemporary213"/>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3">
    <w:name w:val="No List1413"/>
    <w:next w:val="NoList"/>
    <w:semiHidden/>
    <w:unhideWhenUsed/>
    <w:rsid w:val="009032E3"/>
  </w:style>
  <w:style w:type="numbering" w:customStyle="1" w:styleId="NoList2213">
    <w:name w:val="No List2213"/>
    <w:next w:val="NoList"/>
    <w:semiHidden/>
    <w:unhideWhenUsed/>
    <w:rsid w:val="009032E3"/>
  </w:style>
  <w:style w:type="numbering" w:customStyle="1" w:styleId="NoList3213">
    <w:name w:val="No List3213"/>
    <w:next w:val="NoList"/>
    <w:semiHidden/>
    <w:unhideWhenUsed/>
    <w:rsid w:val="009032E3"/>
  </w:style>
  <w:style w:type="table" w:customStyle="1" w:styleId="LightList-Accent1213">
    <w:name w:val="Light List - Accent 12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2">
    <w:name w:val="Table Grid 7122"/>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3">
    <w:name w:val="Colorful Grid - Accent 1313"/>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3">
    <w:name w:val="Light List - Accent 5313"/>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2">
    <w:name w:val="Table Simple 3122"/>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2">
    <w:name w:val="Table Grid 5122"/>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2">
    <w:name w:val="Table Grid 3122"/>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2">
    <w:name w:val="Table Grid 1122"/>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2">
    <w:name w:val="Table Columns 5122"/>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3">
    <w:name w:val="Light List - Accent 111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3">
    <w:name w:val="Нет списка1313"/>
    <w:next w:val="NoList"/>
    <w:semiHidden/>
    <w:unhideWhenUsed/>
    <w:rsid w:val="009032E3"/>
  </w:style>
  <w:style w:type="table" w:customStyle="1" w:styleId="ColorfulGrid-Accent11113">
    <w:name w:val="Colorful Grid - Accent 11113"/>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3">
    <w:name w:val="Light List - Accent 51113"/>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3">
    <w:name w:val="No List4213"/>
    <w:next w:val="NoList"/>
    <w:semiHidden/>
    <w:rsid w:val="009032E3"/>
  </w:style>
  <w:style w:type="numbering" w:customStyle="1" w:styleId="NoList11214">
    <w:name w:val="No List11214"/>
    <w:next w:val="NoList"/>
    <w:semiHidden/>
    <w:unhideWhenUsed/>
    <w:rsid w:val="009032E3"/>
  </w:style>
  <w:style w:type="table" w:customStyle="1" w:styleId="Table3Deffects3122">
    <w:name w:val="Table 3D effects 3122"/>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3">
    <w:name w:val="Нет списка11213"/>
    <w:next w:val="NoList"/>
    <w:semiHidden/>
    <w:unhideWhenUsed/>
    <w:rsid w:val="009032E3"/>
  </w:style>
  <w:style w:type="table" w:customStyle="1" w:styleId="TableGrid11220">
    <w:name w:val="Table Grid1122"/>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3">
    <w:name w:val="No List5113"/>
    <w:next w:val="NoList"/>
    <w:uiPriority w:val="99"/>
    <w:semiHidden/>
    <w:rsid w:val="009032E3"/>
  </w:style>
  <w:style w:type="numbering" w:customStyle="1" w:styleId="NoList6112">
    <w:name w:val="No List6112"/>
    <w:next w:val="NoList"/>
    <w:uiPriority w:val="99"/>
    <w:semiHidden/>
    <w:unhideWhenUsed/>
    <w:rsid w:val="009032E3"/>
  </w:style>
  <w:style w:type="table" w:customStyle="1" w:styleId="TableGrid2113">
    <w:name w:val="Table Grid2113"/>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2">
    <w:name w:val="No List7112"/>
    <w:next w:val="NoList"/>
    <w:uiPriority w:val="99"/>
    <w:semiHidden/>
    <w:unhideWhenUsed/>
    <w:rsid w:val="009032E3"/>
  </w:style>
  <w:style w:type="numbering" w:customStyle="1" w:styleId="NoList12113">
    <w:name w:val="No List12113"/>
    <w:next w:val="NoList"/>
    <w:uiPriority w:val="99"/>
    <w:semiHidden/>
    <w:unhideWhenUsed/>
    <w:rsid w:val="009032E3"/>
  </w:style>
  <w:style w:type="table" w:customStyle="1" w:styleId="TableGrid31120">
    <w:name w:val="Table Grid3112"/>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2">
    <w:name w:val="Table Web 21112"/>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2">
    <w:name w:val="Table Web 11112"/>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2">
    <w:name w:val="Table Grid 81112"/>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2">
    <w:name w:val="Table Contemporary1112"/>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2">
    <w:name w:val="Colorful Grid - Accent 12112"/>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2">
    <w:name w:val="Light List - Accent 52112"/>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2">
    <w:name w:val="No List8112"/>
    <w:next w:val="NoList"/>
    <w:uiPriority w:val="99"/>
    <w:semiHidden/>
    <w:unhideWhenUsed/>
    <w:rsid w:val="009032E3"/>
  </w:style>
  <w:style w:type="numbering" w:customStyle="1" w:styleId="12112">
    <w:name w:val="Нет списка12112"/>
    <w:next w:val="NoList"/>
    <w:uiPriority w:val="99"/>
    <w:semiHidden/>
    <w:unhideWhenUsed/>
    <w:rsid w:val="009032E3"/>
  </w:style>
  <w:style w:type="numbering" w:customStyle="1" w:styleId="NoList13112">
    <w:name w:val="No List13112"/>
    <w:next w:val="NoList"/>
    <w:semiHidden/>
    <w:unhideWhenUsed/>
    <w:rsid w:val="009032E3"/>
  </w:style>
  <w:style w:type="numbering" w:customStyle="1" w:styleId="NoList21113">
    <w:name w:val="No List21113"/>
    <w:next w:val="NoList"/>
    <w:semiHidden/>
    <w:unhideWhenUsed/>
    <w:rsid w:val="009032E3"/>
  </w:style>
  <w:style w:type="numbering" w:customStyle="1" w:styleId="NoList31113">
    <w:name w:val="No List31113"/>
    <w:next w:val="NoList"/>
    <w:semiHidden/>
    <w:unhideWhenUsed/>
    <w:rsid w:val="009032E3"/>
  </w:style>
  <w:style w:type="numbering" w:customStyle="1" w:styleId="111212">
    <w:name w:val="Нет списка111212"/>
    <w:next w:val="NoList"/>
    <w:semiHidden/>
    <w:unhideWhenUsed/>
    <w:rsid w:val="009032E3"/>
  </w:style>
  <w:style w:type="numbering" w:customStyle="1" w:styleId="NoList41112">
    <w:name w:val="No List41112"/>
    <w:next w:val="NoList"/>
    <w:semiHidden/>
    <w:rsid w:val="009032E3"/>
  </w:style>
  <w:style w:type="numbering" w:customStyle="1" w:styleId="NoList111124">
    <w:name w:val="No List111124"/>
    <w:next w:val="NoList"/>
    <w:semiHidden/>
    <w:unhideWhenUsed/>
    <w:rsid w:val="009032E3"/>
  </w:style>
  <w:style w:type="numbering" w:customStyle="1" w:styleId="1111112">
    <w:name w:val="Нет списка1111112"/>
    <w:next w:val="NoList"/>
    <w:semiHidden/>
    <w:unhideWhenUsed/>
    <w:rsid w:val="009032E3"/>
  </w:style>
  <w:style w:type="table" w:customStyle="1" w:styleId="TableGrid613">
    <w:name w:val="Table Grid613"/>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2">
    <w:name w:val="Grid Table 1 Light - Accent 51112"/>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3">
    <w:name w:val="Table Grid143"/>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73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E27F1D"/>
  </w:style>
  <w:style w:type="numbering" w:customStyle="1" w:styleId="NoList2221">
    <w:name w:val="No List2221"/>
    <w:next w:val="NoList"/>
    <w:semiHidden/>
    <w:rsid w:val="009F0A25"/>
  </w:style>
  <w:style w:type="numbering" w:customStyle="1" w:styleId="NoList3221">
    <w:name w:val="No List3221"/>
    <w:next w:val="NoList"/>
    <w:semiHidden/>
    <w:unhideWhenUsed/>
    <w:rsid w:val="009F0A25"/>
  </w:style>
  <w:style w:type="numbering" w:customStyle="1" w:styleId="NoList5121">
    <w:name w:val="No List5121"/>
    <w:next w:val="NoList"/>
    <w:uiPriority w:val="99"/>
    <w:semiHidden/>
    <w:unhideWhenUsed/>
    <w:rsid w:val="009F0A25"/>
  </w:style>
  <w:style w:type="numbering" w:customStyle="1" w:styleId="NoList12121">
    <w:name w:val="No List12121"/>
    <w:next w:val="NoList"/>
    <w:semiHidden/>
    <w:rsid w:val="009F0A25"/>
  </w:style>
  <w:style w:type="numbering" w:customStyle="1" w:styleId="NoList21121">
    <w:name w:val="No List21121"/>
    <w:next w:val="NoList"/>
    <w:semiHidden/>
    <w:rsid w:val="009F0A25"/>
  </w:style>
  <w:style w:type="numbering" w:customStyle="1" w:styleId="NoList31121">
    <w:name w:val="No List31121"/>
    <w:next w:val="NoList"/>
    <w:uiPriority w:val="99"/>
    <w:semiHidden/>
    <w:unhideWhenUsed/>
    <w:rsid w:val="009F0A25"/>
  </w:style>
  <w:style w:type="numbering" w:customStyle="1" w:styleId="NoList921">
    <w:name w:val="No List921"/>
    <w:next w:val="NoList"/>
    <w:uiPriority w:val="99"/>
    <w:semiHidden/>
    <w:unhideWhenUsed/>
    <w:rsid w:val="009F0A25"/>
  </w:style>
  <w:style w:type="numbering" w:customStyle="1" w:styleId="NoList1421">
    <w:name w:val="No List1421"/>
    <w:next w:val="NoList"/>
    <w:semiHidden/>
    <w:unhideWhenUsed/>
    <w:rsid w:val="009F0A25"/>
  </w:style>
  <w:style w:type="numbering" w:customStyle="1" w:styleId="1321">
    <w:name w:val="Нет списка1321"/>
    <w:next w:val="NoList"/>
    <w:semiHidden/>
    <w:unhideWhenUsed/>
    <w:rsid w:val="009F0A25"/>
  </w:style>
  <w:style w:type="numbering" w:customStyle="1" w:styleId="NoList4221">
    <w:name w:val="No List4221"/>
    <w:next w:val="NoList"/>
    <w:semiHidden/>
    <w:rsid w:val="009F0A25"/>
  </w:style>
  <w:style w:type="numbering" w:customStyle="1" w:styleId="11221">
    <w:name w:val="Нет списка11221"/>
    <w:next w:val="NoList"/>
    <w:semiHidden/>
    <w:unhideWhenUsed/>
    <w:rsid w:val="009F0A25"/>
  </w:style>
  <w:style w:type="numbering" w:customStyle="1" w:styleId="NoList1021">
    <w:name w:val="No List1021"/>
    <w:next w:val="NoList"/>
    <w:uiPriority w:val="99"/>
    <w:semiHidden/>
    <w:unhideWhenUsed/>
    <w:rsid w:val="009F0A25"/>
  </w:style>
  <w:style w:type="numbering" w:customStyle="1" w:styleId="NoList1811">
    <w:name w:val="No List1811"/>
    <w:next w:val="NoList"/>
    <w:uiPriority w:val="99"/>
    <w:semiHidden/>
    <w:unhideWhenUsed/>
    <w:rsid w:val="009F0A25"/>
  </w:style>
  <w:style w:type="numbering" w:customStyle="1" w:styleId="1511">
    <w:name w:val="Нет списка1511"/>
    <w:next w:val="NoList"/>
    <w:semiHidden/>
    <w:unhideWhenUsed/>
    <w:rsid w:val="009F0A25"/>
  </w:style>
  <w:style w:type="numbering" w:customStyle="1" w:styleId="NoList4411">
    <w:name w:val="No List4411"/>
    <w:next w:val="NoList"/>
    <w:semiHidden/>
    <w:rsid w:val="009F0A25"/>
  </w:style>
  <w:style w:type="numbering" w:customStyle="1" w:styleId="11411">
    <w:name w:val="Нет списка11411"/>
    <w:next w:val="NoList"/>
    <w:semiHidden/>
    <w:unhideWhenUsed/>
    <w:rsid w:val="009F0A25"/>
  </w:style>
  <w:style w:type="numbering" w:customStyle="1" w:styleId="NoList1111311">
    <w:name w:val="No List1111311"/>
    <w:next w:val="NoList"/>
    <w:semiHidden/>
    <w:rsid w:val="009F0A25"/>
  </w:style>
  <w:style w:type="numbering" w:customStyle="1" w:styleId="NoList5311">
    <w:name w:val="No List5311"/>
    <w:next w:val="NoList"/>
    <w:uiPriority w:val="99"/>
    <w:semiHidden/>
    <w:unhideWhenUsed/>
    <w:rsid w:val="009F0A25"/>
  </w:style>
  <w:style w:type="numbering" w:customStyle="1" w:styleId="NoList12311">
    <w:name w:val="No List12311"/>
    <w:next w:val="NoList"/>
    <w:semiHidden/>
    <w:rsid w:val="009F0A25"/>
  </w:style>
  <w:style w:type="numbering" w:customStyle="1" w:styleId="NoList21311">
    <w:name w:val="No List21311"/>
    <w:next w:val="NoList"/>
    <w:semiHidden/>
    <w:rsid w:val="009F0A25"/>
  </w:style>
  <w:style w:type="numbering" w:customStyle="1" w:styleId="NoList31311">
    <w:name w:val="No List31311"/>
    <w:next w:val="NoList"/>
    <w:uiPriority w:val="99"/>
    <w:semiHidden/>
    <w:unhideWhenUsed/>
    <w:rsid w:val="009F0A25"/>
  </w:style>
  <w:style w:type="numbering" w:customStyle="1" w:styleId="NoList113111">
    <w:name w:val="No List113111"/>
    <w:next w:val="NoList"/>
    <w:semiHidden/>
    <w:rsid w:val="009F0A25"/>
  </w:style>
  <w:style w:type="numbering" w:customStyle="1" w:styleId="NoList1112111">
    <w:name w:val="No List1112111"/>
    <w:next w:val="NoList"/>
    <w:semiHidden/>
    <w:rsid w:val="009F0A25"/>
  </w:style>
  <w:style w:type="numbering" w:customStyle="1" w:styleId="NoList22111">
    <w:name w:val="No List22111"/>
    <w:next w:val="NoList"/>
    <w:semiHidden/>
    <w:rsid w:val="009F0A25"/>
  </w:style>
  <w:style w:type="numbering" w:customStyle="1" w:styleId="NoList32111">
    <w:name w:val="No List32111"/>
    <w:next w:val="NoList"/>
    <w:semiHidden/>
    <w:unhideWhenUsed/>
    <w:rsid w:val="009F0A25"/>
  </w:style>
  <w:style w:type="numbering" w:customStyle="1" w:styleId="NoList51111">
    <w:name w:val="No List51111"/>
    <w:next w:val="NoList"/>
    <w:uiPriority w:val="99"/>
    <w:semiHidden/>
    <w:unhideWhenUsed/>
    <w:rsid w:val="009F0A25"/>
  </w:style>
  <w:style w:type="numbering" w:customStyle="1" w:styleId="NoList121111">
    <w:name w:val="No List121111"/>
    <w:next w:val="NoList"/>
    <w:semiHidden/>
    <w:rsid w:val="009F0A25"/>
  </w:style>
  <w:style w:type="numbering" w:customStyle="1" w:styleId="NoList1121111">
    <w:name w:val="No List1121111"/>
    <w:next w:val="NoList"/>
    <w:semiHidden/>
    <w:rsid w:val="009F0A25"/>
  </w:style>
  <w:style w:type="numbering" w:customStyle="1" w:styleId="NoList1111111111">
    <w:name w:val="No List1111111111"/>
    <w:next w:val="NoList"/>
    <w:semiHidden/>
    <w:rsid w:val="009F0A25"/>
  </w:style>
  <w:style w:type="numbering" w:customStyle="1" w:styleId="NoList211111">
    <w:name w:val="No List211111"/>
    <w:next w:val="NoList"/>
    <w:semiHidden/>
    <w:rsid w:val="009F0A25"/>
  </w:style>
  <w:style w:type="numbering" w:customStyle="1" w:styleId="NoList311111">
    <w:name w:val="No List311111"/>
    <w:next w:val="NoList"/>
    <w:uiPriority w:val="99"/>
    <w:semiHidden/>
    <w:unhideWhenUsed/>
    <w:rsid w:val="009F0A25"/>
  </w:style>
  <w:style w:type="numbering" w:customStyle="1" w:styleId="NoList9111">
    <w:name w:val="No List9111"/>
    <w:next w:val="NoList"/>
    <w:uiPriority w:val="99"/>
    <w:semiHidden/>
    <w:unhideWhenUsed/>
    <w:rsid w:val="009F0A25"/>
  </w:style>
  <w:style w:type="numbering" w:customStyle="1" w:styleId="NoList14111">
    <w:name w:val="No List14111"/>
    <w:next w:val="NoList"/>
    <w:semiHidden/>
    <w:unhideWhenUsed/>
    <w:rsid w:val="009F0A25"/>
  </w:style>
  <w:style w:type="numbering" w:customStyle="1" w:styleId="NoList23111">
    <w:name w:val="No List23111"/>
    <w:next w:val="NoList"/>
    <w:semiHidden/>
    <w:unhideWhenUsed/>
    <w:rsid w:val="009F0A25"/>
  </w:style>
  <w:style w:type="numbering" w:customStyle="1" w:styleId="NoList33111">
    <w:name w:val="No List33111"/>
    <w:next w:val="NoList"/>
    <w:semiHidden/>
    <w:unhideWhenUsed/>
    <w:rsid w:val="009F0A25"/>
  </w:style>
  <w:style w:type="numbering" w:customStyle="1" w:styleId="13111">
    <w:name w:val="Нет списка13111"/>
    <w:next w:val="NoList"/>
    <w:semiHidden/>
    <w:unhideWhenUsed/>
    <w:rsid w:val="009F0A25"/>
  </w:style>
  <w:style w:type="numbering" w:customStyle="1" w:styleId="NoList42111">
    <w:name w:val="No List42111"/>
    <w:next w:val="NoList"/>
    <w:semiHidden/>
    <w:rsid w:val="009F0A25"/>
  </w:style>
  <w:style w:type="numbering" w:customStyle="1" w:styleId="NoList114111">
    <w:name w:val="No List114111"/>
    <w:next w:val="NoList"/>
    <w:semiHidden/>
    <w:unhideWhenUsed/>
    <w:rsid w:val="009F0A25"/>
  </w:style>
  <w:style w:type="numbering" w:customStyle="1" w:styleId="112111">
    <w:name w:val="Нет списка112111"/>
    <w:next w:val="NoList"/>
    <w:semiHidden/>
    <w:unhideWhenUsed/>
    <w:rsid w:val="009F0A25"/>
  </w:style>
  <w:style w:type="numbering" w:customStyle="1" w:styleId="NoList10111">
    <w:name w:val="No List10111"/>
    <w:next w:val="NoList"/>
    <w:uiPriority w:val="99"/>
    <w:semiHidden/>
    <w:unhideWhenUsed/>
    <w:rsid w:val="009F0A25"/>
  </w:style>
  <w:style w:type="numbering" w:customStyle="1" w:styleId="NoList15111">
    <w:name w:val="No List15111"/>
    <w:next w:val="NoList"/>
    <w:semiHidden/>
    <w:unhideWhenUsed/>
    <w:rsid w:val="009F0A25"/>
  </w:style>
  <w:style w:type="numbering" w:customStyle="1" w:styleId="NoList1113111">
    <w:name w:val="No List1113111"/>
    <w:next w:val="NoList"/>
    <w:semiHidden/>
    <w:rsid w:val="009F0A25"/>
  </w:style>
  <w:style w:type="numbering" w:customStyle="1" w:styleId="NoList24111">
    <w:name w:val="No List24111"/>
    <w:next w:val="NoList"/>
    <w:semiHidden/>
    <w:rsid w:val="009F0A25"/>
  </w:style>
  <w:style w:type="numbering" w:customStyle="1" w:styleId="NoList34111">
    <w:name w:val="No List34111"/>
    <w:next w:val="NoList"/>
    <w:semiHidden/>
    <w:unhideWhenUsed/>
    <w:rsid w:val="009F0A25"/>
  </w:style>
  <w:style w:type="numbering" w:customStyle="1" w:styleId="14111">
    <w:name w:val="Нет списка14111"/>
    <w:next w:val="NoList"/>
    <w:semiHidden/>
    <w:unhideWhenUsed/>
    <w:rsid w:val="009F0A25"/>
  </w:style>
  <w:style w:type="numbering" w:customStyle="1" w:styleId="NoList43111">
    <w:name w:val="No List43111"/>
    <w:next w:val="NoList"/>
    <w:semiHidden/>
    <w:rsid w:val="009F0A25"/>
  </w:style>
  <w:style w:type="numbering" w:customStyle="1" w:styleId="113111">
    <w:name w:val="Нет списка113111"/>
    <w:next w:val="NoList"/>
    <w:semiHidden/>
    <w:unhideWhenUsed/>
    <w:rsid w:val="009F0A25"/>
  </w:style>
  <w:style w:type="numbering" w:customStyle="1" w:styleId="NoList52111">
    <w:name w:val="No List52111"/>
    <w:next w:val="NoList"/>
    <w:uiPriority w:val="99"/>
    <w:semiHidden/>
    <w:unhideWhenUsed/>
    <w:rsid w:val="009F0A25"/>
  </w:style>
  <w:style w:type="numbering" w:customStyle="1" w:styleId="NoList122111">
    <w:name w:val="No List122111"/>
    <w:next w:val="NoList"/>
    <w:semiHidden/>
    <w:rsid w:val="009F0A25"/>
  </w:style>
  <w:style w:type="numbering" w:customStyle="1" w:styleId="NoList1122111">
    <w:name w:val="No List1122111"/>
    <w:next w:val="NoList"/>
    <w:semiHidden/>
    <w:rsid w:val="009F0A25"/>
  </w:style>
  <w:style w:type="numbering" w:customStyle="1" w:styleId="NoList11112111">
    <w:name w:val="No List11112111"/>
    <w:next w:val="NoList"/>
    <w:semiHidden/>
    <w:rsid w:val="009F0A25"/>
  </w:style>
  <w:style w:type="numbering" w:customStyle="1" w:styleId="NoList212111">
    <w:name w:val="No List212111"/>
    <w:next w:val="NoList"/>
    <w:semiHidden/>
    <w:rsid w:val="009F0A25"/>
  </w:style>
  <w:style w:type="numbering" w:customStyle="1" w:styleId="NoList312111">
    <w:name w:val="No List312111"/>
    <w:next w:val="NoList"/>
    <w:uiPriority w:val="99"/>
    <w:semiHidden/>
    <w:unhideWhenUsed/>
    <w:rsid w:val="009F0A25"/>
  </w:style>
  <w:style w:type="numbering" w:customStyle="1" w:styleId="NoList16111">
    <w:name w:val="No List16111"/>
    <w:next w:val="NoList"/>
    <w:uiPriority w:val="99"/>
    <w:semiHidden/>
    <w:unhideWhenUsed/>
    <w:rsid w:val="009F0A25"/>
  </w:style>
  <w:style w:type="numbering" w:customStyle="1" w:styleId="NoList17111">
    <w:name w:val="No List17111"/>
    <w:next w:val="NoList"/>
    <w:uiPriority w:val="99"/>
    <w:semiHidden/>
    <w:unhideWhenUsed/>
    <w:rsid w:val="009F0A25"/>
  </w:style>
  <w:style w:type="table" w:customStyle="1" w:styleId="LightList-Accent12211">
    <w:name w:val="Light List - Accent 12211"/>
    <w:basedOn w:val="TableNormal"/>
    <w:next w:val="LightList-Accent1"/>
    <w:uiPriority w:val="61"/>
    <w:rsid w:val="009F0A25"/>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1">
    <w:name w:val="Medium List 2 - Accent 111"/>
    <w:basedOn w:val="TableNormal"/>
    <w:next w:val="MediumList2-Accent1"/>
    <w:uiPriority w:val="66"/>
    <w:rsid w:val="009F0A25"/>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3-Accent611">
    <w:name w:val="Medium Grid 3 - Accent 611"/>
    <w:basedOn w:val="TableNormal"/>
    <w:next w:val="MediumGrid3-Accent6"/>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511">
    <w:name w:val="Medium List 1 - Accent 511"/>
    <w:basedOn w:val="TableNormal"/>
    <w:next w:val="MediumList1-Accent5"/>
    <w:uiPriority w:val="65"/>
    <w:rsid w:val="009F0A25"/>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Accent311">
    <w:name w:val="Light List - Accent 311"/>
    <w:basedOn w:val="TableNormal"/>
    <w:next w:val="LightList-Accent3"/>
    <w:uiPriority w:val="61"/>
    <w:rsid w:val="009F0A2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
    <w:name w:val="Medium List 2 - Accent 311"/>
    <w:basedOn w:val="TableNormal"/>
    <w:next w:val="MediumList2-Accent3"/>
    <w:uiPriority w:val="66"/>
    <w:rsid w:val="009F0A25"/>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0A25"/>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eList7131">
    <w:name w:val="Table List 7131"/>
    <w:basedOn w:val="TableNormal"/>
    <w:next w:val="TableList7"/>
    <w:rsid w:val="009F0A2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1">
    <w:name w:val="Table Web 3131"/>
    <w:basedOn w:val="TableNormal"/>
    <w:next w:val="TableWeb3"/>
    <w:rsid w:val="009F0A2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1">
    <w:name w:val="Table Elegant131"/>
    <w:basedOn w:val="TableNormal"/>
    <w:next w:val="TableElegant"/>
    <w:rsid w:val="009F0A2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1">
    <w:name w:val="Table Web 213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1">
    <w:name w:val="Table Web 113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1">
    <w:name w:val="Table Grid 813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1">
    <w:name w:val="Table Contemporary13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7131">
    <w:name w:val="Table Grid 7131"/>
    <w:basedOn w:val="TableNormal"/>
    <w:next w:val="TableGrid7"/>
    <w:rsid w:val="009F0A2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31">
    <w:name w:val="Table Simple 3131"/>
    <w:basedOn w:val="TableNormal"/>
    <w:next w:val="TableSimple3"/>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1">
    <w:name w:val="Table Grid 5131"/>
    <w:basedOn w:val="TableNormal"/>
    <w:next w:val="TableGrid5"/>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1">
    <w:name w:val="Table Grid 3131"/>
    <w:basedOn w:val="TableNormal"/>
    <w:next w:val="TableGrid3"/>
    <w:rsid w:val="009F0A2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1">
    <w:name w:val="Table Grid 1131"/>
    <w:basedOn w:val="TableNormal"/>
    <w:next w:val="TableGrid10"/>
    <w:rsid w:val="009F0A2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1">
    <w:name w:val="Table Columns 5131"/>
    <w:basedOn w:val="TableNormal"/>
    <w:next w:val="TableColumns5"/>
    <w:rsid w:val="009F0A2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4131">
    <w:name w:val="No List4131"/>
    <w:next w:val="NoList"/>
    <w:semiHidden/>
    <w:rsid w:val="009F0A25"/>
  </w:style>
  <w:style w:type="table" w:customStyle="1" w:styleId="Table3Deffects3131">
    <w:name w:val="Table 3D effects 3131"/>
    <w:basedOn w:val="TableNormal"/>
    <w:next w:val="Table3Deffects3"/>
    <w:rsid w:val="009F0A2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31">
    <w:name w:val="No List631"/>
    <w:next w:val="NoList"/>
    <w:uiPriority w:val="99"/>
    <w:semiHidden/>
    <w:unhideWhenUsed/>
    <w:rsid w:val="009F0A25"/>
  </w:style>
  <w:style w:type="numbering" w:customStyle="1" w:styleId="NoList731">
    <w:name w:val="No List731"/>
    <w:next w:val="NoList"/>
    <w:uiPriority w:val="99"/>
    <w:semiHidden/>
    <w:unhideWhenUsed/>
    <w:rsid w:val="009F0A25"/>
  </w:style>
  <w:style w:type="table" w:customStyle="1" w:styleId="TableGrid3310">
    <w:name w:val="Table Grid33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1">
    <w:name w:val="Colorful Grid - Accent 123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1">
    <w:name w:val="Light List - Accent 523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1">
    <w:name w:val="No List831"/>
    <w:next w:val="NoList"/>
    <w:uiPriority w:val="99"/>
    <w:semiHidden/>
    <w:unhideWhenUsed/>
    <w:rsid w:val="009F0A25"/>
  </w:style>
  <w:style w:type="numbering" w:customStyle="1" w:styleId="1231">
    <w:name w:val="Нет списка1231"/>
    <w:next w:val="NoList"/>
    <w:uiPriority w:val="99"/>
    <w:semiHidden/>
    <w:unhideWhenUsed/>
    <w:rsid w:val="009F0A25"/>
  </w:style>
  <w:style w:type="numbering" w:customStyle="1" w:styleId="NoList1331">
    <w:name w:val="No List1331"/>
    <w:next w:val="NoList"/>
    <w:semiHidden/>
    <w:unhideWhenUsed/>
    <w:rsid w:val="009F0A25"/>
  </w:style>
  <w:style w:type="table" w:customStyle="1" w:styleId="TableGrid431">
    <w:name w:val="Table Grid43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F0A25"/>
  </w:style>
  <w:style w:type="numbering" w:customStyle="1" w:styleId="NoList7121">
    <w:name w:val="No List7121"/>
    <w:next w:val="NoList"/>
    <w:uiPriority w:val="99"/>
    <w:semiHidden/>
    <w:unhideWhenUsed/>
    <w:rsid w:val="009F0A25"/>
  </w:style>
  <w:style w:type="table" w:customStyle="1" w:styleId="TableGrid31210">
    <w:name w:val="Table Grid312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1">
    <w:name w:val="Table Web 2112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1">
    <w:name w:val="Table Web 1112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1">
    <w:name w:val="Table Grid 8112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1">
    <w:name w:val="Table Contemporary112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1">
    <w:name w:val="Colorful Grid - Accent 1212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1">
    <w:name w:val="Light List - Accent 5212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1">
    <w:name w:val="No List8121"/>
    <w:next w:val="NoList"/>
    <w:uiPriority w:val="99"/>
    <w:semiHidden/>
    <w:unhideWhenUsed/>
    <w:rsid w:val="009F0A25"/>
  </w:style>
  <w:style w:type="numbering" w:customStyle="1" w:styleId="12121">
    <w:name w:val="Нет списка12121"/>
    <w:next w:val="NoList"/>
    <w:uiPriority w:val="99"/>
    <w:semiHidden/>
    <w:unhideWhenUsed/>
    <w:rsid w:val="009F0A25"/>
  </w:style>
  <w:style w:type="numbering" w:customStyle="1" w:styleId="NoList13121">
    <w:name w:val="No List13121"/>
    <w:next w:val="NoList"/>
    <w:semiHidden/>
    <w:unhideWhenUsed/>
    <w:rsid w:val="009F0A25"/>
  </w:style>
  <w:style w:type="numbering" w:customStyle="1" w:styleId="NoList41121">
    <w:name w:val="No List41121"/>
    <w:next w:val="NoList"/>
    <w:semiHidden/>
    <w:rsid w:val="009F0A25"/>
  </w:style>
  <w:style w:type="table" w:customStyle="1" w:styleId="TableGrid4121">
    <w:name w:val="Table Grid41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 Grid8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9F0A25"/>
  </w:style>
  <w:style w:type="numbering" w:customStyle="1" w:styleId="NoList7211">
    <w:name w:val="No List7211"/>
    <w:next w:val="NoList"/>
    <w:uiPriority w:val="99"/>
    <w:semiHidden/>
    <w:unhideWhenUsed/>
    <w:rsid w:val="009F0A25"/>
  </w:style>
  <w:style w:type="table" w:customStyle="1" w:styleId="TableGrid32110">
    <w:name w:val="Table Grid321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1">
    <w:name w:val="Table Web 2121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1">
    <w:name w:val="Table Web 1121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1">
    <w:name w:val="Table Grid 8121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1">
    <w:name w:val="Table Contemporary121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1">
    <w:name w:val="Colorful Grid - Accent 1221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1">
    <w:name w:val="Light List - Accent 5221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1">
    <w:name w:val="No List8211"/>
    <w:next w:val="NoList"/>
    <w:uiPriority w:val="99"/>
    <w:semiHidden/>
    <w:unhideWhenUsed/>
    <w:rsid w:val="009F0A25"/>
  </w:style>
  <w:style w:type="numbering" w:customStyle="1" w:styleId="12211">
    <w:name w:val="Нет списка12211"/>
    <w:next w:val="NoList"/>
    <w:uiPriority w:val="99"/>
    <w:semiHidden/>
    <w:unhideWhenUsed/>
    <w:rsid w:val="009F0A25"/>
  </w:style>
  <w:style w:type="numbering" w:customStyle="1" w:styleId="NoList13211">
    <w:name w:val="No List13211"/>
    <w:next w:val="NoList"/>
    <w:semiHidden/>
    <w:unhideWhenUsed/>
    <w:rsid w:val="009F0A25"/>
  </w:style>
  <w:style w:type="numbering" w:customStyle="1" w:styleId="111311">
    <w:name w:val="Нет списка111311"/>
    <w:next w:val="NoList"/>
    <w:semiHidden/>
    <w:unhideWhenUsed/>
    <w:rsid w:val="009F0A25"/>
  </w:style>
  <w:style w:type="numbering" w:customStyle="1" w:styleId="NoList41211">
    <w:name w:val="No List41211"/>
    <w:next w:val="NoList"/>
    <w:semiHidden/>
    <w:rsid w:val="009F0A25"/>
  </w:style>
  <w:style w:type="numbering" w:customStyle="1" w:styleId="1111211">
    <w:name w:val="Нет списка1111211"/>
    <w:next w:val="NoList"/>
    <w:semiHidden/>
    <w:unhideWhenUsed/>
    <w:rsid w:val="009F0A25"/>
  </w:style>
  <w:style w:type="table" w:customStyle="1" w:styleId="TableGrid4211">
    <w:name w:val="Table Grid421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1">
    <w:name w:val="Table List 71211"/>
    <w:basedOn w:val="TableNormal"/>
    <w:next w:val="TableList7"/>
    <w:rsid w:val="009F0A2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1">
    <w:name w:val="Table Web 31211"/>
    <w:basedOn w:val="TableNormal"/>
    <w:next w:val="TableWeb3"/>
    <w:rsid w:val="009F0A2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1">
    <w:name w:val="Table Elegant1211"/>
    <w:basedOn w:val="TableNormal"/>
    <w:next w:val="TableElegant"/>
    <w:rsid w:val="009F0A2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211">
    <w:name w:val="Table Grid 71211"/>
    <w:basedOn w:val="TableNormal"/>
    <w:next w:val="TableGrid7"/>
    <w:rsid w:val="009F0A2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211">
    <w:name w:val="Table Simple 31211"/>
    <w:basedOn w:val="TableNormal"/>
    <w:next w:val="TableSimple3"/>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1">
    <w:name w:val="Table Grid 51211"/>
    <w:basedOn w:val="TableNormal"/>
    <w:next w:val="TableGrid5"/>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1">
    <w:name w:val="Table Grid 31211"/>
    <w:basedOn w:val="TableNormal"/>
    <w:next w:val="TableGrid3"/>
    <w:rsid w:val="009F0A2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1">
    <w:name w:val="Table Grid 11211"/>
    <w:basedOn w:val="TableNormal"/>
    <w:next w:val="TableGrid10"/>
    <w:rsid w:val="009F0A2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1">
    <w:name w:val="Table Columns 51211"/>
    <w:basedOn w:val="TableNormal"/>
    <w:next w:val="TableColumns5"/>
    <w:rsid w:val="009F0A2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211">
    <w:name w:val="Table 3D effects 31211"/>
    <w:basedOn w:val="TableNormal"/>
    <w:next w:val="Table3Deffects3"/>
    <w:rsid w:val="009F0A2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110">
    <w:name w:val="Table Grid11211"/>
    <w:basedOn w:val="TableNormal"/>
    <w:next w:val="TableGrid"/>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9F0A25"/>
  </w:style>
  <w:style w:type="numbering" w:customStyle="1" w:styleId="NoList71111">
    <w:name w:val="No List71111"/>
    <w:next w:val="NoList"/>
    <w:uiPriority w:val="99"/>
    <w:semiHidden/>
    <w:unhideWhenUsed/>
    <w:rsid w:val="009F0A25"/>
  </w:style>
  <w:style w:type="table" w:customStyle="1" w:styleId="TableGrid31111">
    <w:name w:val="Table Grid3111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1">
    <w:name w:val="Table Web 21111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1">
    <w:name w:val="Table Web 11111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1">
    <w:name w:val="Table Grid 81111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1">
    <w:name w:val="Table Contemporary1111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1">
    <w:name w:val="Colorful Grid - Accent 12111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1">
    <w:name w:val="Light List - Accent 52111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1">
    <w:name w:val="No List81111"/>
    <w:next w:val="NoList"/>
    <w:uiPriority w:val="99"/>
    <w:semiHidden/>
    <w:unhideWhenUsed/>
    <w:rsid w:val="009F0A25"/>
  </w:style>
  <w:style w:type="numbering" w:customStyle="1" w:styleId="121111">
    <w:name w:val="Нет списка121111"/>
    <w:next w:val="NoList"/>
    <w:uiPriority w:val="99"/>
    <w:semiHidden/>
    <w:unhideWhenUsed/>
    <w:rsid w:val="009F0A25"/>
  </w:style>
  <w:style w:type="numbering" w:customStyle="1" w:styleId="NoList131111">
    <w:name w:val="No List131111"/>
    <w:next w:val="NoList"/>
    <w:semiHidden/>
    <w:unhideWhenUsed/>
    <w:rsid w:val="009F0A25"/>
  </w:style>
  <w:style w:type="numbering" w:customStyle="1" w:styleId="1112111">
    <w:name w:val="Нет списка1112111"/>
    <w:next w:val="NoList"/>
    <w:semiHidden/>
    <w:unhideWhenUsed/>
    <w:rsid w:val="009F0A25"/>
  </w:style>
  <w:style w:type="numbering" w:customStyle="1" w:styleId="NoList411111">
    <w:name w:val="No List411111"/>
    <w:next w:val="NoList"/>
    <w:semiHidden/>
    <w:rsid w:val="009F0A25"/>
  </w:style>
  <w:style w:type="numbering" w:customStyle="1" w:styleId="11111111">
    <w:name w:val="Нет списка11111111"/>
    <w:next w:val="NoList"/>
    <w:semiHidden/>
    <w:unhideWhenUsed/>
    <w:rsid w:val="009F0A25"/>
  </w:style>
  <w:style w:type="table" w:customStyle="1" w:styleId="TableGrid41111">
    <w:name w:val="Table Grid4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8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NoList"/>
    <w:semiHidden/>
    <w:unhideWhenUsed/>
    <w:rsid w:val="009F0A25"/>
  </w:style>
  <w:style w:type="numbering" w:customStyle="1" w:styleId="111131">
    <w:name w:val="Нет списка111131"/>
    <w:next w:val="NoList"/>
    <w:semiHidden/>
    <w:unhideWhenUsed/>
    <w:rsid w:val="009F0A25"/>
  </w:style>
  <w:style w:type="table" w:customStyle="1" w:styleId="GridTable4-Accent1121">
    <w:name w:val="Grid Table 4 - Accent 1121"/>
    <w:basedOn w:val="TableNormal"/>
    <w:uiPriority w:val="49"/>
    <w:rsid w:val="009F0A2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221">
    <w:name w:val="Нет списка111221"/>
    <w:next w:val="NoList"/>
    <w:semiHidden/>
    <w:unhideWhenUsed/>
    <w:rsid w:val="009F0A25"/>
  </w:style>
  <w:style w:type="numbering" w:customStyle="1" w:styleId="1111121">
    <w:name w:val="Нет списка1111121"/>
    <w:next w:val="NoList"/>
    <w:semiHidden/>
    <w:unhideWhenUsed/>
    <w:rsid w:val="009F0A25"/>
  </w:style>
  <w:style w:type="table" w:customStyle="1" w:styleId="TableGrid11141">
    <w:name w:val="Table Grid111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1">
    <w:name w:val="Grid Table 1 Light - Accent 1121"/>
    <w:basedOn w:val="TableNormal"/>
    <w:uiPriority w:val="46"/>
    <w:rsid w:val="009F0A25"/>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Grid3-Accent121">
    <w:name w:val="Medium Grid 3 - Accent 121"/>
    <w:basedOn w:val="TableNormal"/>
    <w:next w:val="MediumGrid3-Accent1"/>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1431">
    <w:name w:val="Table Grid14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73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1">
    <w:name w:val="Grid Table 1 Light - Accent 51211"/>
    <w:basedOn w:val="TableNormal"/>
    <w:uiPriority w:val="46"/>
    <w:rsid w:val="009F0A2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41">
    <w:name w:val="Table Grid124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21">
    <w:name w:val="Table Grid11131121"/>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1">
    <w:name w:val="Table Grid142121"/>
    <w:basedOn w:val="TableNormal"/>
    <w:next w:val="TableGrid"/>
    <w:uiPriority w:val="39"/>
    <w:rsid w:val="00005BEA"/>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2">
    <w:name w:val="Table Grid11131122"/>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
    <w:name w:val="Основной текст5"/>
    <w:basedOn w:val="Normal"/>
    <w:link w:val="ac"/>
    <w:rsid w:val="00CF740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paragraph" w:customStyle="1" w:styleId="Charc">
    <w:name w:val="Char"/>
    <w:basedOn w:val="Normal"/>
    <w:locked/>
    <w:rsid w:val="00840AE8"/>
    <w:pPr>
      <w:spacing w:before="0" w:after="160" w:line="240" w:lineRule="auto"/>
      <w:ind w:firstLine="0"/>
      <w:contextualSpacing w:val="0"/>
      <w:jc w:val="left"/>
    </w:pPr>
    <w:rPr>
      <w:rFonts w:ascii="Verdana" w:eastAsia="Batang" w:hAnsi="Verdana" w:cs="Verdana"/>
      <w:b w:val="0"/>
      <w:sz w:val="24"/>
      <w:lang w:val="en-GB"/>
    </w:rPr>
  </w:style>
  <w:style w:type="paragraph" w:customStyle="1" w:styleId="61">
    <w:name w:val="Основной текст6"/>
    <w:basedOn w:val="Normal"/>
    <w:rsid w:val="00453D56"/>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1">
    <w:name w:val="Grid Table 4 - Accent 51"/>
    <w:basedOn w:val="TableNormal"/>
    <w:uiPriority w:val="49"/>
    <w:rsid w:val="00453D56"/>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0">
    <w:name w:val="Աղյուսակներ"/>
    <w:basedOn w:val="Normal"/>
    <w:qFormat/>
    <w:rsid w:val="008624F6"/>
    <w:pPr>
      <w:spacing w:before="60" w:after="40"/>
      <w:contextualSpacing w:val="0"/>
    </w:pPr>
    <w:rPr>
      <w:rFonts w:eastAsia="Calibri" w:cs="Sylfaen"/>
      <w:bCs/>
      <w:i/>
      <w:szCs w:val="22"/>
      <w:lang w:val="hy-AM" w:eastAsia="en-US"/>
    </w:rPr>
  </w:style>
  <w:style w:type="numbering" w:customStyle="1" w:styleId="NoList11111111111">
    <w:name w:val="No List11111111111"/>
    <w:next w:val="NoList"/>
    <w:semiHidden/>
    <w:rsid w:val="009B3790"/>
  </w:style>
  <w:style w:type="character" w:customStyle="1" w:styleId="Chard">
    <w:name w:val="Գծապատկեր Char"/>
    <w:link w:val="af1"/>
    <w:locked/>
    <w:rsid w:val="009B3790"/>
    <w:rPr>
      <w:rFonts w:ascii="GHEA Grapalat" w:eastAsia="GHEA Grapalat" w:hAnsi="GHEA Grapalat" w:cs="GHEA Grapalat"/>
      <w:noProof/>
    </w:rPr>
  </w:style>
  <w:style w:type="paragraph" w:customStyle="1" w:styleId="af1">
    <w:name w:val="Գծապատկեր"/>
    <w:basedOn w:val="Normal"/>
    <w:link w:val="Chard"/>
    <w:autoRedefine/>
    <w:qFormat/>
    <w:rsid w:val="009B3790"/>
    <w:pPr>
      <w:keepNext/>
      <w:keepLines/>
      <w:tabs>
        <w:tab w:val="left" w:pos="2160"/>
        <w:tab w:val="left" w:pos="2552"/>
      </w:tabs>
      <w:autoSpaceDE w:val="0"/>
      <w:autoSpaceDN w:val="0"/>
      <w:adjustRightInd w:val="0"/>
      <w:spacing w:before="0" w:line="240" w:lineRule="auto"/>
      <w:ind w:left="360" w:firstLine="0"/>
      <w:contextualSpacing w:val="0"/>
      <w:jc w:val="center"/>
    </w:pPr>
    <w:rPr>
      <w:rFonts w:eastAsia="GHEA Grapalat" w:cs="GHEA Grapalat"/>
      <w:b w:val="0"/>
      <w:noProof/>
      <w:sz w:val="20"/>
      <w:szCs w:val="20"/>
      <w:lang w:val="en-US" w:eastAsia="en-US"/>
    </w:rPr>
  </w:style>
  <w:style w:type="paragraph" w:customStyle="1" w:styleId="af2">
    <w:name w:val="Հղումներ"/>
    <w:basedOn w:val="Normal"/>
    <w:qFormat/>
    <w:rsid w:val="009B3790"/>
    <w:pPr>
      <w:spacing w:before="60" w:after="40" w:line="240" w:lineRule="auto"/>
      <w:contextualSpacing w:val="0"/>
    </w:pPr>
    <w:rPr>
      <w:b w:val="0"/>
      <w:sz w:val="20"/>
      <w:szCs w:val="20"/>
      <w:lang w:val="hy-AM" w:eastAsia="en-US"/>
    </w:rPr>
  </w:style>
  <w:style w:type="paragraph" w:customStyle="1" w:styleId="af3">
    <w:name w:val="Գծապատկերներ"/>
    <w:basedOn w:val="Normal"/>
    <w:qFormat/>
    <w:rsid w:val="009B3790"/>
    <w:pPr>
      <w:keepNext/>
      <w:keepLines/>
      <w:spacing w:before="60" w:after="40" w:line="240" w:lineRule="auto"/>
      <w:ind w:firstLine="0"/>
      <w:contextualSpacing w:val="0"/>
      <w:jc w:val="left"/>
    </w:pPr>
    <w:rPr>
      <w:rFonts w:eastAsiaTheme="majorEastAsia"/>
      <w:i/>
      <w:szCs w:val="22"/>
      <w:lang w:val="hy-AM" w:eastAsia="en-US"/>
    </w:rPr>
  </w:style>
  <w:style w:type="numbering" w:customStyle="1" w:styleId="NoList67">
    <w:name w:val="No List67"/>
    <w:next w:val="NoList"/>
    <w:uiPriority w:val="99"/>
    <w:semiHidden/>
    <w:unhideWhenUsed/>
    <w:rsid w:val="008F7DB9"/>
  </w:style>
  <w:style w:type="numbering" w:customStyle="1" w:styleId="NoList138">
    <w:name w:val="No List138"/>
    <w:next w:val="NoList"/>
    <w:uiPriority w:val="99"/>
    <w:semiHidden/>
    <w:unhideWhenUsed/>
    <w:rsid w:val="008F7DB9"/>
  </w:style>
  <w:style w:type="table" w:customStyle="1" w:styleId="TableGrid390">
    <w:name w:val="Table Grid39"/>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8F7DB9"/>
  </w:style>
  <w:style w:type="numbering" w:customStyle="1" w:styleId="NoList11120">
    <w:name w:val="No List11120"/>
    <w:next w:val="NoList"/>
    <w:semiHidden/>
    <w:rsid w:val="008F7DB9"/>
  </w:style>
  <w:style w:type="table" w:customStyle="1" w:styleId="TableGrid1200">
    <w:name w:val="Table Grid120"/>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semiHidden/>
    <w:rsid w:val="008F7DB9"/>
  </w:style>
  <w:style w:type="numbering" w:customStyle="1" w:styleId="NoList226">
    <w:name w:val="No List226"/>
    <w:next w:val="NoList"/>
    <w:semiHidden/>
    <w:rsid w:val="008F7DB9"/>
  </w:style>
  <w:style w:type="numbering" w:customStyle="1" w:styleId="NoList320">
    <w:name w:val="No List320"/>
    <w:next w:val="NoList"/>
    <w:semiHidden/>
    <w:unhideWhenUsed/>
    <w:rsid w:val="008F7DB9"/>
  </w:style>
  <w:style w:type="table" w:customStyle="1" w:styleId="TableList716">
    <w:name w:val="Table List 716"/>
    <w:basedOn w:val="TableNormal"/>
    <w:next w:val="TableList7"/>
    <w:uiPriority w:val="99"/>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6">
    <w:name w:val="Table Web 316"/>
    <w:basedOn w:val="TableNormal"/>
    <w:next w:val="TableWeb3"/>
    <w:uiPriority w:val="99"/>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6">
    <w:name w:val="Table Elegant16"/>
    <w:basedOn w:val="TableNormal"/>
    <w:next w:val="TableElegant"/>
    <w:uiPriority w:val="99"/>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6">
    <w:name w:val="Table Web 216"/>
    <w:basedOn w:val="TableNormal"/>
    <w:next w:val="TableWeb2"/>
    <w:uiPriority w:val="99"/>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6">
    <w:name w:val="Table Web 116"/>
    <w:basedOn w:val="TableNormal"/>
    <w:next w:val="TableWeb1"/>
    <w:uiPriority w:val="99"/>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6">
    <w:name w:val="Table Grid 816"/>
    <w:basedOn w:val="TableNormal"/>
    <w:next w:val="TableGrid8"/>
    <w:uiPriority w:val="99"/>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6">
    <w:name w:val="Table Contemporary16"/>
    <w:basedOn w:val="TableNormal"/>
    <w:next w:val="TableContemporary"/>
    <w:uiPriority w:val="99"/>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5">
    <w:name w:val="Light List - Accent 13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6">
    <w:name w:val="Table Grid 716"/>
    <w:basedOn w:val="TableNormal"/>
    <w:next w:val="TableGrid7"/>
    <w:uiPriority w:val="99"/>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6">
    <w:name w:val="Colorful Grid - Accent 12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6">
    <w:name w:val="Light List - Accent 52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6">
    <w:name w:val="Table Simple 316"/>
    <w:basedOn w:val="TableNormal"/>
    <w:next w:val="TableSimple3"/>
    <w:uiPriority w:val="99"/>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6">
    <w:name w:val="Table Grid 516"/>
    <w:basedOn w:val="TableNormal"/>
    <w:next w:val="TableGrid5"/>
    <w:uiPriority w:val="99"/>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6">
    <w:name w:val="Table Grid 316"/>
    <w:basedOn w:val="TableNormal"/>
    <w:next w:val="TableGrid3"/>
    <w:uiPriority w:val="99"/>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60">
    <w:name w:val="Table Grid 116"/>
    <w:basedOn w:val="TableNormal"/>
    <w:next w:val="TableGrid10"/>
    <w:uiPriority w:val="99"/>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6">
    <w:name w:val="Table Columns 516"/>
    <w:basedOn w:val="TableNormal"/>
    <w:next w:val="TableColumns5"/>
    <w:uiPriority w:val="99"/>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9">
    <w:name w:val="Light List - Accent 1119"/>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6">
    <w:name w:val="Нет списка126"/>
    <w:next w:val="NoList"/>
    <w:semiHidden/>
    <w:unhideWhenUsed/>
    <w:rsid w:val="008F7DB9"/>
  </w:style>
  <w:style w:type="table" w:customStyle="1" w:styleId="ColorfulGrid-Accent1116">
    <w:name w:val="Colorful Grid - Accent 1116"/>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7">
    <w:name w:val="Light List - Accent 5117"/>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9">
    <w:name w:val="No List419"/>
    <w:next w:val="NoList"/>
    <w:semiHidden/>
    <w:rsid w:val="008F7DB9"/>
  </w:style>
  <w:style w:type="table" w:customStyle="1" w:styleId="Table3Deffects316">
    <w:name w:val="Table 3D effects 316"/>
    <w:basedOn w:val="TableNormal"/>
    <w:next w:val="Table3Deffects3"/>
    <w:uiPriority w:val="99"/>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6"/>
    <w:next w:val="NoList"/>
    <w:semiHidden/>
    <w:unhideWhenUsed/>
    <w:rsid w:val="008F7DB9"/>
  </w:style>
  <w:style w:type="numbering" w:customStyle="1" w:styleId="NoList516">
    <w:name w:val="No List516"/>
    <w:next w:val="NoList"/>
    <w:uiPriority w:val="99"/>
    <w:semiHidden/>
    <w:unhideWhenUsed/>
    <w:rsid w:val="008F7DB9"/>
  </w:style>
  <w:style w:type="numbering" w:customStyle="1" w:styleId="NoList1218">
    <w:name w:val="No List1218"/>
    <w:next w:val="NoList"/>
    <w:uiPriority w:val="99"/>
    <w:semiHidden/>
    <w:rsid w:val="008F7DB9"/>
  </w:style>
  <w:style w:type="numbering" w:customStyle="1" w:styleId="NoList11210">
    <w:name w:val="No List11210"/>
    <w:next w:val="NoList"/>
    <w:semiHidden/>
    <w:rsid w:val="008F7DB9"/>
  </w:style>
  <w:style w:type="numbering" w:customStyle="1" w:styleId="NoList111116">
    <w:name w:val="No List111116"/>
    <w:next w:val="NoList"/>
    <w:semiHidden/>
    <w:rsid w:val="008F7DB9"/>
  </w:style>
  <w:style w:type="numbering" w:customStyle="1" w:styleId="NoList2116">
    <w:name w:val="No List2116"/>
    <w:next w:val="NoList"/>
    <w:semiHidden/>
    <w:rsid w:val="008F7DB9"/>
  </w:style>
  <w:style w:type="table" w:customStyle="1" w:styleId="TableGrid218">
    <w:name w:val="Table Grid218"/>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6">
    <w:name w:val="No List3116"/>
    <w:next w:val="NoList"/>
    <w:semiHidden/>
    <w:unhideWhenUsed/>
    <w:rsid w:val="008F7DB9"/>
  </w:style>
  <w:style w:type="numbering" w:customStyle="1" w:styleId="NoList68">
    <w:name w:val="No List68"/>
    <w:next w:val="NoList"/>
    <w:uiPriority w:val="99"/>
    <w:semiHidden/>
    <w:unhideWhenUsed/>
    <w:rsid w:val="008F7DB9"/>
  </w:style>
  <w:style w:type="numbering" w:customStyle="1" w:styleId="NoList76">
    <w:name w:val="No List76"/>
    <w:next w:val="NoList"/>
    <w:uiPriority w:val="99"/>
    <w:semiHidden/>
    <w:unhideWhenUsed/>
    <w:rsid w:val="008F7DB9"/>
  </w:style>
  <w:style w:type="table" w:customStyle="1" w:styleId="TableGrid3101">
    <w:name w:val="Table Grid3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semiHidden/>
    <w:unhideWhenUsed/>
    <w:rsid w:val="008F7DB9"/>
  </w:style>
  <w:style w:type="numbering" w:customStyle="1" w:styleId="NoList1135">
    <w:name w:val="No List1135"/>
    <w:next w:val="NoList"/>
    <w:semiHidden/>
    <w:rsid w:val="008F7DB9"/>
  </w:style>
  <w:style w:type="table" w:customStyle="1" w:styleId="TableGrid11100">
    <w:name w:val="Table Grid11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5">
    <w:name w:val="No List11125"/>
    <w:next w:val="NoList"/>
    <w:semiHidden/>
    <w:rsid w:val="008F7DB9"/>
  </w:style>
  <w:style w:type="numbering" w:customStyle="1" w:styleId="NoList227">
    <w:name w:val="No List227"/>
    <w:next w:val="NoList"/>
    <w:semiHidden/>
    <w:rsid w:val="008F7DB9"/>
  </w:style>
  <w:style w:type="numbering" w:customStyle="1" w:styleId="NoList326">
    <w:name w:val="No List326"/>
    <w:next w:val="NoList"/>
    <w:semiHidden/>
    <w:unhideWhenUsed/>
    <w:rsid w:val="008F7DB9"/>
  </w:style>
  <w:style w:type="table" w:customStyle="1" w:styleId="TableList717">
    <w:name w:val="Table List 717"/>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7">
    <w:name w:val="Table Web 317"/>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7">
    <w:name w:val="Table Elegant17"/>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7">
    <w:name w:val="Table Web 217"/>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7">
    <w:name w:val="Table Web 117"/>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7">
    <w:name w:val="Table Grid 817"/>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7">
    <w:name w:val="Table Contemporary17"/>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4">
    <w:name w:val="Light List - Accent 1214"/>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7">
    <w:name w:val="Table Grid 717"/>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7">
    <w:name w:val="Colorful Grid - Accent 127"/>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7">
    <w:name w:val="Light List - Accent 527"/>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7">
    <w:name w:val="Table Simple 317"/>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7">
    <w:name w:val="Table Grid 517"/>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7">
    <w:name w:val="Table Grid 317"/>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70">
    <w:name w:val="Table Grid 117"/>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7">
    <w:name w:val="Table Columns 517"/>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0">
    <w:name w:val="Light List - Accent 11110"/>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7">
    <w:name w:val="Нет списка127"/>
    <w:next w:val="NoList"/>
    <w:uiPriority w:val="99"/>
    <w:semiHidden/>
    <w:unhideWhenUsed/>
    <w:rsid w:val="008F7DB9"/>
  </w:style>
  <w:style w:type="table" w:customStyle="1" w:styleId="ColorfulGrid-Accent1117">
    <w:name w:val="Colorful Grid - Accent 1117"/>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8">
    <w:name w:val="Light List - Accent 5118"/>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0">
    <w:name w:val="No List4110"/>
    <w:next w:val="NoList"/>
    <w:semiHidden/>
    <w:rsid w:val="008F7DB9"/>
  </w:style>
  <w:style w:type="table" w:customStyle="1" w:styleId="Table3Deffects317">
    <w:name w:val="Table 3D effects 317"/>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
    <w:name w:val="Нет списка1117"/>
    <w:next w:val="NoList"/>
    <w:semiHidden/>
    <w:unhideWhenUsed/>
    <w:rsid w:val="008F7DB9"/>
  </w:style>
  <w:style w:type="numbering" w:customStyle="1" w:styleId="NoList517">
    <w:name w:val="No List517"/>
    <w:next w:val="NoList"/>
    <w:uiPriority w:val="99"/>
    <w:semiHidden/>
    <w:unhideWhenUsed/>
    <w:rsid w:val="008F7DB9"/>
  </w:style>
  <w:style w:type="numbering" w:customStyle="1" w:styleId="NoList1219">
    <w:name w:val="No List1219"/>
    <w:next w:val="NoList"/>
    <w:uiPriority w:val="99"/>
    <w:semiHidden/>
    <w:rsid w:val="008F7DB9"/>
  </w:style>
  <w:style w:type="numbering" w:customStyle="1" w:styleId="NoList11215">
    <w:name w:val="No List11215"/>
    <w:next w:val="NoList"/>
    <w:semiHidden/>
    <w:rsid w:val="008F7DB9"/>
  </w:style>
  <w:style w:type="numbering" w:customStyle="1" w:styleId="NoList1111113">
    <w:name w:val="No List1111113"/>
    <w:next w:val="NoList"/>
    <w:semiHidden/>
    <w:rsid w:val="008F7DB9"/>
  </w:style>
  <w:style w:type="numbering" w:customStyle="1" w:styleId="NoList2117">
    <w:name w:val="No List2117"/>
    <w:next w:val="NoList"/>
    <w:semiHidden/>
    <w:rsid w:val="008F7DB9"/>
  </w:style>
  <w:style w:type="table" w:customStyle="1" w:styleId="TableGrid219">
    <w:name w:val="Table Grid219"/>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semiHidden/>
    <w:unhideWhenUsed/>
    <w:rsid w:val="008F7DB9"/>
  </w:style>
  <w:style w:type="numbering" w:customStyle="1" w:styleId="NoList86">
    <w:name w:val="No List86"/>
    <w:next w:val="NoList"/>
    <w:uiPriority w:val="99"/>
    <w:semiHidden/>
    <w:unhideWhenUsed/>
    <w:rsid w:val="008F7DB9"/>
  </w:style>
  <w:style w:type="numbering" w:customStyle="1" w:styleId="NoList96">
    <w:name w:val="No List96"/>
    <w:next w:val="NoList"/>
    <w:uiPriority w:val="99"/>
    <w:semiHidden/>
    <w:unhideWhenUsed/>
    <w:rsid w:val="008F7DB9"/>
  </w:style>
  <w:style w:type="table" w:customStyle="1" w:styleId="TableGrid46">
    <w:name w:val="Table Grid4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5">
    <w:name w:val="Table List 725"/>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5">
    <w:name w:val="Table Web 325"/>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5">
    <w:name w:val="Table Elegant25"/>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6">
    <w:name w:val="Table Web 226"/>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6">
    <w:name w:val="Table Web 126"/>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6">
    <w:name w:val="Table Grid 826"/>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6">
    <w:name w:val="Table Contemporary26"/>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6">
    <w:name w:val="No List146"/>
    <w:next w:val="NoList"/>
    <w:semiHidden/>
    <w:unhideWhenUsed/>
    <w:rsid w:val="008F7DB9"/>
  </w:style>
  <w:style w:type="numbering" w:customStyle="1" w:styleId="NoList235">
    <w:name w:val="No List235"/>
    <w:next w:val="NoList"/>
    <w:semiHidden/>
    <w:unhideWhenUsed/>
    <w:rsid w:val="008F7DB9"/>
  </w:style>
  <w:style w:type="numbering" w:customStyle="1" w:styleId="NoList335">
    <w:name w:val="No List335"/>
    <w:next w:val="NoList"/>
    <w:semiHidden/>
    <w:unhideWhenUsed/>
    <w:rsid w:val="008F7DB9"/>
  </w:style>
  <w:style w:type="table" w:customStyle="1" w:styleId="LightList-Accent136">
    <w:name w:val="Light List - Accent 136"/>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5">
    <w:name w:val="Table Grid 725"/>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6">
    <w:name w:val="Colorful Grid - Accent 13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6">
    <w:name w:val="Light List - Accent 53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5">
    <w:name w:val="Table Simple 325"/>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5">
    <w:name w:val="Table Grid 525"/>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5">
    <w:name w:val="Table Grid 325"/>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5">
    <w:name w:val="Table Grid 125"/>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5">
    <w:name w:val="Table Columns 525"/>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5">
    <w:name w:val="Light List - Accent 1125"/>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6">
    <w:name w:val="Нет списка136"/>
    <w:next w:val="NoList"/>
    <w:semiHidden/>
    <w:unhideWhenUsed/>
    <w:rsid w:val="008F7DB9"/>
  </w:style>
  <w:style w:type="table" w:customStyle="1" w:styleId="ColorfulGrid-Accent1125">
    <w:name w:val="Colorful Grid - Accent 1125"/>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5">
    <w:name w:val="Light List - Accent 5125"/>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6">
    <w:name w:val="No List426"/>
    <w:next w:val="NoList"/>
    <w:semiHidden/>
    <w:rsid w:val="008F7DB9"/>
  </w:style>
  <w:style w:type="numbering" w:customStyle="1" w:styleId="NoList1143">
    <w:name w:val="No List1143"/>
    <w:next w:val="NoList"/>
    <w:semiHidden/>
    <w:unhideWhenUsed/>
    <w:rsid w:val="008F7DB9"/>
  </w:style>
  <w:style w:type="table" w:customStyle="1" w:styleId="Table3Deffects325">
    <w:name w:val="Table 3D effects 325"/>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NoList"/>
    <w:semiHidden/>
    <w:unhideWhenUsed/>
    <w:rsid w:val="008F7DB9"/>
  </w:style>
  <w:style w:type="numbering" w:customStyle="1" w:styleId="NoList106">
    <w:name w:val="No List106"/>
    <w:next w:val="NoList"/>
    <w:uiPriority w:val="99"/>
    <w:semiHidden/>
    <w:unhideWhenUsed/>
    <w:rsid w:val="008F7DB9"/>
  </w:style>
  <w:style w:type="table" w:customStyle="1" w:styleId="TableGrid560">
    <w:name w:val="Table Grid56"/>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8F7DB9"/>
  </w:style>
  <w:style w:type="numbering" w:customStyle="1" w:styleId="NoList1153">
    <w:name w:val="No List1153"/>
    <w:next w:val="NoList"/>
    <w:semiHidden/>
    <w:rsid w:val="008F7DB9"/>
  </w:style>
  <w:style w:type="table" w:customStyle="1" w:styleId="TableGrid1250">
    <w:name w:val="Table Grid12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3">
    <w:name w:val="No List11133"/>
    <w:next w:val="NoList"/>
    <w:semiHidden/>
    <w:rsid w:val="008F7DB9"/>
  </w:style>
  <w:style w:type="numbering" w:customStyle="1" w:styleId="NoList243">
    <w:name w:val="No List243"/>
    <w:next w:val="NoList"/>
    <w:semiHidden/>
    <w:rsid w:val="008F7DB9"/>
  </w:style>
  <w:style w:type="numbering" w:customStyle="1" w:styleId="NoList343">
    <w:name w:val="No List343"/>
    <w:next w:val="NoList"/>
    <w:semiHidden/>
    <w:unhideWhenUsed/>
    <w:rsid w:val="008F7DB9"/>
  </w:style>
  <w:style w:type="table" w:customStyle="1" w:styleId="TableList733">
    <w:name w:val="Table List 73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3">
    <w:name w:val="Table Web 33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3">
    <w:name w:val="Table Elegant3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5">
    <w:name w:val="Table Web 23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5">
    <w:name w:val="Table Web 13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5">
    <w:name w:val="Table Grid 83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5">
    <w:name w:val="Table Contemporary3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3">
    <w:name w:val="Light List - Accent 143"/>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3">
    <w:name w:val="Table Grid 73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5">
    <w:name w:val="Colorful Grid - Accent 145"/>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5">
    <w:name w:val="Light List - Accent 545"/>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3">
    <w:name w:val="Table Simple 33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3">
    <w:name w:val="Table Grid 53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3">
    <w:name w:val="Table Grid 33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30">
    <w:name w:val="Table Grid 13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3">
    <w:name w:val="Table Columns 53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3">
    <w:name w:val="Light List - Accent 1133"/>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5">
    <w:name w:val="Нет списка145"/>
    <w:next w:val="NoList"/>
    <w:semiHidden/>
    <w:unhideWhenUsed/>
    <w:rsid w:val="008F7DB9"/>
  </w:style>
  <w:style w:type="table" w:customStyle="1" w:styleId="ColorfulGrid-Accent1133">
    <w:name w:val="Colorful Grid - Accent 1133"/>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3">
    <w:name w:val="Light List - Accent 5133"/>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5">
    <w:name w:val="No List435"/>
    <w:next w:val="NoList"/>
    <w:semiHidden/>
    <w:rsid w:val="008F7DB9"/>
  </w:style>
  <w:style w:type="table" w:customStyle="1" w:styleId="Table3Deffects333">
    <w:name w:val="Table 3D effects 33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NoList"/>
    <w:semiHidden/>
    <w:unhideWhenUsed/>
    <w:rsid w:val="008F7DB9"/>
  </w:style>
  <w:style w:type="numbering" w:customStyle="1" w:styleId="NoList525">
    <w:name w:val="No List525"/>
    <w:next w:val="NoList"/>
    <w:uiPriority w:val="99"/>
    <w:semiHidden/>
    <w:unhideWhenUsed/>
    <w:rsid w:val="008F7DB9"/>
  </w:style>
  <w:style w:type="numbering" w:customStyle="1" w:styleId="NoList1225">
    <w:name w:val="No List1225"/>
    <w:next w:val="NoList"/>
    <w:uiPriority w:val="99"/>
    <w:semiHidden/>
    <w:rsid w:val="008F7DB9"/>
  </w:style>
  <w:style w:type="numbering" w:customStyle="1" w:styleId="NoList11223">
    <w:name w:val="No List11223"/>
    <w:next w:val="NoList"/>
    <w:semiHidden/>
    <w:rsid w:val="008F7DB9"/>
  </w:style>
  <w:style w:type="numbering" w:customStyle="1" w:styleId="NoList111125">
    <w:name w:val="No List111125"/>
    <w:next w:val="NoList"/>
    <w:semiHidden/>
    <w:rsid w:val="008F7DB9"/>
  </w:style>
  <w:style w:type="numbering" w:customStyle="1" w:styleId="NoList2125">
    <w:name w:val="No List2125"/>
    <w:next w:val="NoList"/>
    <w:semiHidden/>
    <w:rsid w:val="008F7DB9"/>
  </w:style>
  <w:style w:type="table" w:customStyle="1" w:styleId="TableGrid226">
    <w:name w:val="Table Grid22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semiHidden/>
    <w:unhideWhenUsed/>
    <w:rsid w:val="008F7DB9"/>
  </w:style>
  <w:style w:type="table" w:customStyle="1" w:styleId="LightShading-Accent115">
    <w:name w:val="Light Shading - Accent 115"/>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5">
    <w:name w:val="Medium Grid 2 - Accent 115"/>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5">
    <w:name w:val="Medium List 2 - Accent 515"/>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4">
    <w:name w:val="Light List - Accent 15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5">
    <w:name w:val="Medium Grid 3 - Accent 515"/>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5">
    <w:name w:val="Light Shading - Accent 515"/>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5">
    <w:name w:val="Medium Grid 2 - Accent 515"/>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5">
    <w:name w:val="Light Grid - Accent 115"/>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5">
    <w:name w:val="Table List 45"/>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4">
    <w:name w:val="Table List 414"/>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3">
    <w:name w:val="Table Theme3"/>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3">
    <w:name w:val="Table Professional3"/>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30">
    <w:name w:val="Table Grid 63"/>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3">
    <w:name w:val="Table List 42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3">
    <w:name w:val="Table List 411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7">
    <w:name w:val="Style117"/>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8">
    <w:name w:val="Style218"/>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7">
    <w:name w:val="Style2117"/>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5">
    <w:name w:val="No List165"/>
    <w:next w:val="NoList"/>
    <w:semiHidden/>
    <w:unhideWhenUsed/>
    <w:rsid w:val="008F7DB9"/>
  </w:style>
  <w:style w:type="table" w:customStyle="1" w:styleId="TableGrid66">
    <w:name w:val="Table Grid6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8F7DB9"/>
  </w:style>
  <w:style w:type="numbering" w:customStyle="1" w:styleId="NoList1163">
    <w:name w:val="No List1163"/>
    <w:next w:val="NoList"/>
    <w:semiHidden/>
    <w:rsid w:val="008F7DB9"/>
  </w:style>
  <w:style w:type="table" w:customStyle="1" w:styleId="TableGrid135">
    <w:name w:val="Table Grid135"/>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4">
    <w:name w:val="Light List - Accent 16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2">
    <w:name w:val="Light Shading - Accent 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2">
    <w:name w:val="Medium Grid 2 - Accent 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2">
    <w:name w:val="Medium List 2 - Accent 5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2">
    <w:name w:val="Light List - Accent 17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2">
    <w:name w:val="Medium Grid 3 - Accent 5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2">
    <w:name w:val="Light Shading - Accent 5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2">
    <w:name w:val="Medium Grid 2 - Accent 5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2">
    <w:name w:val="Light Grid - Accent 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2">
    <w:name w:val="No List182"/>
    <w:next w:val="NoList"/>
    <w:semiHidden/>
    <w:unhideWhenUsed/>
    <w:rsid w:val="008F7DB9"/>
  </w:style>
  <w:style w:type="table" w:customStyle="1" w:styleId="TableGrid760">
    <w:name w:val="Table Grid7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2">
    <w:name w:val="Table List 74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2">
    <w:name w:val="Table Web 34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2">
    <w:name w:val="Table Elegant4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2">
    <w:name w:val="Table Web 24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2">
    <w:name w:val="Table Web 14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2">
    <w:name w:val="Table Grid 84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2">
    <w:name w:val="Table Contemporary4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2">
    <w:name w:val="No List192"/>
    <w:next w:val="NoList"/>
    <w:semiHidden/>
    <w:unhideWhenUsed/>
    <w:rsid w:val="008F7DB9"/>
  </w:style>
  <w:style w:type="numbering" w:customStyle="1" w:styleId="NoList252">
    <w:name w:val="No List252"/>
    <w:next w:val="NoList"/>
    <w:semiHidden/>
    <w:unhideWhenUsed/>
    <w:rsid w:val="008F7DB9"/>
  </w:style>
  <w:style w:type="numbering" w:customStyle="1" w:styleId="NoList352">
    <w:name w:val="No List352"/>
    <w:next w:val="NoList"/>
    <w:semiHidden/>
    <w:unhideWhenUsed/>
    <w:rsid w:val="008F7DB9"/>
  </w:style>
  <w:style w:type="table" w:customStyle="1" w:styleId="LightList-Accent182">
    <w:name w:val="Light List - Accent 18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2">
    <w:name w:val="Table Grid 74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2">
    <w:name w:val="Colorful Grid - Accent 15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2">
    <w:name w:val="Light List - Accent 55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2">
    <w:name w:val="Table Simple 34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2">
    <w:name w:val="Table Grid 54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2">
    <w:name w:val="Table Grid 34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20">
    <w:name w:val="Table Grid 14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2">
    <w:name w:val="Table Columns 54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2">
    <w:name w:val="Light List - Accent 114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2">
    <w:name w:val="Нет списка152"/>
    <w:next w:val="NoList"/>
    <w:semiHidden/>
    <w:unhideWhenUsed/>
    <w:rsid w:val="008F7DB9"/>
  </w:style>
  <w:style w:type="table" w:customStyle="1" w:styleId="ColorfulGrid-Accent1142">
    <w:name w:val="Colorful Grid - Accent 114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2">
    <w:name w:val="Light List - Accent 514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2">
    <w:name w:val="No List442"/>
    <w:next w:val="NoList"/>
    <w:semiHidden/>
    <w:rsid w:val="008F7DB9"/>
  </w:style>
  <w:style w:type="numbering" w:customStyle="1" w:styleId="NoList1172">
    <w:name w:val="No List1172"/>
    <w:next w:val="NoList"/>
    <w:semiHidden/>
    <w:unhideWhenUsed/>
    <w:rsid w:val="008F7DB9"/>
  </w:style>
  <w:style w:type="table" w:customStyle="1" w:styleId="Table3Deffects342">
    <w:name w:val="Table 3D effects 34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NoList"/>
    <w:semiHidden/>
    <w:unhideWhenUsed/>
    <w:rsid w:val="008F7DB9"/>
  </w:style>
  <w:style w:type="table" w:customStyle="1" w:styleId="Style1112">
    <w:name w:val="Style11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2">
    <w:name w:val="Style2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2">
    <w:name w:val="Style2111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2">
    <w:name w:val="Style112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2">
    <w:name w:val="Style2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2">
    <w:name w:val="Style21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2">
    <w:name w:val="No List202"/>
    <w:next w:val="NoList"/>
    <w:uiPriority w:val="99"/>
    <w:semiHidden/>
    <w:unhideWhenUsed/>
    <w:rsid w:val="008F7DB9"/>
  </w:style>
  <w:style w:type="numbering" w:customStyle="1" w:styleId="NoList1102">
    <w:name w:val="No List1102"/>
    <w:next w:val="NoList"/>
    <w:uiPriority w:val="99"/>
    <w:semiHidden/>
    <w:unhideWhenUsed/>
    <w:rsid w:val="008F7DB9"/>
  </w:style>
  <w:style w:type="table" w:customStyle="1" w:styleId="TableGrid850">
    <w:name w:val="Table Grid8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2">
    <w:name w:val="No List1182"/>
    <w:next w:val="NoList"/>
    <w:semiHidden/>
    <w:unhideWhenUsed/>
    <w:rsid w:val="008F7DB9"/>
  </w:style>
  <w:style w:type="numbering" w:customStyle="1" w:styleId="NoList11142">
    <w:name w:val="No List11142"/>
    <w:next w:val="NoList"/>
    <w:semiHidden/>
    <w:rsid w:val="008F7DB9"/>
  </w:style>
  <w:style w:type="table" w:customStyle="1" w:styleId="TableGrid144">
    <w:name w:val="Table Grid14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2">
    <w:name w:val="No List111132"/>
    <w:next w:val="NoList"/>
    <w:semiHidden/>
    <w:rsid w:val="008F7DB9"/>
  </w:style>
  <w:style w:type="numbering" w:customStyle="1" w:styleId="NoList262">
    <w:name w:val="No List262"/>
    <w:next w:val="NoList"/>
    <w:semiHidden/>
    <w:rsid w:val="008F7DB9"/>
  </w:style>
  <w:style w:type="numbering" w:customStyle="1" w:styleId="NoList362">
    <w:name w:val="No List362"/>
    <w:next w:val="NoList"/>
    <w:semiHidden/>
    <w:unhideWhenUsed/>
    <w:rsid w:val="008F7DB9"/>
  </w:style>
  <w:style w:type="table" w:customStyle="1" w:styleId="TableList752">
    <w:name w:val="Table List 75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2">
    <w:name w:val="Table Web 35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2">
    <w:name w:val="Table Elegant5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2">
    <w:name w:val="Table Web 25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2">
    <w:name w:val="Table Web 15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2">
    <w:name w:val="Table Grid 85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2">
    <w:name w:val="Table Contemporary5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2">
    <w:name w:val="Light List - Accent 19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2">
    <w:name w:val="Table Grid 75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2">
    <w:name w:val="Colorful Grid - Accent 16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2">
    <w:name w:val="Light List - Accent 56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2">
    <w:name w:val="Table Simple 35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2">
    <w:name w:val="Table Grid 55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2">
    <w:name w:val="Table Grid 35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2">
    <w:name w:val="Table Grid 15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2">
    <w:name w:val="Table Columns 55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2">
    <w:name w:val="Light List - Accent 115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2">
    <w:name w:val="Нет списка162"/>
    <w:next w:val="NoList"/>
    <w:semiHidden/>
    <w:unhideWhenUsed/>
    <w:rsid w:val="008F7DB9"/>
  </w:style>
  <w:style w:type="table" w:customStyle="1" w:styleId="ColorfulGrid-Accent1152">
    <w:name w:val="Colorful Grid - Accent 115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2">
    <w:name w:val="Light List - Accent 515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2">
    <w:name w:val="No List452"/>
    <w:next w:val="NoList"/>
    <w:semiHidden/>
    <w:rsid w:val="008F7DB9"/>
  </w:style>
  <w:style w:type="table" w:customStyle="1" w:styleId="Table3Deffects352">
    <w:name w:val="Table 3D effects 35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
    <w:name w:val="Нет списка1152"/>
    <w:next w:val="NoList"/>
    <w:semiHidden/>
    <w:unhideWhenUsed/>
    <w:rsid w:val="008F7DB9"/>
  </w:style>
  <w:style w:type="numbering" w:customStyle="1" w:styleId="NoList532">
    <w:name w:val="No List532"/>
    <w:next w:val="NoList"/>
    <w:uiPriority w:val="99"/>
    <w:semiHidden/>
    <w:unhideWhenUsed/>
    <w:rsid w:val="008F7DB9"/>
  </w:style>
  <w:style w:type="numbering" w:customStyle="1" w:styleId="NoList1232">
    <w:name w:val="No List1232"/>
    <w:next w:val="NoList"/>
    <w:semiHidden/>
    <w:rsid w:val="008F7DB9"/>
  </w:style>
  <w:style w:type="numbering" w:customStyle="1" w:styleId="NoList11232">
    <w:name w:val="No List11232"/>
    <w:next w:val="NoList"/>
    <w:semiHidden/>
    <w:rsid w:val="008F7DB9"/>
  </w:style>
  <w:style w:type="numbering" w:customStyle="1" w:styleId="NoList11111112">
    <w:name w:val="No List11111112"/>
    <w:next w:val="NoList"/>
    <w:semiHidden/>
    <w:rsid w:val="008F7DB9"/>
  </w:style>
  <w:style w:type="numbering" w:customStyle="1" w:styleId="NoList2132">
    <w:name w:val="No List2132"/>
    <w:next w:val="NoList"/>
    <w:semiHidden/>
    <w:rsid w:val="008F7DB9"/>
  </w:style>
  <w:style w:type="table" w:customStyle="1" w:styleId="TableGrid234">
    <w:name w:val="Table Grid23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8F7DB9"/>
  </w:style>
  <w:style w:type="numbering" w:customStyle="1" w:styleId="NoList615">
    <w:name w:val="No List615"/>
    <w:next w:val="NoList"/>
    <w:uiPriority w:val="99"/>
    <w:semiHidden/>
    <w:unhideWhenUsed/>
    <w:rsid w:val="008F7DB9"/>
  </w:style>
  <w:style w:type="numbering" w:customStyle="1" w:styleId="NoList715">
    <w:name w:val="No List715"/>
    <w:next w:val="NoList"/>
    <w:uiPriority w:val="99"/>
    <w:semiHidden/>
    <w:unhideWhenUsed/>
    <w:rsid w:val="008F7DB9"/>
  </w:style>
  <w:style w:type="table" w:customStyle="1" w:styleId="TableGrid3150">
    <w:name w:val="Table Grid315"/>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semiHidden/>
    <w:unhideWhenUsed/>
    <w:rsid w:val="008F7DB9"/>
  </w:style>
  <w:style w:type="numbering" w:customStyle="1" w:styleId="NoList11312">
    <w:name w:val="No List11312"/>
    <w:next w:val="NoList"/>
    <w:semiHidden/>
    <w:rsid w:val="008F7DB9"/>
  </w:style>
  <w:style w:type="table" w:customStyle="1" w:styleId="TableGrid1116">
    <w:name w:val="Table Grid1116"/>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semiHidden/>
    <w:rsid w:val="008F7DB9"/>
  </w:style>
  <w:style w:type="numbering" w:customStyle="1" w:styleId="NoList2214">
    <w:name w:val="No List2214"/>
    <w:next w:val="NoList"/>
    <w:semiHidden/>
    <w:rsid w:val="008F7DB9"/>
  </w:style>
  <w:style w:type="numbering" w:customStyle="1" w:styleId="NoList3214">
    <w:name w:val="No List3214"/>
    <w:next w:val="NoList"/>
    <w:semiHidden/>
    <w:unhideWhenUsed/>
    <w:rsid w:val="008F7DB9"/>
  </w:style>
  <w:style w:type="table" w:customStyle="1" w:styleId="TableList7114">
    <w:name w:val="Table List 7114"/>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4">
    <w:name w:val="Table Web 3114"/>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4">
    <w:name w:val="Table Elegant114"/>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5">
    <w:name w:val="Table Web 211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5">
    <w:name w:val="Table Web 111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5">
    <w:name w:val="Table Grid 811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5">
    <w:name w:val="Table Contemporary11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5">
    <w:name w:val="Light List - Accent 121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4">
    <w:name w:val="Table Grid 7114"/>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5">
    <w:name w:val="Colorful Grid - Accent 1215"/>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5">
    <w:name w:val="Light List - Accent 5215"/>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4">
    <w:name w:val="Table Simple 3114"/>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4">
    <w:name w:val="Table Grid 5114"/>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4">
    <w:name w:val="Table Grid 3114"/>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40">
    <w:name w:val="Table Grid 1114"/>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4">
    <w:name w:val="Table Columns 5114"/>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4">
    <w:name w:val="Light List - Accent 11114"/>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5">
    <w:name w:val="Нет списка1215"/>
    <w:next w:val="NoList"/>
    <w:uiPriority w:val="99"/>
    <w:semiHidden/>
    <w:unhideWhenUsed/>
    <w:rsid w:val="008F7DB9"/>
  </w:style>
  <w:style w:type="table" w:customStyle="1" w:styleId="ColorfulGrid-Accent11114">
    <w:name w:val="Colorful Grid - Accent 11114"/>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4">
    <w:name w:val="Light List - Accent 51114"/>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5">
    <w:name w:val="No List4115"/>
    <w:next w:val="NoList"/>
    <w:semiHidden/>
    <w:rsid w:val="008F7DB9"/>
  </w:style>
  <w:style w:type="table" w:customStyle="1" w:styleId="Table3Deffects3114">
    <w:name w:val="Table 3D effects 3114"/>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NoList"/>
    <w:semiHidden/>
    <w:unhideWhenUsed/>
    <w:rsid w:val="008F7DB9"/>
  </w:style>
  <w:style w:type="numbering" w:customStyle="1" w:styleId="NoList5114">
    <w:name w:val="No List5114"/>
    <w:next w:val="NoList"/>
    <w:uiPriority w:val="99"/>
    <w:semiHidden/>
    <w:unhideWhenUsed/>
    <w:rsid w:val="008F7DB9"/>
  </w:style>
  <w:style w:type="numbering" w:customStyle="1" w:styleId="NoList12114">
    <w:name w:val="No List12114"/>
    <w:next w:val="NoList"/>
    <w:uiPriority w:val="99"/>
    <w:semiHidden/>
    <w:rsid w:val="008F7DB9"/>
  </w:style>
  <w:style w:type="numbering" w:customStyle="1" w:styleId="NoList112112">
    <w:name w:val="No List112112"/>
    <w:next w:val="NoList"/>
    <w:semiHidden/>
    <w:rsid w:val="008F7DB9"/>
  </w:style>
  <w:style w:type="numbering" w:customStyle="1" w:styleId="NoList111111112">
    <w:name w:val="No List111111112"/>
    <w:next w:val="NoList"/>
    <w:semiHidden/>
    <w:rsid w:val="008F7DB9"/>
  </w:style>
  <w:style w:type="numbering" w:customStyle="1" w:styleId="NoList21114">
    <w:name w:val="No List21114"/>
    <w:next w:val="NoList"/>
    <w:semiHidden/>
    <w:rsid w:val="008F7DB9"/>
  </w:style>
  <w:style w:type="table" w:customStyle="1" w:styleId="TableGrid2114">
    <w:name w:val="Table Grid211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4">
    <w:name w:val="No List31114"/>
    <w:next w:val="NoList"/>
    <w:semiHidden/>
    <w:unhideWhenUsed/>
    <w:rsid w:val="008F7DB9"/>
  </w:style>
  <w:style w:type="numbering" w:customStyle="1" w:styleId="NoList815">
    <w:name w:val="No List815"/>
    <w:next w:val="NoList"/>
    <w:uiPriority w:val="99"/>
    <w:semiHidden/>
    <w:unhideWhenUsed/>
    <w:rsid w:val="008F7DB9"/>
  </w:style>
  <w:style w:type="numbering" w:customStyle="1" w:styleId="NoList914">
    <w:name w:val="No List914"/>
    <w:next w:val="NoList"/>
    <w:uiPriority w:val="99"/>
    <w:semiHidden/>
    <w:unhideWhenUsed/>
    <w:rsid w:val="008F7DB9"/>
  </w:style>
  <w:style w:type="table" w:customStyle="1" w:styleId="TableGrid415">
    <w:name w:val="Table Grid4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2">
    <w:name w:val="Table List 72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2">
    <w:name w:val="Table Web 32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2">
    <w:name w:val="Table Elegant2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4">
    <w:name w:val="Table Web 2214"/>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4">
    <w:name w:val="Table Web 1214"/>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4">
    <w:name w:val="Table Grid 8214"/>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4">
    <w:name w:val="Table Contemporary214"/>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4">
    <w:name w:val="No List1414"/>
    <w:next w:val="NoList"/>
    <w:semiHidden/>
    <w:unhideWhenUsed/>
    <w:rsid w:val="008F7DB9"/>
  </w:style>
  <w:style w:type="numbering" w:customStyle="1" w:styleId="NoList2312">
    <w:name w:val="No List2312"/>
    <w:next w:val="NoList"/>
    <w:semiHidden/>
    <w:unhideWhenUsed/>
    <w:rsid w:val="008F7DB9"/>
  </w:style>
  <w:style w:type="numbering" w:customStyle="1" w:styleId="NoList3312">
    <w:name w:val="No List3312"/>
    <w:next w:val="NoList"/>
    <w:semiHidden/>
    <w:unhideWhenUsed/>
    <w:rsid w:val="008F7DB9"/>
  </w:style>
  <w:style w:type="table" w:customStyle="1" w:styleId="LightList-Accent1312">
    <w:name w:val="Light List - Accent 13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2">
    <w:name w:val="Table Grid 72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4">
    <w:name w:val="Colorful Grid - Accent 1314"/>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4">
    <w:name w:val="Light List - Accent 5314"/>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2">
    <w:name w:val="Table Simple 32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2">
    <w:name w:val="Table Grid 52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2">
    <w:name w:val="Table Grid 32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20">
    <w:name w:val="Table Grid 12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2">
    <w:name w:val="Table Columns 52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2">
    <w:name w:val="Light List - Accent 112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4">
    <w:name w:val="Нет списка1314"/>
    <w:next w:val="NoList"/>
    <w:semiHidden/>
    <w:unhideWhenUsed/>
    <w:rsid w:val="008F7DB9"/>
  </w:style>
  <w:style w:type="table" w:customStyle="1" w:styleId="ColorfulGrid-Accent11212">
    <w:name w:val="Colorful Grid - Accent 112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2">
    <w:name w:val="Light List - Accent 512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4">
    <w:name w:val="No List4214"/>
    <w:next w:val="NoList"/>
    <w:semiHidden/>
    <w:rsid w:val="008F7DB9"/>
  </w:style>
  <w:style w:type="numbering" w:customStyle="1" w:styleId="NoList11412">
    <w:name w:val="No List11412"/>
    <w:next w:val="NoList"/>
    <w:semiHidden/>
    <w:unhideWhenUsed/>
    <w:rsid w:val="008F7DB9"/>
  </w:style>
  <w:style w:type="table" w:customStyle="1" w:styleId="Table3Deffects3212">
    <w:name w:val="Table 3D effects 32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4">
    <w:name w:val="Нет списка11214"/>
    <w:next w:val="NoList"/>
    <w:semiHidden/>
    <w:unhideWhenUsed/>
    <w:rsid w:val="008F7DB9"/>
  </w:style>
  <w:style w:type="numbering" w:customStyle="1" w:styleId="NoList1014">
    <w:name w:val="No List1014"/>
    <w:next w:val="NoList"/>
    <w:uiPriority w:val="99"/>
    <w:semiHidden/>
    <w:unhideWhenUsed/>
    <w:rsid w:val="008F7DB9"/>
  </w:style>
  <w:style w:type="table" w:customStyle="1" w:styleId="TableGrid5140">
    <w:name w:val="Table Grid5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semiHidden/>
    <w:unhideWhenUsed/>
    <w:rsid w:val="008F7DB9"/>
  </w:style>
  <w:style w:type="numbering" w:customStyle="1" w:styleId="NoList11512">
    <w:name w:val="No List11512"/>
    <w:next w:val="NoList"/>
    <w:semiHidden/>
    <w:rsid w:val="008F7DB9"/>
  </w:style>
  <w:style w:type="table" w:customStyle="1" w:styleId="TableGrid1214">
    <w:name w:val="Table Grid12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NoList"/>
    <w:semiHidden/>
    <w:rsid w:val="008F7DB9"/>
  </w:style>
  <w:style w:type="numbering" w:customStyle="1" w:styleId="NoList2412">
    <w:name w:val="No List2412"/>
    <w:next w:val="NoList"/>
    <w:semiHidden/>
    <w:rsid w:val="008F7DB9"/>
  </w:style>
  <w:style w:type="numbering" w:customStyle="1" w:styleId="NoList3412">
    <w:name w:val="No List3412"/>
    <w:next w:val="NoList"/>
    <w:semiHidden/>
    <w:unhideWhenUsed/>
    <w:rsid w:val="008F7DB9"/>
  </w:style>
  <w:style w:type="table" w:customStyle="1" w:styleId="TableList7312">
    <w:name w:val="Table List 73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2">
    <w:name w:val="Table Web 33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2">
    <w:name w:val="Table Elegant3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2">
    <w:name w:val="Table Web 231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2">
    <w:name w:val="Table Web 131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2">
    <w:name w:val="Table Grid 831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2">
    <w:name w:val="Table Contemporary31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2">
    <w:name w:val="Light List - Accent 14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20">
    <w:name w:val="Table Grid 73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2">
    <w:name w:val="Colorful Grid - Accent 141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2">
    <w:name w:val="Light List - Accent 541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2">
    <w:name w:val="Table Simple 33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2">
    <w:name w:val="Table Grid 53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2">
    <w:name w:val="Table Grid 33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2">
    <w:name w:val="Table Grid 13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2">
    <w:name w:val="Table Columns 53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2">
    <w:name w:val="Light List - Accent 113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2">
    <w:name w:val="Нет списка1412"/>
    <w:next w:val="NoList"/>
    <w:semiHidden/>
    <w:unhideWhenUsed/>
    <w:rsid w:val="008F7DB9"/>
  </w:style>
  <w:style w:type="table" w:customStyle="1" w:styleId="ColorfulGrid-Accent11312">
    <w:name w:val="Colorful Grid - Accent 113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2">
    <w:name w:val="Light List - Accent 513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2">
    <w:name w:val="No List4312"/>
    <w:next w:val="NoList"/>
    <w:semiHidden/>
    <w:rsid w:val="008F7DB9"/>
  </w:style>
  <w:style w:type="table" w:customStyle="1" w:styleId="Table3Deffects3312">
    <w:name w:val="Table 3D effects 33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2">
    <w:name w:val="Нет списка11312"/>
    <w:next w:val="NoList"/>
    <w:semiHidden/>
    <w:unhideWhenUsed/>
    <w:rsid w:val="008F7DB9"/>
  </w:style>
  <w:style w:type="numbering" w:customStyle="1" w:styleId="NoList5212">
    <w:name w:val="No List5212"/>
    <w:next w:val="NoList"/>
    <w:uiPriority w:val="99"/>
    <w:semiHidden/>
    <w:unhideWhenUsed/>
    <w:rsid w:val="008F7DB9"/>
  </w:style>
  <w:style w:type="numbering" w:customStyle="1" w:styleId="NoList12212">
    <w:name w:val="No List12212"/>
    <w:next w:val="NoList"/>
    <w:semiHidden/>
    <w:rsid w:val="008F7DB9"/>
  </w:style>
  <w:style w:type="numbering" w:customStyle="1" w:styleId="NoList112212">
    <w:name w:val="No List112212"/>
    <w:next w:val="NoList"/>
    <w:semiHidden/>
    <w:rsid w:val="008F7DB9"/>
  </w:style>
  <w:style w:type="numbering" w:customStyle="1" w:styleId="NoList1111212">
    <w:name w:val="No List1111212"/>
    <w:next w:val="NoList"/>
    <w:semiHidden/>
    <w:rsid w:val="008F7DB9"/>
  </w:style>
  <w:style w:type="numbering" w:customStyle="1" w:styleId="NoList21212">
    <w:name w:val="No List21212"/>
    <w:next w:val="NoList"/>
    <w:semiHidden/>
    <w:rsid w:val="008F7DB9"/>
  </w:style>
  <w:style w:type="table" w:customStyle="1" w:styleId="TableGrid2215">
    <w:name w:val="Table Grid22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8F7DB9"/>
  </w:style>
  <w:style w:type="table" w:customStyle="1" w:styleId="LightShading-Accent1112">
    <w:name w:val="Light Shading - Accent 111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2">
    <w:name w:val="Medium Grid 2 - Accent 111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2">
    <w:name w:val="Medium List 2 - Accent 511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2">
    <w:name w:val="Light List - Accent 15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2">
    <w:name w:val="Medium Grid 3 - Accent 511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2">
    <w:name w:val="Light Shading - Accent 511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2">
    <w:name w:val="Medium Grid 2 - Accent 511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2">
    <w:name w:val="Light Grid - Accent 111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2">
    <w:name w:val="Table List 43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2">
    <w:name w:val="Table List 412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2">
    <w:name w:val="Table Theme12"/>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2">
    <w:name w:val="Table Professional12"/>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20">
    <w:name w:val="Table Grid 612"/>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2">
    <w:name w:val="Table List 42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2">
    <w:name w:val="Table List 411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2">
    <w:name w:val="Style113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2">
    <w:name w:val="Style2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2">
    <w:name w:val="Style21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2">
    <w:name w:val="No List1612"/>
    <w:next w:val="NoList"/>
    <w:uiPriority w:val="99"/>
    <w:semiHidden/>
    <w:unhideWhenUsed/>
    <w:rsid w:val="008F7DB9"/>
  </w:style>
  <w:style w:type="table" w:customStyle="1" w:styleId="TableGrid614">
    <w:name w:val="Table Grid6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8F7DB9"/>
  </w:style>
  <w:style w:type="numbering" w:customStyle="1" w:styleId="NoList11612">
    <w:name w:val="No List11612"/>
    <w:next w:val="NoList"/>
    <w:semiHidden/>
    <w:rsid w:val="008F7DB9"/>
  </w:style>
  <w:style w:type="table" w:customStyle="1" w:styleId="TableGrid13120">
    <w:name w:val="Table Grid131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2">
    <w:name w:val="Light List - Accent 16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2">
    <w:name w:val="Medium Grid 2 - Accent 132"/>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2">
    <w:name w:val="Medium List 2 - Accent 532"/>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2">
    <w:name w:val="Medium Grid 3 - Accent 532"/>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2">
    <w:name w:val="Light Shading - Accent 532"/>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2">
    <w:name w:val="Medium Grid 2 - Accent 532"/>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2">
    <w:name w:val="Light Grid - Accent 132"/>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2">
    <w:name w:val="Light Shading - Accent 14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2">
    <w:name w:val="Medium Grid 2 - Accent 14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2">
    <w:name w:val="Medium List 2 - Accent 54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2">
    <w:name w:val="Light List - Accent 11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2">
    <w:name w:val="Medium Grid 3 - Accent 54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2">
    <w:name w:val="Light Shading - Accent 54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2">
    <w:name w:val="Medium Grid 2 - Accent 54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2">
    <w:name w:val="Light Grid - Accent 14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2">
    <w:name w:val="Light Shading - Accent 15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2">
    <w:name w:val="Medium Grid 2 - Accent 15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2">
    <w:name w:val="Medium List 2 - Accent 55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2">
    <w:name w:val="Light List - Accent 116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2">
    <w:name w:val="Medium Grid 3 - Accent 55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2">
    <w:name w:val="Light Shading - Accent 55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2">
    <w:name w:val="Medium Grid 2 - Accent 55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2">
    <w:name w:val="Light Grid - Accent 15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2">
    <w:name w:val="No List272"/>
    <w:next w:val="NoList"/>
    <w:uiPriority w:val="99"/>
    <w:semiHidden/>
    <w:unhideWhenUsed/>
    <w:rsid w:val="008F7DB9"/>
  </w:style>
  <w:style w:type="table" w:customStyle="1" w:styleId="TableGrid95">
    <w:name w:val="Table Grid9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2">
    <w:name w:val="Table List 76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2">
    <w:name w:val="Table Web 36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2">
    <w:name w:val="Table Elegant6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2">
    <w:name w:val="Table Web 26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2">
    <w:name w:val="Table Web 16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2">
    <w:name w:val="Table Grid 86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2">
    <w:name w:val="Table Contemporary6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2">
    <w:name w:val="No List1192"/>
    <w:next w:val="NoList"/>
    <w:semiHidden/>
    <w:unhideWhenUsed/>
    <w:rsid w:val="008F7DB9"/>
  </w:style>
  <w:style w:type="numbering" w:customStyle="1" w:styleId="NoList282">
    <w:name w:val="No List282"/>
    <w:next w:val="NoList"/>
    <w:semiHidden/>
    <w:unhideWhenUsed/>
    <w:rsid w:val="008F7DB9"/>
  </w:style>
  <w:style w:type="numbering" w:customStyle="1" w:styleId="NoList372">
    <w:name w:val="No List372"/>
    <w:next w:val="NoList"/>
    <w:semiHidden/>
    <w:unhideWhenUsed/>
    <w:rsid w:val="008F7DB9"/>
  </w:style>
  <w:style w:type="table" w:customStyle="1" w:styleId="LightList-Accent1172">
    <w:name w:val="Light List - Accent 117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2">
    <w:name w:val="Table Grid 76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2">
    <w:name w:val="Colorful Grid - Accent 17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2">
    <w:name w:val="Light List - Accent 57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2">
    <w:name w:val="Table Simple 36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2">
    <w:name w:val="Table Grid 56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2">
    <w:name w:val="Table Grid 36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2">
    <w:name w:val="Table Grid 16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2">
    <w:name w:val="Table Columns 56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2">
    <w:name w:val="Light List - Accent 118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2">
    <w:name w:val="Нет списка172"/>
    <w:next w:val="NoList"/>
    <w:semiHidden/>
    <w:unhideWhenUsed/>
    <w:rsid w:val="008F7DB9"/>
  </w:style>
  <w:style w:type="table" w:customStyle="1" w:styleId="ColorfulGrid-Accent1162">
    <w:name w:val="Colorful Grid - Accent 116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2">
    <w:name w:val="Light List - Accent 516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2">
    <w:name w:val="No List462"/>
    <w:next w:val="NoList"/>
    <w:semiHidden/>
    <w:rsid w:val="008F7DB9"/>
  </w:style>
  <w:style w:type="numbering" w:customStyle="1" w:styleId="NoList11102">
    <w:name w:val="No List11102"/>
    <w:next w:val="NoList"/>
    <w:semiHidden/>
    <w:unhideWhenUsed/>
    <w:rsid w:val="008F7DB9"/>
  </w:style>
  <w:style w:type="table" w:customStyle="1" w:styleId="Table3Deffects362">
    <w:name w:val="Table 3D effects 36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NoList"/>
    <w:semiHidden/>
    <w:unhideWhenUsed/>
    <w:rsid w:val="008F7DB9"/>
  </w:style>
  <w:style w:type="table" w:customStyle="1" w:styleId="LightShading-Accent162">
    <w:name w:val="Light Shading - Accent 16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2">
    <w:name w:val="Medium Grid 2 - Accent 16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2">
    <w:name w:val="Medium List 2 - Accent 56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2">
    <w:name w:val="Light List - Accent 15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2">
    <w:name w:val="Medium Grid 3 - Accent 56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2">
    <w:name w:val="Light Shading - Accent 56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2">
    <w:name w:val="Medium Grid 2 - Accent 56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2">
    <w:name w:val="Light Grid - Accent 16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2">
    <w:name w:val="Style114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2">
    <w:name w:val="Style2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2">
    <w:name w:val="Style21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2">
    <w:name w:val="Light Shading - Accent 1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2">
    <w:name w:val="Medium Grid 2 - Accent 1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2">
    <w:name w:val="Medium List 2 - Accent 51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2">
    <w:name w:val="Light List - Accent 16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2">
    <w:name w:val="Medium Grid 3 - Accent 51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2">
    <w:name w:val="Light Shading - Accent 51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2">
    <w:name w:val="Medium Grid 2 - Accent 51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2">
    <w:name w:val="Light Grid - Accent 1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2">
    <w:name w:val="No List292"/>
    <w:next w:val="NoList"/>
    <w:uiPriority w:val="99"/>
    <w:semiHidden/>
    <w:unhideWhenUsed/>
    <w:rsid w:val="008F7DB9"/>
  </w:style>
  <w:style w:type="table" w:customStyle="1" w:styleId="TableGrid105">
    <w:name w:val="Table Grid10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2">
    <w:name w:val="No List1202"/>
    <w:next w:val="NoList"/>
    <w:uiPriority w:val="99"/>
    <w:semiHidden/>
    <w:unhideWhenUsed/>
    <w:rsid w:val="008F7DB9"/>
  </w:style>
  <w:style w:type="numbering" w:customStyle="1" w:styleId="NoList11152">
    <w:name w:val="No List11152"/>
    <w:next w:val="NoList"/>
    <w:semiHidden/>
    <w:rsid w:val="008F7DB9"/>
  </w:style>
  <w:style w:type="table" w:customStyle="1" w:styleId="TableGrid1520">
    <w:name w:val="Table Grid15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8F7DB9"/>
  </w:style>
  <w:style w:type="table" w:customStyle="1" w:styleId="LightShading-Accent172">
    <w:name w:val="Light Shading - Accent 17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2">
    <w:name w:val="Medium Grid 2 - Accent 17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2">
    <w:name w:val="Medium List 2 - Accent 57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2">
    <w:name w:val="Light List - Accent 119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2">
    <w:name w:val="Medium Grid 3 - Accent 57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2">
    <w:name w:val="Light Shading - Accent 57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2">
    <w:name w:val="Medium Grid 2 - Accent 57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2">
    <w:name w:val="Light Grid - Accent 17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2">
    <w:name w:val="No List382"/>
    <w:next w:val="NoList"/>
    <w:uiPriority w:val="99"/>
    <w:semiHidden/>
    <w:unhideWhenUsed/>
    <w:rsid w:val="008F7DB9"/>
  </w:style>
  <w:style w:type="table" w:customStyle="1" w:styleId="TableGrid1620">
    <w:name w:val="Table Grid162"/>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8F7DB9"/>
  </w:style>
  <w:style w:type="numbering" w:customStyle="1" w:styleId="NoList11162">
    <w:name w:val="No List11162"/>
    <w:next w:val="NoList"/>
    <w:semiHidden/>
    <w:rsid w:val="008F7DB9"/>
  </w:style>
  <w:style w:type="table" w:customStyle="1" w:styleId="TableGrid172">
    <w:name w:val="Table Grid17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2">
    <w:name w:val="Light Shading - Accent 18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2">
    <w:name w:val="Medium Grid 2 - Accent 18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2">
    <w:name w:val="Medium List 2 - Accent 58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2">
    <w:name w:val="Light List - Accent 12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2">
    <w:name w:val="Medium Grid 3 - Accent 58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2">
    <w:name w:val="Light Shading - Accent 58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2">
    <w:name w:val="Medium Grid 2 - Accent 58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2">
    <w:name w:val="Light Grid - Accent 18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2">
    <w:name w:val="Light Shading - Accent 19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2">
    <w:name w:val="Medium Grid 2 - Accent 19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2">
    <w:name w:val="Medium List 2 - Accent 59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2">
    <w:name w:val="Light List - Accent 12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2">
    <w:name w:val="Medium Grid 3 - Accent 59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2">
    <w:name w:val="Light Shading - Accent 59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2">
    <w:name w:val="Medium Grid 2 - Accent 59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2">
    <w:name w:val="Light Grid - Accent 19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3">
    <w:name w:val="Style1153"/>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2">
    <w:name w:val="Style21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2">
    <w:name w:val="No List392"/>
    <w:next w:val="NoList"/>
    <w:uiPriority w:val="99"/>
    <w:semiHidden/>
    <w:unhideWhenUsed/>
    <w:rsid w:val="008F7DB9"/>
  </w:style>
  <w:style w:type="table" w:customStyle="1" w:styleId="TableGrid182">
    <w:name w:val="Table Grid18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8F7DB9"/>
  </w:style>
  <w:style w:type="numbering" w:customStyle="1" w:styleId="NoList11172">
    <w:name w:val="No List11172"/>
    <w:next w:val="NoList"/>
    <w:semiHidden/>
    <w:rsid w:val="008F7DB9"/>
  </w:style>
  <w:style w:type="table" w:customStyle="1" w:styleId="TableGrid192">
    <w:name w:val="Table Grid19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2">
    <w:name w:val="Style115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2">
    <w:name w:val="Style216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2">
    <w:name w:val="No List402"/>
    <w:next w:val="NoList"/>
    <w:uiPriority w:val="99"/>
    <w:semiHidden/>
    <w:unhideWhenUsed/>
    <w:rsid w:val="008F7DB9"/>
  </w:style>
  <w:style w:type="table" w:customStyle="1" w:styleId="TableGrid202">
    <w:name w:val="Table Grid202"/>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2">
    <w:name w:val="Light Shading - Accent 110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2">
    <w:name w:val="Light List - Accent 582"/>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2">
    <w:name w:val="Medium List 2 - Accent 112"/>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2">
    <w:name w:val="Medium Grid 2 - Accent 110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2">
    <w:name w:val="Medium Grid 3 - Accent 612"/>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2">
    <w:name w:val="Medium List 2 - Accent 510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2">
    <w:name w:val="Light List - Accent 123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2">
    <w:name w:val="Medium List 1 - Accent 512"/>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2">
    <w:name w:val="Medium Grid 3 - Accent 510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2">
    <w:name w:val="Light Shading - Accent 510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2">
    <w:name w:val="Medium Grid 2 - Accent 510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2">
    <w:name w:val="Light List - Accent 312"/>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2">
    <w:name w:val="Medium List 2 - Accent 312"/>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2">
    <w:name w:val="Light Grid - Accent 110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2">
    <w:name w:val="No List472"/>
    <w:next w:val="NoList"/>
    <w:uiPriority w:val="99"/>
    <w:semiHidden/>
    <w:unhideWhenUsed/>
    <w:rsid w:val="008F7DB9"/>
  </w:style>
  <w:style w:type="table" w:customStyle="1" w:styleId="TableGrid242">
    <w:name w:val="Table Grid24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2">
    <w:name w:val="No List1262"/>
    <w:next w:val="NoList"/>
    <w:uiPriority w:val="99"/>
    <w:semiHidden/>
    <w:unhideWhenUsed/>
    <w:rsid w:val="008F7DB9"/>
  </w:style>
  <w:style w:type="numbering" w:customStyle="1" w:styleId="NoList11182">
    <w:name w:val="No List11182"/>
    <w:next w:val="NoList"/>
    <w:semiHidden/>
    <w:rsid w:val="008F7DB9"/>
  </w:style>
  <w:style w:type="table" w:customStyle="1" w:styleId="TableGrid11020">
    <w:name w:val="Table Grid110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semiHidden/>
    <w:rsid w:val="008F7DB9"/>
  </w:style>
  <w:style w:type="numbering" w:customStyle="1" w:styleId="NoList1271">
    <w:name w:val="No List1271"/>
    <w:next w:val="NoList"/>
    <w:semiHidden/>
    <w:rsid w:val="008F7DB9"/>
  </w:style>
  <w:style w:type="numbering" w:customStyle="1" w:styleId="NoList2101">
    <w:name w:val="No List2101"/>
    <w:next w:val="NoList"/>
    <w:semiHidden/>
    <w:rsid w:val="008F7DB9"/>
  </w:style>
  <w:style w:type="numbering" w:customStyle="1" w:styleId="NoList491">
    <w:name w:val="No List491"/>
    <w:next w:val="NoList"/>
    <w:uiPriority w:val="99"/>
    <w:semiHidden/>
    <w:unhideWhenUsed/>
    <w:rsid w:val="008F7DB9"/>
  </w:style>
  <w:style w:type="table" w:customStyle="1" w:styleId="TableGrid251">
    <w:name w:val="Table Grid251"/>
    <w:basedOn w:val="TableNormal"/>
    <w:next w:val="TableGrid"/>
    <w:uiPriority w:val="39"/>
    <w:rsid w:val="008F7DB9"/>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8F7DB9"/>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1">
    <w:name w:val="Table Grid26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NoList"/>
    <w:uiPriority w:val="99"/>
    <w:semiHidden/>
    <w:unhideWhenUsed/>
    <w:rsid w:val="008F7DB9"/>
  </w:style>
  <w:style w:type="numbering" w:customStyle="1" w:styleId="NoList1281">
    <w:name w:val="No List1281"/>
    <w:next w:val="NoList"/>
    <w:uiPriority w:val="99"/>
    <w:semiHidden/>
    <w:unhideWhenUsed/>
    <w:rsid w:val="008F7DB9"/>
  </w:style>
  <w:style w:type="table" w:customStyle="1" w:styleId="TableGrid271">
    <w:name w:val="Table Grid27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semiHidden/>
    <w:unhideWhenUsed/>
    <w:rsid w:val="008F7DB9"/>
  </w:style>
  <w:style w:type="numbering" w:customStyle="1" w:styleId="NoList111101">
    <w:name w:val="No List111101"/>
    <w:next w:val="NoList"/>
    <w:semiHidden/>
    <w:rsid w:val="008F7DB9"/>
  </w:style>
  <w:style w:type="table" w:customStyle="1" w:styleId="TableGrid1123">
    <w:name w:val="Table Grid11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1">
    <w:name w:val="No List111141"/>
    <w:next w:val="NoList"/>
    <w:semiHidden/>
    <w:rsid w:val="008F7DB9"/>
  </w:style>
  <w:style w:type="numbering" w:customStyle="1" w:styleId="NoList2141">
    <w:name w:val="No List2141"/>
    <w:next w:val="NoList"/>
    <w:semiHidden/>
    <w:rsid w:val="008F7DB9"/>
  </w:style>
  <w:style w:type="numbering" w:customStyle="1" w:styleId="NoList3101">
    <w:name w:val="No List3101"/>
    <w:next w:val="NoList"/>
    <w:semiHidden/>
    <w:unhideWhenUsed/>
    <w:rsid w:val="008F7DB9"/>
  </w:style>
  <w:style w:type="table" w:customStyle="1" w:styleId="TableList771">
    <w:name w:val="Table List 77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1">
    <w:name w:val="Table Web 37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1">
    <w:name w:val="Table Elegant7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1">
    <w:name w:val="Table Web 27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1">
    <w:name w:val="Table Web 17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1">
    <w:name w:val="Table Grid 87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1">
    <w:name w:val="Table Contemporary7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1">
    <w:name w:val="Light List - Accent 124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1">
    <w:name w:val="Table Grid 77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1">
    <w:name w:val="Colorful Grid - Accent 18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1">
    <w:name w:val="Light List - Accent 59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1">
    <w:name w:val="Table Simple 37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1">
    <w:name w:val="Table Grid 57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1">
    <w:name w:val="Table Grid 37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10">
    <w:name w:val="Table Grid 17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1">
    <w:name w:val="Table Columns 57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1">
    <w:name w:val="Light List - Accent 1110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1">
    <w:name w:val="Нет списка181"/>
    <w:next w:val="NoList"/>
    <w:semiHidden/>
    <w:unhideWhenUsed/>
    <w:rsid w:val="008F7DB9"/>
  </w:style>
  <w:style w:type="table" w:customStyle="1" w:styleId="ColorfulGrid-Accent1171">
    <w:name w:val="Colorful Grid - Accent 117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1">
    <w:name w:val="Light List - Accent 517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1">
    <w:name w:val="No List4101"/>
    <w:next w:val="NoList"/>
    <w:semiHidden/>
    <w:rsid w:val="008F7DB9"/>
  </w:style>
  <w:style w:type="table" w:customStyle="1" w:styleId="Table3Deffects371">
    <w:name w:val="Table 3D effects 37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
    <w:name w:val="Нет списка1171"/>
    <w:next w:val="NoList"/>
    <w:semiHidden/>
    <w:unhideWhenUsed/>
    <w:rsid w:val="008F7DB9"/>
  </w:style>
  <w:style w:type="numbering" w:customStyle="1" w:styleId="NoList541">
    <w:name w:val="No List541"/>
    <w:next w:val="NoList"/>
    <w:uiPriority w:val="99"/>
    <w:semiHidden/>
    <w:unhideWhenUsed/>
    <w:rsid w:val="008F7DB9"/>
  </w:style>
  <w:style w:type="numbering" w:customStyle="1" w:styleId="NoList1291">
    <w:name w:val="No List1291"/>
    <w:next w:val="NoList"/>
    <w:semiHidden/>
    <w:rsid w:val="008F7DB9"/>
  </w:style>
  <w:style w:type="numbering" w:customStyle="1" w:styleId="NoList11241">
    <w:name w:val="No List11241"/>
    <w:next w:val="NoList"/>
    <w:semiHidden/>
    <w:rsid w:val="008F7DB9"/>
  </w:style>
  <w:style w:type="numbering" w:customStyle="1" w:styleId="NoList1111121">
    <w:name w:val="No List1111121"/>
    <w:next w:val="NoList"/>
    <w:semiHidden/>
    <w:rsid w:val="008F7DB9"/>
  </w:style>
  <w:style w:type="numbering" w:customStyle="1" w:styleId="NoList2151">
    <w:name w:val="No List2151"/>
    <w:next w:val="NoList"/>
    <w:semiHidden/>
    <w:rsid w:val="008F7DB9"/>
  </w:style>
  <w:style w:type="table" w:customStyle="1" w:styleId="TableGrid281">
    <w:name w:val="Table Grid28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8F7DB9"/>
  </w:style>
  <w:style w:type="numbering" w:customStyle="1" w:styleId="NoList623">
    <w:name w:val="No List623"/>
    <w:next w:val="NoList"/>
    <w:uiPriority w:val="99"/>
    <w:semiHidden/>
    <w:unhideWhenUsed/>
    <w:rsid w:val="008F7DB9"/>
  </w:style>
  <w:style w:type="numbering" w:customStyle="1" w:styleId="NoList723">
    <w:name w:val="No List723"/>
    <w:next w:val="NoList"/>
    <w:uiPriority w:val="99"/>
    <w:semiHidden/>
    <w:unhideWhenUsed/>
    <w:rsid w:val="008F7DB9"/>
  </w:style>
  <w:style w:type="table" w:customStyle="1" w:styleId="TableGrid3230">
    <w:name w:val="Table Grid3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semiHidden/>
    <w:unhideWhenUsed/>
    <w:rsid w:val="008F7DB9"/>
  </w:style>
  <w:style w:type="numbering" w:customStyle="1" w:styleId="NoList11321">
    <w:name w:val="No List11321"/>
    <w:next w:val="NoList"/>
    <w:semiHidden/>
    <w:rsid w:val="008F7DB9"/>
  </w:style>
  <w:style w:type="table" w:customStyle="1" w:styleId="TableGrid11310">
    <w:name w:val="Table Grid113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1">
    <w:name w:val="No List111221"/>
    <w:next w:val="NoList"/>
    <w:semiHidden/>
    <w:rsid w:val="008F7DB9"/>
  </w:style>
  <w:style w:type="numbering" w:customStyle="1" w:styleId="NoList2222">
    <w:name w:val="No List2222"/>
    <w:next w:val="NoList"/>
    <w:semiHidden/>
    <w:rsid w:val="008F7DB9"/>
  </w:style>
  <w:style w:type="numbering" w:customStyle="1" w:styleId="NoList3222">
    <w:name w:val="No List3222"/>
    <w:next w:val="NoList"/>
    <w:semiHidden/>
    <w:unhideWhenUsed/>
    <w:rsid w:val="008F7DB9"/>
  </w:style>
  <w:style w:type="table" w:customStyle="1" w:styleId="TableList7123">
    <w:name w:val="Table List 712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3">
    <w:name w:val="Table Web 312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3">
    <w:name w:val="Table Elegant12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3">
    <w:name w:val="Table Web 212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3">
    <w:name w:val="Table Web 112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3">
    <w:name w:val="Table Grid 812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3">
    <w:name w:val="Table Contemporary12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1">
    <w:name w:val="Light List - Accent 125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3">
    <w:name w:val="Table Grid 712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3">
    <w:name w:val="Colorful Grid - Accent 122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3">
    <w:name w:val="Light List - Accent 522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3">
    <w:name w:val="Table Simple 312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3">
    <w:name w:val="Table Grid 512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3">
    <w:name w:val="Table Grid 312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30">
    <w:name w:val="Table Grid 112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3">
    <w:name w:val="Table Columns 512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1">
    <w:name w:val="Light List - Accent 111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3">
    <w:name w:val="Нет списка1223"/>
    <w:next w:val="NoList"/>
    <w:uiPriority w:val="99"/>
    <w:semiHidden/>
    <w:unhideWhenUsed/>
    <w:rsid w:val="008F7DB9"/>
  </w:style>
  <w:style w:type="table" w:customStyle="1" w:styleId="ColorfulGrid-Accent11121">
    <w:name w:val="Colorful Grid - Accent 111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1">
    <w:name w:val="Light List - Accent 511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3">
    <w:name w:val="No List4123"/>
    <w:next w:val="NoList"/>
    <w:semiHidden/>
    <w:rsid w:val="008F7DB9"/>
  </w:style>
  <w:style w:type="table" w:customStyle="1" w:styleId="Table3Deffects3123">
    <w:name w:val="Table 3D effects 312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NoList"/>
    <w:semiHidden/>
    <w:unhideWhenUsed/>
    <w:rsid w:val="008F7DB9"/>
  </w:style>
  <w:style w:type="numbering" w:customStyle="1" w:styleId="NoList5122">
    <w:name w:val="No List5122"/>
    <w:next w:val="NoList"/>
    <w:uiPriority w:val="99"/>
    <w:semiHidden/>
    <w:unhideWhenUsed/>
    <w:rsid w:val="008F7DB9"/>
  </w:style>
  <w:style w:type="numbering" w:customStyle="1" w:styleId="NoList12122">
    <w:name w:val="No List12122"/>
    <w:next w:val="NoList"/>
    <w:semiHidden/>
    <w:rsid w:val="008F7DB9"/>
  </w:style>
  <w:style w:type="numbering" w:customStyle="1" w:styleId="NoList112121">
    <w:name w:val="No List112121"/>
    <w:next w:val="NoList"/>
    <w:semiHidden/>
    <w:rsid w:val="008F7DB9"/>
  </w:style>
  <w:style w:type="numbering" w:customStyle="1" w:styleId="NoList11111121">
    <w:name w:val="No List11111121"/>
    <w:next w:val="NoList"/>
    <w:semiHidden/>
    <w:rsid w:val="008F7DB9"/>
  </w:style>
  <w:style w:type="numbering" w:customStyle="1" w:styleId="NoList21122">
    <w:name w:val="No List21122"/>
    <w:next w:val="NoList"/>
    <w:semiHidden/>
    <w:rsid w:val="008F7DB9"/>
  </w:style>
  <w:style w:type="table" w:customStyle="1" w:styleId="TableGrid2121">
    <w:name w:val="Table Grid21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2">
    <w:name w:val="No List31122"/>
    <w:next w:val="NoList"/>
    <w:uiPriority w:val="99"/>
    <w:semiHidden/>
    <w:unhideWhenUsed/>
    <w:rsid w:val="008F7DB9"/>
  </w:style>
  <w:style w:type="numbering" w:customStyle="1" w:styleId="NoList823">
    <w:name w:val="No List823"/>
    <w:next w:val="NoList"/>
    <w:uiPriority w:val="99"/>
    <w:semiHidden/>
    <w:unhideWhenUsed/>
    <w:rsid w:val="008F7DB9"/>
  </w:style>
  <w:style w:type="numbering" w:customStyle="1" w:styleId="NoList922">
    <w:name w:val="No List922"/>
    <w:next w:val="NoList"/>
    <w:uiPriority w:val="99"/>
    <w:semiHidden/>
    <w:unhideWhenUsed/>
    <w:rsid w:val="008F7DB9"/>
  </w:style>
  <w:style w:type="table" w:customStyle="1" w:styleId="TableGrid423">
    <w:name w:val="Table Grid42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1">
    <w:name w:val="Table List 72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1">
    <w:name w:val="Table Web 32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1">
    <w:name w:val="Table Elegant2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1">
    <w:name w:val="Table Web 12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2">
    <w:name w:val="No List1422"/>
    <w:next w:val="NoList"/>
    <w:semiHidden/>
    <w:unhideWhenUsed/>
    <w:rsid w:val="008F7DB9"/>
  </w:style>
  <w:style w:type="numbering" w:customStyle="1" w:styleId="NoList2321">
    <w:name w:val="No List2321"/>
    <w:next w:val="NoList"/>
    <w:semiHidden/>
    <w:unhideWhenUsed/>
    <w:rsid w:val="008F7DB9"/>
  </w:style>
  <w:style w:type="numbering" w:customStyle="1" w:styleId="NoList3321">
    <w:name w:val="No List3321"/>
    <w:next w:val="NoList"/>
    <w:semiHidden/>
    <w:unhideWhenUsed/>
    <w:rsid w:val="008F7DB9"/>
  </w:style>
  <w:style w:type="table" w:customStyle="1" w:styleId="LightList-Accent1321">
    <w:name w:val="Light List - Accent 13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1">
    <w:name w:val="Table Grid 72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1">
    <w:name w:val="Colorful Grid - Accent 13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1">
    <w:name w:val="Light List - Accent 53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1">
    <w:name w:val="Table Simple 32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1">
    <w:name w:val="Table Grid 52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1">
    <w:name w:val="Table Grid 32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1">
    <w:name w:val="Table Grid 12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1">
    <w:name w:val="Light List - Accent 112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2">
    <w:name w:val="Нет списка1322"/>
    <w:next w:val="NoList"/>
    <w:semiHidden/>
    <w:unhideWhenUsed/>
    <w:rsid w:val="008F7DB9"/>
  </w:style>
  <w:style w:type="table" w:customStyle="1" w:styleId="ColorfulGrid-Accent11221">
    <w:name w:val="Colorful Grid - Accent 112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1">
    <w:name w:val="Light List - Accent 512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2">
    <w:name w:val="No List4222"/>
    <w:next w:val="NoList"/>
    <w:semiHidden/>
    <w:rsid w:val="008F7DB9"/>
  </w:style>
  <w:style w:type="numbering" w:customStyle="1" w:styleId="NoList11421">
    <w:name w:val="No List11421"/>
    <w:next w:val="NoList"/>
    <w:semiHidden/>
    <w:unhideWhenUsed/>
    <w:rsid w:val="008F7DB9"/>
  </w:style>
  <w:style w:type="table" w:customStyle="1" w:styleId="Table3Deffects3221">
    <w:name w:val="Table 3D effects 32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2">
    <w:name w:val="Нет списка11222"/>
    <w:next w:val="NoList"/>
    <w:semiHidden/>
    <w:unhideWhenUsed/>
    <w:rsid w:val="008F7DB9"/>
  </w:style>
  <w:style w:type="numbering" w:customStyle="1" w:styleId="NoList1022">
    <w:name w:val="No List1022"/>
    <w:next w:val="NoList"/>
    <w:uiPriority w:val="99"/>
    <w:semiHidden/>
    <w:unhideWhenUsed/>
    <w:rsid w:val="008F7DB9"/>
  </w:style>
  <w:style w:type="table" w:customStyle="1" w:styleId="TableGrid5210">
    <w:name w:val="Table Grid5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semiHidden/>
    <w:unhideWhenUsed/>
    <w:rsid w:val="008F7DB9"/>
  </w:style>
  <w:style w:type="numbering" w:customStyle="1" w:styleId="NoList11521">
    <w:name w:val="No List11521"/>
    <w:next w:val="NoList"/>
    <w:semiHidden/>
    <w:rsid w:val="008F7DB9"/>
  </w:style>
  <w:style w:type="table" w:customStyle="1" w:styleId="TableGrid12210">
    <w:name w:val="Table Grid12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1">
    <w:name w:val="No List111321"/>
    <w:next w:val="NoList"/>
    <w:semiHidden/>
    <w:rsid w:val="008F7DB9"/>
  </w:style>
  <w:style w:type="numbering" w:customStyle="1" w:styleId="NoList2421">
    <w:name w:val="No List2421"/>
    <w:next w:val="NoList"/>
    <w:semiHidden/>
    <w:rsid w:val="008F7DB9"/>
  </w:style>
  <w:style w:type="numbering" w:customStyle="1" w:styleId="NoList3421">
    <w:name w:val="No List3421"/>
    <w:next w:val="NoList"/>
    <w:semiHidden/>
    <w:unhideWhenUsed/>
    <w:rsid w:val="008F7DB9"/>
  </w:style>
  <w:style w:type="table" w:customStyle="1" w:styleId="TableList7321">
    <w:name w:val="Table List 73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1">
    <w:name w:val="Table Web 33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1">
    <w:name w:val="Table Elegant3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1">
    <w:name w:val="Table Web 23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1">
    <w:name w:val="Table Web 13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1">
    <w:name w:val="Table Grid 83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1">
    <w:name w:val="Table Contemporary3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1">
    <w:name w:val="Light List - Accent 14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1">
    <w:name w:val="Table Grid 73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1">
    <w:name w:val="Colorful Grid - Accent 14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1">
    <w:name w:val="Light List - Accent 54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1">
    <w:name w:val="Table Simple 33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1">
    <w:name w:val="Table Grid 53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1">
    <w:name w:val="Table Grid 33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1">
    <w:name w:val="Table Grid 13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1">
    <w:name w:val="Table Columns 53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1">
    <w:name w:val="Light List - Accent 113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1">
    <w:name w:val="Нет списка1421"/>
    <w:next w:val="NoList"/>
    <w:semiHidden/>
    <w:unhideWhenUsed/>
    <w:rsid w:val="008F7DB9"/>
  </w:style>
  <w:style w:type="table" w:customStyle="1" w:styleId="ColorfulGrid-Accent11321">
    <w:name w:val="Colorful Grid - Accent 113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1">
    <w:name w:val="Light List - Accent 513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1">
    <w:name w:val="No List4321"/>
    <w:next w:val="NoList"/>
    <w:semiHidden/>
    <w:rsid w:val="008F7DB9"/>
  </w:style>
  <w:style w:type="table" w:customStyle="1" w:styleId="Table3Deffects3321">
    <w:name w:val="Table 3D effects 33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1">
    <w:name w:val="Нет списка11321"/>
    <w:next w:val="NoList"/>
    <w:semiHidden/>
    <w:unhideWhenUsed/>
    <w:rsid w:val="008F7DB9"/>
  </w:style>
  <w:style w:type="numbering" w:customStyle="1" w:styleId="NoList5221">
    <w:name w:val="No List5221"/>
    <w:next w:val="NoList"/>
    <w:uiPriority w:val="99"/>
    <w:semiHidden/>
    <w:unhideWhenUsed/>
    <w:rsid w:val="008F7DB9"/>
  </w:style>
  <w:style w:type="numbering" w:customStyle="1" w:styleId="NoList12221">
    <w:name w:val="No List12221"/>
    <w:next w:val="NoList"/>
    <w:semiHidden/>
    <w:rsid w:val="008F7DB9"/>
  </w:style>
  <w:style w:type="numbering" w:customStyle="1" w:styleId="NoList112221">
    <w:name w:val="No List112221"/>
    <w:next w:val="NoList"/>
    <w:semiHidden/>
    <w:rsid w:val="008F7DB9"/>
  </w:style>
  <w:style w:type="numbering" w:customStyle="1" w:styleId="NoList1111221">
    <w:name w:val="No List1111221"/>
    <w:next w:val="NoList"/>
    <w:semiHidden/>
    <w:rsid w:val="008F7DB9"/>
  </w:style>
  <w:style w:type="numbering" w:customStyle="1" w:styleId="NoList21221">
    <w:name w:val="No List21221"/>
    <w:next w:val="NoList"/>
    <w:semiHidden/>
    <w:rsid w:val="008F7DB9"/>
  </w:style>
  <w:style w:type="table" w:customStyle="1" w:styleId="TableGrid2221">
    <w:name w:val="Table Grid22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1">
    <w:name w:val="No List31221"/>
    <w:next w:val="NoList"/>
    <w:uiPriority w:val="99"/>
    <w:semiHidden/>
    <w:unhideWhenUsed/>
    <w:rsid w:val="008F7DB9"/>
  </w:style>
  <w:style w:type="table" w:customStyle="1" w:styleId="LightShading-Accent1131">
    <w:name w:val="Light Shading - Accent 113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1">
    <w:name w:val="Medium Grid 2 - Accent 113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1">
    <w:name w:val="Medium List 2 - Accent 513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1">
    <w:name w:val="Light List - Accent 15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1">
    <w:name w:val="Medium Grid 3 - Accent 513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1">
    <w:name w:val="Light Shading - Accent 513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1">
    <w:name w:val="Medium Grid 2 - Accent 513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1">
    <w:name w:val="Light Grid - Accent 113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1">
    <w:name w:val="Table List 44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1">
    <w:name w:val="Table List 413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1">
    <w:name w:val="Table Theme2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1">
    <w:name w:val="Table Professional2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1">
    <w:name w:val="Table Grid 62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1">
    <w:name w:val="Table List 42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1">
    <w:name w:val="Table List 411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1">
    <w:name w:val="Style116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1">
    <w:name w:val="Style217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1">
    <w:name w:val="Style2116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1">
    <w:name w:val="No List1621"/>
    <w:next w:val="NoList"/>
    <w:uiPriority w:val="99"/>
    <w:semiHidden/>
    <w:unhideWhenUsed/>
    <w:rsid w:val="008F7DB9"/>
  </w:style>
  <w:style w:type="table" w:customStyle="1" w:styleId="TableGrid6210">
    <w:name w:val="Table Grid62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8F7DB9"/>
  </w:style>
  <w:style w:type="numbering" w:customStyle="1" w:styleId="NoList11621">
    <w:name w:val="No List11621"/>
    <w:next w:val="NoList"/>
    <w:semiHidden/>
    <w:rsid w:val="008F7DB9"/>
  </w:style>
  <w:style w:type="table" w:customStyle="1" w:styleId="TableGrid13210">
    <w:name w:val="Table Grid132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1">
    <w:name w:val="Light List - Accent 16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1">
    <w:name w:val="Light Shading - Accent 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1">
    <w:name w:val="Medium Grid 2 - Accent 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1">
    <w:name w:val="Medium List 2 - Accent 5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1">
    <w:name w:val="Light List - Accent 17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1">
    <w:name w:val="Medium Grid 3 - Accent 5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1">
    <w:name w:val="Light Shading - Accent 5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1">
    <w:name w:val="Medium Grid 2 - Accent 5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1">
    <w:name w:val="Light Grid - Accent 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2">
    <w:name w:val="No List1812"/>
    <w:next w:val="NoList"/>
    <w:uiPriority w:val="99"/>
    <w:semiHidden/>
    <w:unhideWhenUsed/>
    <w:rsid w:val="008F7DB9"/>
  </w:style>
  <w:style w:type="table" w:customStyle="1" w:styleId="TableGrid7130">
    <w:name w:val="Table Grid7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1">
    <w:name w:val="Table List 74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1">
    <w:name w:val="Table Web 34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1">
    <w:name w:val="Table Elegant4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1">
    <w:name w:val="Table Web 24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1">
    <w:name w:val="Table Web 14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1">
    <w:name w:val="Table Grid 84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1">
    <w:name w:val="Table Contemporary4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1">
    <w:name w:val="No List1911"/>
    <w:next w:val="NoList"/>
    <w:semiHidden/>
    <w:unhideWhenUsed/>
    <w:rsid w:val="008F7DB9"/>
  </w:style>
  <w:style w:type="numbering" w:customStyle="1" w:styleId="NoList2511">
    <w:name w:val="No List2511"/>
    <w:next w:val="NoList"/>
    <w:semiHidden/>
    <w:unhideWhenUsed/>
    <w:rsid w:val="008F7DB9"/>
  </w:style>
  <w:style w:type="numbering" w:customStyle="1" w:styleId="NoList3511">
    <w:name w:val="No List3511"/>
    <w:next w:val="NoList"/>
    <w:semiHidden/>
    <w:unhideWhenUsed/>
    <w:rsid w:val="008F7DB9"/>
  </w:style>
  <w:style w:type="table" w:customStyle="1" w:styleId="LightList-Accent1811">
    <w:name w:val="Light List - Accent 18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1">
    <w:name w:val="Table Grid 74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1">
    <w:name w:val="Colorful Grid - Accent 15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1">
    <w:name w:val="Light List - Accent 55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1">
    <w:name w:val="Table Simple 34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1">
    <w:name w:val="Table Grid 54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1">
    <w:name w:val="Table Grid 34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10">
    <w:name w:val="Table Grid 14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1">
    <w:name w:val="Table Columns 54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1">
    <w:name w:val="Light List - Accent 114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2">
    <w:name w:val="Нет списка1512"/>
    <w:next w:val="NoList"/>
    <w:semiHidden/>
    <w:unhideWhenUsed/>
    <w:rsid w:val="008F7DB9"/>
  </w:style>
  <w:style w:type="table" w:customStyle="1" w:styleId="ColorfulGrid-Accent11411">
    <w:name w:val="Colorful Grid - Accent 114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1">
    <w:name w:val="Light List - Accent 514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2">
    <w:name w:val="No List4412"/>
    <w:next w:val="NoList"/>
    <w:semiHidden/>
    <w:rsid w:val="008F7DB9"/>
  </w:style>
  <w:style w:type="numbering" w:customStyle="1" w:styleId="NoList11711">
    <w:name w:val="No List11711"/>
    <w:next w:val="NoList"/>
    <w:semiHidden/>
    <w:unhideWhenUsed/>
    <w:rsid w:val="008F7DB9"/>
  </w:style>
  <w:style w:type="table" w:customStyle="1" w:styleId="Table3Deffects3411">
    <w:name w:val="Table 3D effects 34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2">
    <w:name w:val="Нет списка11412"/>
    <w:next w:val="NoList"/>
    <w:semiHidden/>
    <w:unhideWhenUsed/>
    <w:rsid w:val="008F7DB9"/>
  </w:style>
  <w:style w:type="table" w:customStyle="1" w:styleId="Style11111">
    <w:name w:val="Style11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1">
    <w:name w:val="Style2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1">
    <w:name w:val="Style2111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1">
    <w:name w:val="Style112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1">
    <w:name w:val="Style2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1">
    <w:name w:val="Style21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1">
    <w:name w:val="No List2011"/>
    <w:next w:val="NoList"/>
    <w:uiPriority w:val="99"/>
    <w:semiHidden/>
    <w:unhideWhenUsed/>
    <w:rsid w:val="008F7DB9"/>
  </w:style>
  <w:style w:type="numbering" w:customStyle="1" w:styleId="NoList11011">
    <w:name w:val="No List11011"/>
    <w:next w:val="NoList"/>
    <w:uiPriority w:val="99"/>
    <w:semiHidden/>
    <w:unhideWhenUsed/>
    <w:rsid w:val="008F7DB9"/>
  </w:style>
  <w:style w:type="table" w:customStyle="1" w:styleId="TableGrid8130">
    <w:name w:val="Table Grid8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1">
    <w:name w:val="No List11811"/>
    <w:next w:val="NoList"/>
    <w:semiHidden/>
    <w:unhideWhenUsed/>
    <w:rsid w:val="008F7DB9"/>
  </w:style>
  <w:style w:type="numbering" w:customStyle="1" w:styleId="NoList111411">
    <w:name w:val="No List111411"/>
    <w:next w:val="NoList"/>
    <w:semiHidden/>
    <w:rsid w:val="008F7DB9"/>
  </w:style>
  <w:style w:type="table" w:customStyle="1" w:styleId="TableGrid1413">
    <w:name w:val="Table Grid14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2">
    <w:name w:val="No List1111312"/>
    <w:next w:val="NoList"/>
    <w:semiHidden/>
    <w:rsid w:val="008F7DB9"/>
  </w:style>
  <w:style w:type="numbering" w:customStyle="1" w:styleId="NoList2611">
    <w:name w:val="No List2611"/>
    <w:next w:val="NoList"/>
    <w:semiHidden/>
    <w:rsid w:val="008F7DB9"/>
  </w:style>
  <w:style w:type="numbering" w:customStyle="1" w:styleId="NoList3611">
    <w:name w:val="No List3611"/>
    <w:next w:val="NoList"/>
    <w:semiHidden/>
    <w:unhideWhenUsed/>
    <w:rsid w:val="008F7DB9"/>
  </w:style>
  <w:style w:type="table" w:customStyle="1" w:styleId="TableList7511">
    <w:name w:val="Table List 75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1">
    <w:name w:val="Table Web 35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1">
    <w:name w:val="Table Elegant5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1">
    <w:name w:val="Table Web 25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1">
    <w:name w:val="Table Web 15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1">
    <w:name w:val="Table Grid 85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1">
    <w:name w:val="Table Contemporary5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1">
    <w:name w:val="Light List - Accent 19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1">
    <w:name w:val="Table Grid 75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1">
    <w:name w:val="Colorful Grid - Accent 16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1">
    <w:name w:val="Light List - Accent 56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1">
    <w:name w:val="Table Simple 35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1">
    <w:name w:val="Table Grid 55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1">
    <w:name w:val="Table Grid 35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1">
    <w:name w:val="Table Grid 15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1">
    <w:name w:val="Table Columns 55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1">
    <w:name w:val="Light List - Accent 115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1">
    <w:name w:val="Нет списка1611"/>
    <w:next w:val="NoList"/>
    <w:semiHidden/>
    <w:unhideWhenUsed/>
    <w:rsid w:val="008F7DB9"/>
  </w:style>
  <w:style w:type="table" w:customStyle="1" w:styleId="ColorfulGrid-Accent11511">
    <w:name w:val="Colorful Grid - Accent 115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1">
    <w:name w:val="Light List - Accent 515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1">
    <w:name w:val="No List4511"/>
    <w:next w:val="NoList"/>
    <w:semiHidden/>
    <w:rsid w:val="008F7DB9"/>
  </w:style>
  <w:style w:type="table" w:customStyle="1" w:styleId="Table3Deffects3511">
    <w:name w:val="Table 3D effects 35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1">
    <w:name w:val="Нет списка11511"/>
    <w:next w:val="NoList"/>
    <w:semiHidden/>
    <w:unhideWhenUsed/>
    <w:rsid w:val="008F7DB9"/>
  </w:style>
  <w:style w:type="numbering" w:customStyle="1" w:styleId="NoList5312">
    <w:name w:val="No List5312"/>
    <w:next w:val="NoList"/>
    <w:uiPriority w:val="99"/>
    <w:semiHidden/>
    <w:unhideWhenUsed/>
    <w:rsid w:val="008F7DB9"/>
  </w:style>
  <w:style w:type="numbering" w:customStyle="1" w:styleId="NoList12312">
    <w:name w:val="No List12312"/>
    <w:next w:val="NoList"/>
    <w:semiHidden/>
    <w:rsid w:val="008F7DB9"/>
  </w:style>
  <w:style w:type="numbering" w:customStyle="1" w:styleId="NoList112311">
    <w:name w:val="No List112311"/>
    <w:next w:val="NoList"/>
    <w:semiHidden/>
    <w:rsid w:val="008F7DB9"/>
  </w:style>
  <w:style w:type="numbering" w:customStyle="1" w:styleId="NoList1111111112">
    <w:name w:val="No List1111111112"/>
    <w:next w:val="NoList"/>
    <w:semiHidden/>
    <w:rsid w:val="008F7DB9"/>
  </w:style>
  <w:style w:type="numbering" w:customStyle="1" w:styleId="NoList21312">
    <w:name w:val="No List21312"/>
    <w:next w:val="NoList"/>
    <w:semiHidden/>
    <w:rsid w:val="008F7DB9"/>
  </w:style>
  <w:style w:type="table" w:customStyle="1" w:styleId="TableGrid2311">
    <w:name w:val="Table Grid23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2">
    <w:name w:val="No List31312"/>
    <w:next w:val="NoList"/>
    <w:uiPriority w:val="99"/>
    <w:semiHidden/>
    <w:unhideWhenUsed/>
    <w:rsid w:val="008F7DB9"/>
  </w:style>
  <w:style w:type="numbering" w:customStyle="1" w:styleId="NoList6113">
    <w:name w:val="No List6113"/>
    <w:next w:val="NoList"/>
    <w:uiPriority w:val="99"/>
    <w:semiHidden/>
    <w:unhideWhenUsed/>
    <w:rsid w:val="008F7DB9"/>
  </w:style>
  <w:style w:type="numbering" w:customStyle="1" w:styleId="NoList7113">
    <w:name w:val="No List7113"/>
    <w:next w:val="NoList"/>
    <w:uiPriority w:val="99"/>
    <w:semiHidden/>
    <w:unhideWhenUsed/>
    <w:rsid w:val="008F7DB9"/>
  </w:style>
  <w:style w:type="table" w:customStyle="1" w:styleId="TableGrid31130">
    <w:name w:val="Table Grid311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3">
    <w:name w:val="No List13113"/>
    <w:next w:val="NoList"/>
    <w:semiHidden/>
    <w:unhideWhenUsed/>
    <w:rsid w:val="008F7DB9"/>
  </w:style>
  <w:style w:type="numbering" w:customStyle="1" w:styleId="NoList113112">
    <w:name w:val="No List113112"/>
    <w:next w:val="NoList"/>
    <w:semiHidden/>
    <w:rsid w:val="008F7DB9"/>
  </w:style>
  <w:style w:type="table" w:customStyle="1" w:styleId="TableGrid11113">
    <w:name w:val="Table Grid111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2">
    <w:name w:val="No List1112112"/>
    <w:next w:val="NoList"/>
    <w:semiHidden/>
    <w:rsid w:val="008F7DB9"/>
  </w:style>
  <w:style w:type="numbering" w:customStyle="1" w:styleId="NoList22112">
    <w:name w:val="No List22112"/>
    <w:next w:val="NoList"/>
    <w:semiHidden/>
    <w:rsid w:val="008F7DB9"/>
  </w:style>
  <w:style w:type="numbering" w:customStyle="1" w:styleId="NoList32112">
    <w:name w:val="No List32112"/>
    <w:next w:val="NoList"/>
    <w:semiHidden/>
    <w:unhideWhenUsed/>
    <w:rsid w:val="008F7DB9"/>
  </w:style>
  <w:style w:type="table" w:customStyle="1" w:styleId="TableList71111">
    <w:name w:val="Table List 71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1">
    <w:name w:val="Table Web 31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1">
    <w:name w:val="Table Elegant1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3">
    <w:name w:val="Table Web 2111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3">
    <w:name w:val="Table Web 1111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3">
    <w:name w:val="Table Grid 8111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3">
    <w:name w:val="Table Contemporary111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1">
    <w:name w:val="Light List - Accent 12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1">
    <w:name w:val="Table Grid 71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3">
    <w:name w:val="Colorful Grid - Accent 1211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3">
    <w:name w:val="Light List - Accent 5211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1">
    <w:name w:val="Table Simple 31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1">
    <w:name w:val="Table Grid 51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10">
    <w:name w:val="Table Grid 31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10">
    <w:name w:val="Table Grid 11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1">
    <w:name w:val="Table Columns 51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1">
    <w:name w:val="Light List - Accent 111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3">
    <w:name w:val="Нет списка12113"/>
    <w:next w:val="NoList"/>
    <w:uiPriority w:val="99"/>
    <w:semiHidden/>
    <w:unhideWhenUsed/>
    <w:rsid w:val="008F7DB9"/>
  </w:style>
  <w:style w:type="table" w:customStyle="1" w:styleId="ColorfulGrid-Accent111111">
    <w:name w:val="Colorful Grid - Accent 111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1">
    <w:name w:val="Light List - Accent 511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3">
    <w:name w:val="No List41113"/>
    <w:next w:val="NoList"/>
    <w:semiHidden/>
    <w:rsid w:val="008F7DB9"/>
  </w:style>
  <w:style w:type="table" w:customStyle="1" w:styleId="Table3Deffects31111">
    <w:name w:val="Table 3D effects 31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
    <w:name w:val="Нет списка111114"/>
    <w:next w:val="NoList"/>
    <w:semiHidden/>
    <w:unhideWhenUsed/>
    <w:rsid w:val="008F7DB9"/>
  </w:style>
  <w:style w:type="numbering" w:customStyle="1" w:styleId="NoList51112">
    <w:name w:val="No List51112"/>
    <w:next w:val="NoList"/>
    <w:uiPriority w:val="99"/>
    <w:semiHidden/>
    <w:unhideWhenUsed/>
    <w:rsid w:val="008F7DB9"/>
  </w:style>
  <w:style w:type="numbering" w:customStyle="1" w:styleId="NoList121112">
    <w:name w:val="No List121112"/>
    <w:next w:val="NoList"/>
    <w:semiHidden/>
    <w:rsid w:val="008F7DB9"/>
  </w:style>
  <w:style w:type="numbering" w:customStyle="1" w:styleId="NoList1121112">
    <w:name w:val="No List1121112"/>
    <w:next w:val="NoList"/>
    <w:semiHidden/>
    <w:rsid w:val="008F7DB9"/>
  </w:style>
  <w:style w:type="numbering" w:customStyle="1" w:styleId="NoList11111111112">
    <w:name w:val="No List11111111112"/>
    <w:next w:val="NoList"/>
    <w:semiHidden/>
    <w:rsid w:val="008F7DB9"/>
  </w:style>
  <w:style w:type="numbering" w:customStyle="1" w:styleId="NoList211112">
    <w:name w:val="No List211112"/>
    <w:next w:val="NoList"/>
    <w:semiHidden/>
    <w:rsid w:val="008F7DB9"/>
  </w:style>
  <w:style w:type="table" w:customStyle="1" w:styleId="TableGrid21111">
    <w:name w:val="Table Grid21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2">
    <w:name w:val="No List311112"/>
    <w:next w:val="NoList"/>
    <w:uiPriority w:val="99"/>
    <w:semiHidden/>
    <w:unhideWhenUsed/>
    <w:rsid w:val="008F7DB9"/>
  </w:style>
  <w:style w:type="numbering" w:customStyle="1" w:styleId="NoList8113">
    <w:name w:val="No List8113"/>
    <w:next w:val="NoList"/>
    <w:uiPriority w:val="99"/>
    <w:semiHidden/>
    <w:unhideWhenUsed/>
    <w:rsid w:val="008F7DB9"/>
  </w:style>
  <w:style w:type="numbering" w:customStyle="1" w:styleId="NoList9112">
    <w:name w:val="No List9112"/>
    <w:next w:val="NoList"/>
    <w:uiPriority w:val="99"/>
    <w:semiHidden/>
    <w:unhideWhenUsed/>
    <w:rsid w:val="008F7DB9"/>
  </w:style>
  <w:style w:type="table" w:customStyle="1" w:styleId="TableGrid4114">
    <w:name w:val="Table Grid41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1">
    <w:name w:val="Table List 72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1">
    <w:name w:val="Table Web 32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1">
    <w:name w:val="Table Elegant2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1">
    <w:name w:val="Table Web 22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1">
    <w:name w:val="Table Web 12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1">
    <w:name w:val="Table Grid 82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1">
    <w:name w:val="Table Contemporary2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2">
    <w:name w:val="No List14112"/>
    <w:next w:val="NoList"/>
    <w:semiHidden/>
    <w:unhideWhenUsed/>
    <w:rsid w:val="008F7DB9"/>
  </w:style>
  <w:style w:type="numbering" w:customStyle="1" w:styleId="NoList23112">
    <w:name w:val="No List23112"/>
    <w:next w:val="NoList"/>
    <w:semiHidden/>
    <w:unhideWhenUsed/>
    <w:rsid w:val="008F7DB9"/>
  </w:style>
  <w:style w:type="numbering" w:customStyle="1" w:styleId="NoList33112">
    <w:name w:val="No List33112"/>
    <w:next w:val="NoList"/>
    <w:semiHidden/>
    <w:unhideWhenUsed/>
    <w:rsid w:val="008F7DB9"/>
  </w:style>
  <w:style w:type="table" w:customStyle="1" w:styleId="LightList-Accent13111">
    <w:name w:val="Light List - Accent 13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1">
    <w:name w:val="Table Grid 72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1">
    <w:name w:val="Colorful Grid - Accent 13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1">
    <w:name w:val="Light List - Accent 53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1">
    <w:name w:val="Table Simple 32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1">
    <w:name w:val="Table Grid 52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1">
    <w:name w:val="Table Grid 32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1">
    <w:name w:val="Table Grid 12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1">
    <w:name w:val="Table Columns 52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1">
    <w:name w:val="Light List - Accent 112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2">
    <w:name w:val="Нет списка13112"/>
    <w:next w:val="NoList"/>
    <w:semiHidden/>
    <w:unhideWhenUsed/>
    <w:rsid w:val="008F7DB9"/>
  </w:style>
  <w:style w:type="table" w:customStyle="1" w:styleId="ColorfulGrid-Accent112111">
    <w:name w:val="Colorful Grid - Accent 112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1">
    <w:name w:val="Light List - Accent 512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2">
    <w:name w:val="No List42112"/>
    <w:next w:val="NoList"/>
    <w:semiHidden/>
    <w:rsid w:val="008F7DB9"/>
  </w:style>
  <w:style w:type="numbering" w:customStyle="1" w:styleId="NoList114112">
    <w:name w:val="No List114112"/>
    <w:next w:val="NoList"/>
    <w:semiHidden/>
    <w:unhideWhenUsed/>
    <w:rsid w:val="008F7DB9"/>
  </w:style>
  <w:style w:type="table" w:customStyle="1" w:styleId="Table3Deffects32111">
    <w:name w:val="Table 3D effects 32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NoList"/>
    <w:semiHidden/>
    <w:unhideWhenUsed/>
    <w:rsid w:val="008F7DB9"/>
  </w:style>
  <w:style w:type="numbering" w:customStyle="1" w:styleId="NoList10112">
    <w:name w:val="No List10112"/>
    <w:next w:val="NoList"/>
    <w:uiPriority w:val="99"/>
    <w:semiHidden/>
    <w:unhideWhenUsed/>
    <w:rsid w:val="008F7DB9"/>
  </w:style>
  <w:style w:type="table" w:customStyle="1" w:styleId="TableGrid51110">
    <w:name w:val="Table Grid5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semiHidden/>
    <w:unhideWhenUsed/>
    <w:rsid w:val="008F7DB9"/>
  </w:style>
  <w:style w:type="numbering" w:customStyle="1" w:styleId="NoList115111">
    <w:name w:val="No List115111"/>
    <w:next w:val="NoList"/>
    <w:semiHidden/>
    <w:rsid w:val="008F7DB9"/>
  </w:style>
  <w:style w:type="table" w:customStyle="1" w:styleId="TableGrid121110">
    <w:name w:val="Table Grid12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2">
    <w:name w:val="No List1113112"/>
    <w:next w:val="NoList"/>
    <w:semiHidden/>
    <w:rsid w:val="008F7DB9"/>
  </w:style>
  <w:style w:type="numbering" w:customStyle="1" w:styleId="NoList24112">
    <w:name w:val="No List24112"/>
    <w:next w:val="NoList"/>
    <w:semiHidden/>
    <w:rsid w:val="008F7DB9"/>
  </w:style>
  <w:style w:type="numbering" w:customStyle="1" w:styleId="NoList34112">
    <w:name w:val="No List34112"/>
    <w:next w:val="NoList"/>
    <w:semiHidden/>
    <w:unhideWhenUsed/>
    <w:rsid w:val="008F7DB9"/>
  </w:style>
  <w:style w:type="table" w:customStyle="1" w:styleId="TableList73111">
    <w:name w:val="Table List 73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1">
    <w:name w:val="Table Web 33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1">
    <w:name w:val="Table Elegant3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1">
    <w:name w:val="Table Web 23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1">
    <w:name w:val="Table Web 13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1">
    <w:name w:val="Table Grid 83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1">
    <w:name w:val="Table Contemporary3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1">
    <w:name w:val="Light List - Accent 14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1">
    <w:name w:val="Table Grid 73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1">
    <w:name w:val="Colorful Grid - Accent 14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1">
    <w:name w:val="Light List - Accent 54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1">
    <w:name w:val="Table Simple 33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1">
    <w:name w:val="Table Grid 53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1">
    <w:name w:val="Table Grid 33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1">
    <w:name w:val="Table Grid 13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1">
    <w:name w:val="Table Columns 53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1">
    <w:name w:val="Light List - Accent 113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2">
    <w:name w:val="Нет списка14112"/>
    <w:next w:val="NoList"/>
    <w:semiHidden/>
    <w:unhideWhenUsed/>
    <w:rsid w:val="008F7DB9"/>
  </w:style>
  <w:style w:type="table" w:customStyle="1" w:styleId="ColorfulGrid-Accent113111">
    <w:name w:val="Colorful Grid - Accent 113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1">
    <w:name w:val="Light List - Accent 513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2">
    <w:name w:val="No List43112"/>
    <w:next w:val="NoList"/>
    <w:semiHidden/>
    <w:rsid w:val="008F7DB9"/>
  </w:style>
  <w:style w:type="table" w:customStyle="1" w:styleId="Table3Deffects33111">
    <w:name w:val="Table 3D effects 33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NoList"/>
    <w:semiHidden/>
    <w:unhideWhenUsed/>
    <w:rsid w:val="008F7DB9"/>
  </w:style>
  <w:style w:type="numbering" w:customStyle="1" w:styleId="NoList52112">
    <w:name w:val="No List52112"/>
    <w:next w:val="NoList"/>
    <w:uiPriority w:val="99"/>
    <w:semiHidden/>
    <w:unhideWhenUsed/>
    <w:rsid w:val="008F7DB9"/>
  </w:style>
  <w:style w:type="numbering" w:customStyle="1" w:styleId="NoList122112">
    <w:name w:val="No List122112"/>
    <w:next w:val="NoList"/>
    <w:semiHidden/>
    <w:rsid w:val="008F7DB9"/>
  </w:style>
  <w:style w:type="numbering" w:customStyle="1" w:styleId="NoList1122112">
    <w:name w:val="No List1122112"/>
    <w:next w:val="NoList"/>
    <w:semiHidden/>
    <w:rsid w:val="008F7DB9"/>
  </w:style>
  <w:style w:type="numbering" w:customStyle="1" w:styleId="NoList11112112">
    <w:name w:val="No List11112112"/>
    <w:next w:val="NoList"/>
    <w:semiHidden/>
    <w:rsid w:val="008F7DB9"/>
  </w:style>
  <w:style w:type="numbering" w:customStyle="1" w:styleId="NoList212112">
    <w:name w:val="No List212112"/>
    <w:next w:val="NoList"/>
    <w:semiHidden/>
    <w:rsid w:val="008F7DB9"/>
  </w:style>
  <w:style w:type="table" w:customStyle="1" w:styleId="TableGrid22111">
    <w:name w:val="Table Grid22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2">
    <w:name w:val="No List312112"/>
    <w:next w:val="NoList"/>
    <w:uiPriority w:val="99"/>
    <w:semiHidden/>
    <w:unhideWhenUsed/>
    <w:rsid w:val="008F7DB9"/>
  </w:style>
  <w:style w:type="table" w:customStyle="1" w:styleId="LightShading-Accent11111">
    <w:name w:val="Light Shading - Accent 111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1">
    <w:name w:val="Medium Grid 2 - Accent 111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1">
    <w:name w:val="Medium List 2 - Accent 511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1">
    <w:name w:val="Light List - Accent 15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1">
    <w:name w:val="Medium Grid 3 - Accent 511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1">
    <w:name w:val="Light Shading - Accent 511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1">
    <w:name w:val="Medium Grid 2 - Accent 511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1">
    <w:name w:val="Light Grid - Accent 111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1">
    <w:name w:val="Table List 43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1">
    <w:name w:val="Table List 412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1">
    <w:name w:val="Table Theme11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1">
    <w:name w:val="Table Professional11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1">
    <w:name w:val="Table Grid 611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1">
    <w:name w:val="Table List 42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1">
    <w:name w:val="Table List 411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1">
    <w:name w:val="Style113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1">
    <w:name w:val="Style2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1">
    <w:name w:val="Style21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2">
    <w:name w:val="No List16112"/>
    <w:next w:val="NoList"/>
    <w:uiPriority w:val="99"/>
    <w:semiHidden/>
    <w:unhideWhenUsed/>
    <w:rsid w:val="008F7DB9"/>
  </w:style>
  <w:style w:type="table" w:customStyle="1" w:styleId="TableGrid61110">
    <w:name w:val="Table Grid61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2">
    <w:name w:val="No List17112"/>
    <w:next w:val="NoList"/>
    <w:uiPriority w:val="99"/>
    <w:semiHidden/>
    <w:unhideWhenUsed/>
    <w:rsid w:val="008F7DB9"/>
  </w:style>
  <w:style w:type="numbering" w:customStyle="1" w:styleId="NoList116111">
    <w:name w:val="No List116111"/>
    <w:next w:val="NoList"/>
    <w:semiHidden/>
    <w:rsid w:val="008F7DB9"/>
  </w:style>
  <w:style w:type="table" w:customStyle="1" w:styleId="TableGrid131110">
    <w:name w:val="Table Grid131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1">
    <w:name w:val="Light List - Accent 16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1">
    <w:name w:val="Medium Grid 2 - Accent 131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1">
    <w:name w:val="Medium List 2 - Accent 531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1">
    <w:name w:val="Medium Grid 3 - Accent 531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1">
    <w:name w:val="Light Shading - Accent 531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1">
    <w:name w:val="Medium Grid 2 - Accent 531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1">
    <w:name w:val="Light Grid - Accent 131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1">
    <w:name w:val="Light Shading - Accent 14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1">
    <w:name w:val="Medium Grid 2 - Accent 14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1">
    <w:name w:val="Medium List 2 - Accent 54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1">
    <w:name w:val="Light List - Accent 11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1">
    <w:name w:val="Medium Grid 3 - Accent 54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1">
    <w:name w:val="Light Shading - Accent 54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1">
    <w:name w:val="Medium Grid 2 - Accent 54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1">
    <w:name w:val="Light Grid - Accent 14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1">
    <w:name w:val="Light Shading - Accent 15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1">
    <w:name w:val="Medium Grid 2 - Accent 15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1">
    <w:name w:val="Medium List 2 - Accent 55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1">
    <w:name w:val="Light List - Accent 116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1">
    <w:name w:val="Medium Grid 3 - Accent 55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1">
    <w:name w:val="Light Shading - Accent 55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1">
    <w:name w:val="Medium Grid 2 - Accent 55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1">
    <w:name w:val="Light Grid - Accent 15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1">
    <w:name w:val="No List2711"/>
    <w:next w:val="NoList"/>
    <w:uiPriority w:val="99"/>
    <w:semiHidden/>
    <w:unhideWhenUsed/>
    <w:rsid w:val="008F7DB9"/>
  </w:style>
  <w:style w:type="table" w:customStyle="1" w:styleId="TableGrid913">
    <w:name w:val="Table Grid9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1">
    <w:name w:val="Table List 76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1">
    <w:name w:val="Table Web 36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1">
    <w:name w:val="Table Elegant6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1">
    <w:name w:val="Table Web 26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1">
    <w:name w:val="Table Web 16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1">
    <w:name w:val="Table Grid 86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1">
    <w:name w:val="Table Contemporary6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1">
    <w:name w:val="No List11911"/>
    <w:next w:val="NoList"/>
    <w:semiHidden/>
    <w:unhideWhenUsed/>
    <w:rsid w:val="008F7DB9"/>
  </w:style>
  <w:style w:type="numbering" w:customStyle="1" w:styleId="NoList2811">
    <w:name w:val="No List2811"/>
    <w:next w:val="NoList"/>
    <w:semiHidden/>
    <w:unhideWhenUsed/>
    <w:rsid w:val="008F7DB9"/>
  </w:style>
  <w:style w:type="numbering" w:customStyle="1" w:styleId="NoList3711">
    <w:name w:val="No List3711"/>
    <w:next w:val="NoList"/>
    <w:semiHidden/>
    <w:unhideWhenUsed/>
    <w:rsid w:val="008F7DB9"/>
  </w:style>
  <w:style w:type="table" w:customStyle="1" w:styleId="LightList-Accent11711">
    <w:name w:val="Light List - Accent 117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1">
    <w:name w:val="Table Grid 76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1">
    <w:name w:val="Colorful Grid - Accent 17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1">
    <w:name w:val="Light List - Accent 57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1">
    <w:name w:val="Table Simple 36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1">
    <w:name w:val="Table Grid 56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1">
    <w:name w:val="Table Grid 36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1">
    <w:name w:val="Table Grid 16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1">
    <w:name w:val="Table Columns 56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1">
    <w:name w:val="Light List - Accent 118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1">
    <w:name w:val="Нет списка1711"/>
    <w:next w:val="NoList"/>
    <w:semiHidden/>
    <w:unhideWhenUsed/>
    <w:rsid w:val="008F7DB9"/>
  </w:style>
  <w:style w:type="table" w:customStyle="1" w:styleId="ColorfulGrid-Accent11611">
    <w:name w:val="Colorful Grid - Accent 116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1">
    <w:name w:val="Light List - Accent 516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1">
    <w:name w:val="No List4611"/>
    <w:next w:val="NoList"/>
    <w:semiHidden/>
    <w:rsid w:val="008F7DB9"/>
  </w:style>
  <w:style w:type="numbering" w:customStyle="1" w:styleId="NoList111011">
    <w:name w:val="No List111011"/>
    <w:next w:val="NoList"/>
    <w:semiHidden/>
    <w:unhideWhenUsed/>
    <w:rsid w:val="008F7DB9"/>
  </w:style>
  <w:style w:type="table" w:customStyle="1" w:styleId="Table3Deffects3611">
    <w:name w:val="Table 3D effects 36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
    <w:name w:val="Нет списка11611"/>
    <w:next w:val="NoList"/>
    <w:semiHidden/>
    <w:unhideWhenUsed/>
    <w:rsid w:val="008F7DB9"/>
  </w:style>
  <w:style w:type="table" w:customStyle="1" w:styleId="LightShading-Accent1611">
    <w:name w:val="Light Shading - Accent 16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1">
    <w:name w:val="Medium Grid 2 - Accent 16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1">
    <w:name w:val="Medium List 2 - Accent 56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1">
    <w:name w:val="Light List - Accent 15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1">
    <w:name w:val="Medium Grid 3 - Accent 56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1">
    <w:name w:val="Light Shading - Accent 56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1">
    <w:name w:val="Medium Grid 2 - Accent 56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1">
    <w:name w:val="Light Grid - Accent 16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1">
    <w:name w:val="Style114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1">
    <w:name w:val="Style2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1">
    <w:name w:val="Style21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1">
    <w:name w:val="Light Shading - Accent 1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1">
    <w:name w:val="Medium Grid 2 - Accent 1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1">
    <w:name w:val="Medium List 2 - Accent 51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1">
    <w:name w:val="Light List - Accent 16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1">
    <w:name w:val="Medium Grid 3 - Accent 51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1">
    <w:name w:val="Light Shading - Accent 51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1">
    <w:name w:val="Medium Grid 2 - Accent 51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1">
    <w:name w:val="Light Grid - Accent 1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1">
    <w:name w:val="No List2911"/>
    <w:next w:val="NoList"/>
    <w:uiPriority w:val="99"/>
    <w:semiHidden/>
    <w:unhideWhenUsed/>
    <w:rsid w:val="008F7DB9"/>
  </w:style>
  <w:style w:type="table" w:customStyle="1" w:styleId="TableGrid1013">
    <w:name w:val="Table Grid10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1">
    <w:name w:val="No List12011"/>
    <w:next w:val="NoList"/>
    <w:uiPriority w:val="99"/>
    <w:semiHidden/>
    <w:unhideWhenUsed/>
    <w:rsid w:val="008F7DB9"/>
  </w:style>
  <w:style w:type="numbering" w:customStyle="1" w:styleId="NoList111511">
    <w:name w:val="No List111511"/>
    <w:next w:val="NoList"/>
    <w:semiHidden/>
    <w:rsid w:val="008F7DB9"/>
  </w:style>
  <w:style w:type="table" w:customStyle="1" w:styleId="TableGrid15110">
    <w:name w:val="Table Grid15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1">
    <w:name w:val="No List3011"/>
    <w:next w:val="NoList"/>
    <w:uiPriority w:val="99"/>
    <w:semiHidden/>
    <w:unhideWhenUsed/>
    <w:rsid w:val="008F7DB9"/>
  </w:style>
  <w:style w:type="table" w:customStyle="1" w:styleId="LightShading-Accent1711">
    <w:name w:val="Light Shading - Accent 17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1">
    <w:name w:val="Medium Grid 2 - Accent 17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1">
    <w:name w:val="Medium List 2 - Accent 57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1">
    <w:name w:val="Light List - Accent 119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1">
    <w:name w:val="Medium Grid 3 - Accent 57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1">
    <w:name w:val="Light Shading - Accent 57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1">
    <w:name w:val="Medium Grid 2 - Accent 57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1">
    <w:name w:val="Light Grid - Accent 17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1">
    <w:name w:val="No List3811"/>
    <w:next w:val="NoList"/>
    <w:uiPriority w:val="99"/>
    <w:semiHidden/>
    <w:unhideWhenUsed/>
    <w:rsid w:val="008F7DB9"/>
  </w:style>
  <w:style w:type="table" w:customStyle="1" w:styleId="TableGrid16110">
    <w:name w:val="Table Grid16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8F7DB9"/>
  </w:style>
  <w:style w:type="numbering" w:customStyle="1" w:styleId="NoList111611">
    <w:name w:val="No List111611"/>
    <w:next w:val="NoList"/>
    <w:semiHidden/>
    <w:rsid w:val="008F7DB9"/>
  </w:style>
  <w:style w:type="table" w:customStyle="1" w:styleId="TableGrid1711">
    <w:name w:val="Table Grid17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1">
    <w:name w:val="Light Shading - Accent 18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1">
    <w:name w:val="Medium Grid 2 - Accent 18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1">
    <w:name w:val="Medium List 2 - Accent 58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1">
    <w:name w:val="Light List - Accent 12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1">
    <w:name w:val="Medium Grid 3 - Accent 58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1">
    <w:name w:val="Light Shading - Accent 58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1">
    <w:name w:val="Medium Grid 2 - Accent 58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1">
    <w:name w:val="Light Grid - Accent 18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1">
    <w:name w:val="Light Shading - Accent 19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1">
    <w:name w:val="Medium Grid 2 - Accent 19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1">
    <w:name w:val="Medium List 2 - Accent 59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2">
    <w:name w:val="Light List - Accent 122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1">
    <w:name w:val="Medium Grid 3 - Accent 59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1">
    <w:name w:val="Light Shading - Accent 59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1">
    <w:name w:val="Medium Grid 2 - Accent 59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1">
    <w:name w:val="Light Grid - Accent 19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1">
    <w:name w:val="Style1152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1">
    <w:name w:val="Style21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1">
    <w:name w:val="No List3911"/>
    <w:next w:val="NoList"/>
    <w:uiPriority w:val="99"/>
    <w:semiHidden/>
    <w:unhideWhenUsed/>
    <w:rsid w:val="008F7DB9"/>
  </w:style>
  <w:style w:type="table" w:customStyle="1" w:styleId="TableGrid1811">
    <w:name w:val="Table Grid18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1">
    <w:name w:val="No List12511"/>
    <w:next w:val="NoList"/>
    <w:uiPriority w:val="99"/>
    <w:semiHidden/>
    <w:unhideWhenUsed/>
    <w:rsid w:val="008F7DB9"/>
  </w:style>
  <w:style w:type="numbering" w:customStyle="1" w:styleId="NoList111711">
    <w:name w:val="No List111711"/>
    <w:next w:val="NoList"/>
    <w:semiHidden/>
    <w:rsid w:val="008F7DB9"/>
  </w:style>
  <w:style w:type="table" w:customStyle="1" w:styleId="TableGrid1911">
    <w:name w:val="Table Grid19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1">
    <w:name w:val="Style115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1">
    <w:name w:val="Style216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1">
    <w:name w:val="No List4011"/>
    <w:next w:val="NoList"/>
    <w:uiPriority w:val="99"/>
    <w:semiHidden/>
    <w:unhideWhenUsed/>
    <w:rsid w:val="008F7DB9"/>
  </w:style>
  <w:style w:type="table" w:customStyle="1" w:styleId="TableGrid2011">
    <w:name w:val="Table Grid2011"/>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1">
    <w:name w:val="Light Shading - Accent 110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1">
    <w:name w:val="Light List - Accent 5811"/>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11">
    <w:name w:val="Medium List 2 - Accent 1111"/>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1">
    <w:name w:val="Medium Grid 2 - Accent 110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11">
    <w:name w:val="Medium Grid 3 - Accent 6111"/>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1">
    <w:name w:val="Medium List 2 - Accent 510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1">
    <w:name w:val="Light List - Accent 123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11">
    <w:name w:val="Medium List 1 - Accent 5111"/>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1">
    <w:name w:val="Medium Grid 3 - Accent 510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1">
    <w:name w:val="Light Shading - Accent 510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1">
    <w:name w:val="Medium Grid 2 - Accent 510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11">
    <w:name w:val="Light List - Accent 3111"/>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1">
    <w:name w:val="Medium List 2 - Accent 3111"/>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1">
    <w:name w:val="Light Grid - Accent 110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1">
    <w:name w:val="No List4711"/>
    <w:next w:val="NoList"/>
    <w:uiPriority w:val="99"/>
    <w:semiHidden/>
    <w:unhideWhenUsed/>
    <w:rsid w:val="008F7DB9"/>
  </w:style>
  <w:style w:type="table" w:customStyle="1" w:styleId="TableGrid2411">
    <w:name w:val="Table Grid24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1">
    <w:name w:val="No List12611"/>
    <w:next w:val="NoList"/>
    <w:uiPriority w:val="99"/>
    <w:semiHidden/>
    <w:unhideWhenUsed/>
    <w:rsid w:val="008F7DB9"/>
  </w:style>
  <w:style w:type="numbering" w:customStyle="1" w:styleId="NoList111811">
    <w:name w:val="No List111811"/>
    <w:next w:val="NoList"/>
    <w:semiHidden/>
    <w:rsid w:val="008F7DB9"/>
  </w:style>
  <w:style w:type="table" w:customStyle="1" w:styleId="TableGrid11011">
    <w:name w:val="Table Grid110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1">
    <w:name w:val="Medium Grid 2 - Accent 114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1">
    <w:name w:val="Medium List 2 - Accent 514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1">
    <w:name w:val="Medium Grid 3 - Accent 514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1">
    <w:name w:val="Light Shading - Accent 514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1">
    <w:name w:val="Medium Grid 2 - Accent 514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1">
    <w:name w:val="Light Grid - Accent 114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1">
    <w:name w:val="Medium List 2 - Accent 121"/>
    <w:basedOn w:val="TableNormal"/>
    <w:next w:val="MediumList2-Accent1"/>
    <w:uiPriority w:val="66"/>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1">
    <w:name w:val="Medium List 1 - Accent 521"/>
    <w:basedOn w:val="TableNormal"/>
    <w:next w:val="MediumList1-Accent5"/>
    <w:uiPriority w:val="65"/>
    <w:semiHidden/>
    <w:unhideWhenUsed/>
    <w:rsid w:val="008F7DB9"/>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1">
    <w:name w:val="Light List - Accent 321"/>
    <w:basedOn w:val="TableNormal"/>
    <w:next w:val="LightList-Accent3"/>
    <w:uiPriority w:val="61"/>
    <w:semiHidden/>
    <w:unhideWhenUsed/>
    <w:rsid w:val="008F7DB9"/>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1">
    <w:name w:val="Medium List 2 - Accent 321"/>
    <w:basedOn w:val="TableNormal"/>
    <w:next w:val="MediumList2-Accent3"/>
    <w:uiPriority w:val="66"/>
    <w:semiHidden/>
    <w:unhideWhenUsed/>
    <w:rsid w:val="008F7DB9"/>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8F7DB9"/>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1">
    <w:name w:val="No List551"/>
    <w:next w:val="NoList"/>
    <w:uiPriority w:val="99"/>
    <w:semiHidden/>
    <w:unhideWhenUsed/>
    <w:rsid w:val="008F7DB9"/>
  </w:style>
  <w:style w:type="table" w:customStyle="1" w:styleId="TableGrid291">
    <w:name w:val="Table Grid29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1">
    <w:name w:val="Medium Grid 3 - Accent 111"/>
    <w:basedOn w:val="TableNormal"/>
    <w:next w:val="MediumGrid3-Accent1"/>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01">
    <w:name w:val="No List1301"/>
    <w:next w:val="NoList"/>
    <w:uiPriority w:val="99"/>
    <w:semiHidden/>
    <w:unhideWhenUsed/>
    <w:rsid w:val="008F7DB9"/>
  </w:style>
  <w:style w:type="table" w:customStyle="1" w:styleId="TableGrid1141">
    <w:name w:val="Table Grid1141"/>
    <w:basedOn w:val="TableNormal"/>
    <w:next w:val="TableGrid"/>
    <w:uiPriority w:val="39"/>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32">
    <w:name w:val="Table List 7132"/>
    <w:basedOn w:val="TableNormal"/>
    <w:next w:val="TableList7"/>
    <w:rsid w:val="008F7DB9"/>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2">
    <w:name w:val="Table Web 3132"/>
    <w:basedOn w:val="TableNormal"/>
    <w:next w:val="TableWeb3"/>
    <w:rsid w:val="008F7DB9"/>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2">
    <w:name w:val="Table Elegant132"/>
    <w:basedOn w:val="TableNormal"/>
    <w:next w:val="TableElegant"/>
    <w:rsid w:val="008F7DB9"/>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2">
    <w:name w:val="Table Web 2132"/>
    <w:basedOn w:val="TableNormal"/>
    <w:next w:val="TableWeb2"/>
    <w:rsid w:val="008F7DB9"/>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2">
    <w:name w:val="Table Web 1132"/>
    <w:basedOn w:val="TableNormal"/>
    <w:next w:val="TableWeb1"/>
    <w:rsid w:val="008F7DB9"/>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2">
    <w:name w:val="Table Grid 8132"/>
    <w:basedOn w:val="TableNormal"/>
    <w:next w:val="TableGrid8"/>
    <w:rsid w:val="008F7DB9"/>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2">
    <w:name w:val="Table Contemporary132"/>
    <w:basedOn w:val="TableNormal"/>
    <w:next w:val="TableContemporary"/>
    <w:rsid w:val="008F7DB9"/>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01">
    <w:name w:val="No List11201"/>
    <w:next w:val="NoList"/>
    <w:semiHidden/>
    <w:unhideWhenUsed/>
    <w:rsid w:val="008F7DB9"/>
  </w:style>
  <w:style w:type="numbering" w:customStyle="1" w:styleId="NoList2161">
    <w:name w:val="No List2161"/>
    <w:next w:val="NoList"/>
    <w:semiHidden/>
    <w:unhideWhenUsed/>
    <w:rsid w:val="008F7DB9"/>
  </w:style>
  <w:style w:type="numbering" w:customStyle="1" w:styleId="NoList3151">
    <w:name w:val="No List3151"/>
    <w:next w:val="NoList"/>
    <w:semiHidden/>
    <w:unhideWhenUsed/>
    <w:rsid w:val="008F7DB9"/>
  </w:style>
  <w:style w:type="table" w:customStyle="1" w:styleId="LightList-Accent11131">
    <w:name w:val="Light List - Accent 11131"/>
    <w:basedOn w:val="TableNormal"/>
    <w:next w:val="LightList-Accent1"/>
    <w:uiPriority w:val="61"/>
    <w:rsid w:val="008F7DB9"/>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2">
    <w:name w:val="Table Grid 7132"/>
    <w:basedOn w:val="TableNormal"/>
    <w:next w:val="TableGrid7"/>
    <w:rsid w:val="008F7DB9"/>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1">
    <w:name w:val="Colorful Grid - Accent 1181"/>
    <w:basedOn w:val="TableNormal"/>
    <w:next w:val="ColorfulGrid-Accent1"/>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1">
    <w:name w:val="Light List - Accent 5181"/>
    <w:basedOn w:val="TableNormal"/>
    <w:next w:val="LightList-Accent5"/>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2">
    <w:name w:val="Table Simple 3132"/>
    <w:basedOn w:val="TableNormal"/>
    <w:next w:val="TableSimple3"/>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2">
    <w:name w:val="Table Grid 5132"/>
    <w:basedOn w:val="TableNormal"/>
    <w:next w:val="TableGrid5"/>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2">
    <w:name w:val="Table Grid 3132"/>
    <w:basedOn w:val="TableNormal"/>
    <w:next w:val="TableGrid3"/>
    <w:rsid w:val="008F7DB9"/>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2">
    <w:name w:val="Table Grid 1132"/>
    <w:basedOn w:val="TableNormal"/>
    <w:next w:val="TableGrid10"/>
    <w:rsid w:val="008F7DB9"/>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2">
    <w:name w:val="Table Columns 5132"/>
    <w:basedOn w:val="TableNormal"/>
    <w:next w:val="TableColumns5"/>
    <w:rsid w:val="008F7DB9"/>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1">
    <w:name w:val="Нет списка191"/>
    <w:next w:val="NoList"/>
    <w:semiHidden/>
    <w:unhideWhenUsed/>
    <w:rsid w:val="008F7DB9"/>
  </w:style>
  <w:style w:type="numbering" w:customStyle="1" w:styleId="NoList4132">
    <w:name w:val="No List4132"/>
    <w:next w:val="NoList"/>
    <w:semiHidden/>
    <w:rsid w:val="008F7DB9"/>
  </w:style>
  <w:style w:type="numbering" w:customStyle="1" w:styleId="NoList111151">
    <w:name w:val="No List111151"/>
    <w:next w:val="NoList"/>
    <w:semiHidden/>
    <w:unhideWhenUsed/>
    <w:rsid w:val="008F7DB9"/>
  </w:style>
  <w:style w:type="table" w:customStyle="1" w:styleId="Table3Deffects3132">
    <w:name w:val="Table 3D effects 3132"/>
    <w:basedOn w:val="TableNormal"/>
    <w:next w:val="Table3Deffects3"/>
    <w:rsid w:val="008F7DB9"/>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81">
    <w:name w:val="Нет списка1181"/>
    <w:next w:val="NoList"/>
    <w:semiHidden/>
    <w:unhideWhenUsed/>
    <w:rsid w:val="008F7DB9"/>
  </w:style>
  <w:style w:type="table" w:customStyle="1" w:styleId="TableGrid1151">
    <w:name w:val="Table Grid115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1">
    <w:name w:val="No List561"/>
    <w:next w:val="NoList"/>
    <w:uiPriority w:val="99"/>
    <w:semiHidden/>
    <w:rsid w:val="008F7DB9"/>
  </w:style>
  <w:style w:type="numbering" w:customStyle="1" w:styleId="NoList632">
    <w:name w:val="No List632"/>
    <w:next w:val="NoList"/>
    <w:uiPriority w:val="99"/>
    <w:semiHidden/>
    <w:unhideWhenUsed/>
    <w:rsid w:val="008F7DB9"/>
  </w:style>
  <w:style w:type="table" w:customStyle="1" w:styleId="TableGrid2101">
    <w:name w:val="Table Grid210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2">
    <w:name w:val="No List732"/>
    <w:next w:val="NoList"/>
    <w:uiPriority w:val="99"/>
    <w:semiHidden/>
    <w:unhideWhenUsed/>
    <w:rsid w:val="008F7DB9"/>
  </w:style>
  <w:style w:type="numbering" w:customStyle="1" w:styleId="NoList12101">
    <w:name w:val="No List12101"/>
    <w:next w:val="NoList"/>
    <w:uiPriority w:val="99"/>
    <w:semiHidden/>
    <w:unhideWhenUsed/>
    <w:rsid w:val="008F7DB9"/>
  </w:style>
  <w:style w:type="table" w:customStyle="1" w:styleId="TableGrid3320">
    <w:name w:val="Table Grid332"/>
    <w:basedOn w:val="TableNormal"/>
    <w:next w:val="TableGrid"/>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2">
    <w:name w:val="Colorful Grid - Accent 1232"/>
    <w:basedOn w:val="TableNormal"/>
    <w:next w:val="ColorfulGrid-Accent1"/>
    <w:uiPriority w:val="73"/>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2">
    <w:name w:val="Light List - Accent 5232"/>
    <w:basedOn w:val="TableNormal"/>
    <w:next w:val="LightList-Accent5"/>
    <w:uiPriority w:val="61"/>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2">
    <w:name w:val="No List832"/>
    <w:next w:val="NoList"/>
    <w:uiPriority w:val="99"/>
    <w:semiHidden/>
    <w:unhideWhenUsed/>
    <w:rsid w:val="008F7DB9"/>
  </w:style>
  <w:style w:type="numbering" w:customStyle="1" w:styleId="1232">
    <w:name w:val="Нет списка1232"/>
    <w:next w:val="NoList"/>
    <w:semiHidden/>
    <w:unhideWhenUsed/>
    <w:rsid w:val="008F7DB9"/>
  </w:style>
  <w:style w:type="numbering" w:customStyle="1" w:styleId="NoList1332">
    <w:name w:val="No List1332"/>
    <w:next w:val="NoList"/>
    <w:semiHidden/>
    <w:unhideWhenUsed/>
    <w:rsid w:val="008F7DB9"/>
  </w:style>
  <w:style w:type="numbering" w:customStyle="1" w:styleId="NoList2171">
    <w:name w:val="No List2171"/>
    <w:next w:val="NoList"/>
    <w:semiHidden/>
    <w:unhideWhenUsed/>
    <w:rsid w:val="008F7DB9"/>
  </w:style>
  <w:style w:type="numbering" w:customStyle="1" w:styleId="NoList3161">
    <w:name w:val="No List3161"/>
    <w:next w:val="NoList"/>
    <w:semiHidden/>
    <w:unhideWhenUsed/>
    <w:rsid w:val="008F7DB9"/>
  </w:style>
  <w:style w:type="numbering" w:customStyle="1" w:styleId="11133">
    <w:name w:val="Нет списка11133"/>
    <w:next w:val="NoList"/>
    <w:semiHidden/>
    <w:unhideWhenUsed/>
    <w:rsid w:val="008F7DB9"/>
  </w:style>
  <w:style w:type="numbering" w:customStyle="1" w:styleId="NoList4141">
    <w:name w:val="No List4141"/>
    <w:next w:val="NoList"/>
    <w:semiHidden/>
    <w:rsid w:val="008F7DB9"/>
  </w:style>
  <w:style w:type="numbering" w:customStyle="1" w:styleId="NoList111161">
    <w:name w:val="No List111161"/>
    <w:next w:val="NoList"/>
    <w:semiHidden/>
    <w:unhideWhenUsed/>
    <w:rsid w:val="008F7DB9"/>
  </w:style>
  <w:style w:type="numbering" w:customStyle="1" w:styleId="111123">
    <w:name w:val="Нет списка111123"/>
    <w:next w:val="NoList"/>
    <w:semiHidden/>
    <w:unhideWhenUsed/>
    <w:rsid w:val="008F7DB9"/>
  </w:style>
  <w:style w:type="numbering" w:customStyle="1" w:styleId="NoList931">
    <w:name w:val="No List931"/>
    <w:next w:val="NoList"/>
    <w:uiPriority w:val="99"/>
    <w:semiHidden/>
    <w:unhideWhenUsed/>
    <w:rsid w:val="008F7DB9"/>
  </w:style>
  <w:style w:type="table" w:customStyle="1" w:styleId="TableGrid432">
    <w:name w:val="Table Grid432"/>
    <w:basedOn w:val="TableNormal"/>
    <w:next w:val="TableGrid"/>
    <w:rsid w:val="008F7DB9"/>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5">
    <w:name w:val="Grid Table 1 Light - Accent 515"/>
    <w:basedOn w:val="TableNormal"/>
    <w:uiPriority w:val="46"/>
    <w:rsid w:val="008F7DB9"/>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8F7DB9"/>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2">
    <w:name w:val="Grid Table 4 - Accent 1112"/>
    <w:basedOn w:val="TableNormal"/>
    <w:uiPriority w:val="49"/>
    <w:rsid w:val="008F7DB9"/>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31">
    <w:name w:val="No List1031"/>
    <w:next w:val="NoList"/>
    <w:uiPriority w:val="99"/>
    <w:semiHidden/>
    <w:unhideWhenUsed/>
    <w:rsid w:val="008F7DB9"/>
  </w:style>
  <w:style w:type="table" w:customStyle="1" w:styleId="TableGrid5310">
    <w:name w:val="Table Grid531"/>
    <w:basedOn w:val="TableNormal"/>
    <w:next w:val="TableGrid"/>
    <w:uiPriority w:val="39"/>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1">
    <w:name w:val="Table List 71121"/>
    <w:basedOn w:val="TableNormal"/>
    <w:next w:val="TableList7"/>
    <w:rsid w:val="008F7DB9"/>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1">
    <w:name w:val="Table Web 31121"/>
    <w:basedOn w:val="TableNormal"/>
    <w:next w:val="TableWeb3"/>
    <w:rsid w:val="008F7DB9"/>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1">
    <w:name w:val="Table Elegant1121"/>
    <w:basedOn w:val="TableNormal"/>
    <w:next w:val="TableElegant"/>
    <w:rsid w:val="008F7DB9"/>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1">
    <w:name w:val="Table Web 2231"/>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1">
    <w:name w:val="Table Web 1231"/>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1">
    <w:name w:val="Table Grid 8231"/>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1">
    <w:name w:val="Table Contemporary231"/>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1">
    <w:name w:val="No List1431"/>
    <w:next w:val="NoList"/>
    <w:semiHidden/>
    <w:unhideWhenUsed/>
    <w:rsid w:val="008F7DB9"/>
  </w:style>
  <w:style w:type="numbering" w:customStyle="1" w:styleId="NoList2231">
    <w:name w:val="No List2231"/>
    <w:next w:val="NoList"/>
    <w:semiHidden/>
    <w:unhideWhenUsed/>
    <w:rsid w:val="008F7DB9"/>
  </w:style>
  <w:style w:type="numbering" w:customStyle="1" w:styleId="NoList3231">
    <w:name w:val="No List3231"/>
    <w:next w:val="NoList"/>
    <w:semiHidden/>
    <w:unhideWhenUsed/>
    <w:rsid w:val="008F7DB9"/>
  </w:style>
  <w:style w:type="table" w:customStyle="1" w:styleId="LightList-Accent1261">
    <w:name w:val="Light List - Accent 126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1">
    <w:name w:val="Table Grid 71121"/>
    <w:basedOn w:val="TableNormal"/>
    <w:next w:val="TableGrid7"/>
    <w:rsid w:val="008F7DB9"/>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1">
    <w:name w:val="Colorful Grid - Accent 1331"/>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1">
    <w:name w:val="Light List - Accent 5331"/>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1">
    <w:name w:val="Table Simple 31121"/>
    <w:basedOn w:val="TableNormal"/>
    <w:next w:val="TableSimple3"/>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1">
    <w:name w:val="Table Grid 51121"/>
    <w:basedOn w:val="TableNormal"/>
    <w:next w:val="TableGrid5"/>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1">
    <w:name w:val="Table Grid 31121"/>
    <w:basedOn w:val="TableNormal"/>
    <w:next w:val="TableGrid3"/>
    <w:rsid w:val="008F7DB9"/>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10">
    <w:name w:val="Table Grid 11121"/>
    <w:basedOn w:val="TableNormal"/>
    <w:next w:val="TableGrid10"/>
    <w:rsid w:val="008F7DB9"/>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1">
    <w:name w:val="Table Columns 51121"/>
    <w:basedOn w:val="TableNormal"/>
    <w:next w:val="TableColumns5"/>
    <w:rsid w:val="008F7DB9"/>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1">
    <w:name w:val="Light List - Accent 1114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1">
    <w:name w:val="Нет списка1331"/>
    <w:next w:val="NoList"/>
    <w:semiHidden/>
    <w:unhideWhenUsed/>
    <w:rsid w:val="008F7DB9"/>
  </w:style>
  <w:style w:type="table" w:customStyle="1" w:styleId="ColorfulGrid-Accent11131">
    <w:name w:val="Colorful Grid - Accent 11131"/>
    <w:basedOn w:val="TableNormal"/>
    <w:rsid w:val="008F7DB9"/>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1">
    <w:name w:val="Light List - Accent 51131"/>
    <w:basedOn w:val="TableNormal"/>
    <w:rsid w:val="008F7DB9"/>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1">
    <w:name w:val="No List4231"/>
    <w:next w:val="NoList"/>
    <w:semiHidden/>
    <w:rsid w:val="008F7DB9"/>
  </w:style>
  <w:style w:type="numbering" w:customStyle="1" w:styleId="NoList11251">
    <w:name w:val="No List11251"/>
    <w:next w:val="NoList"/>
    <w:semiHidden/>
    <w:unhideWhenUsed/>
    <w:rsid w:val="008F7DB9"/>
  </w:style>
  <w:style w:type="table" w:customStyle="1" w:styleId="Table3Deffects31121">
    <w:name w:val="Table 3D effects 31121"/>
    <w:basedOn w:val="TableNormal"/>
    <w:next w:val="Table3Deffects3"/>
    <w:rsid w:val="008F7DB9"/>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1">
    <w:name w:val="Нет списка11231"/>
    <w:next w:val="NoList"/>
    <w:semiHidden/>
    <w:unhideWhenUsed/>
    <w:rsid w:val="008F7DB9"/>
  </w:style>
  <w:style w:type="table" w:customStyle="1" w:styleId="TableGrid11123">
    <w:name w:val="Table Grid11123"/>
    <w:basedOn w:val="TableNormal"/>
    <w:next w:val="TableGrid"/>
    <w:uiPriority w:val="39"/>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
    <w:name w:val="No List5131"/>
    <w:next w:val="NoList"/>
    <w:uiPriority w:val="99"/>
    <w:semiHidden/>
    <w:rsid w:val="008F7DB9"/>
  </w:style>
  <w:style w:type="numbering" w:customStyle="1" w:styleId="NoList6122">
    <w:name w:val="No List6122"/>
    <w:next w:val="NoList"/>
    <w:uiPriority w:val="99"/>
    <w:semiHidden/>
    <w:unhideWhenUsed/>
    <w:rsid w:val="008F7DB9"/>
  </w:style>
  <w:style w:type="table" w:customStyle="1" w:styleId="TableGrid2131">
    <w:name w:val="Table Grid2131"/>
    <w:basedOn w:val="TableNormal"/>
    <w:next w:val="TableGrid"/>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2">
    <w:name w:val="No List7122"/>
    <w:next w:val="NoList"/>
    <w:uiPriority w:val="99"/>
    <w:semiHidden/>
    <w:unhideWhenUsed/>
    <w:rsid w:val="008F7DB9"/>
  </w:style>
  <w:style w:type="numbering" w:customStyle="1" w:styleId="NoList12131">
    <w:name w:val="No List12131"/>
    <w:next w:val="NoList"/>
    <w:uiPriority w:val="99"/>
    <w:semiHidden/>
    <w:unhideWhenUsed/>
    <w:rsid w:val="008F7DB9"/>
  </w:style>
  <w:style w:type="table" w:customStyle="1" w:styleId="TableGrid31220">
    <w:name w:val="Table Grid3122"/>
    <w:basedOn w:val="TableNormal"/>
    <w:next w:val="TableGrid"/>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2">
    <w:name w:val="Table Web 21122"/>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2">
    <w:name w:val="Table Web 11122"/>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2">
    <w:name w:val="Table Grid 81122"/>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2">
    <w:name w:val="Table Contemporary1122"/>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2">
    <w:name w:val="Colorful Grid - Accent 12122"/>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2">
    <w:name w:val="Light List - Accent 52122"/>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2">
    <w:name w:val="No List8122"/>
    <w:next w:val="NoList"/>
    <w:uiPriority w:val="99"/>
    <w:semiHidden/>
    <w:unhideWhenUsed/>
    <w:rsid w:val="008F7DB9"/>
  </w:style>
  <w:style w:type="numbering" w:customStyle="1" w:styleId="12122">
    <w:name w:val="Нет списка12122"/>
    <w:next w:val="NoList"/>
    <w:semiHidden/>
    <w:unhideWhenUsed/>
    <w:rsid w:val="008F7DB9"/>
  </w:style>
  <w:style w:type="numbering" w:customStyle="1" w:styleId="NoList13122">
    <w:name w:val="No List13122"/>
    <w:next w:val="NoList"/>
    <w:semiHidden/>
    <w:unhideWhenUsed/>
    <w:rsid w:val="008F7DB9"/>
  </w:style>
  <w:style w:type="numbering" w:customStyle="1" w:styleId="NoList21131">
    <w:name w:val="No List21131"/>
    <w:next w:val="NoList"/>
    <w:semiHidden/>
    <w:unhideWhenUsed/>
    <w:rsid w:val="008F7DB9"/>
  </w:style>
  <w:style w:type="numbering" w:customStyle="1" w:styleId="NoList31131">
    <w:name w:val="No List31131"/>
    <w:next w:val="NoList"/>
    <w:semiHidden/>
    <w:unhideWhenUsed/>
    <w:rsid w:val="008F7DB9"/>
  </w:style>
  <w:style w:type="numbering" w:customStyle="1" w:styleId="111213">
    <w:name w:val="Нет списка111213"/>
    <w:next w:val="NoList"/>
    <w:semiHidden/>
    <w:unhideWhenUsed/>
    <w:rsid w:val="008F7DB9"/>
  </w:style>
  <w:style w:type="numbering" w:customStyle="1" w:styleId="NoList41122">
    <w:name w:val="No List41122"/>
    <w:next w:val="NoList"/>
    <w:semiHidden/>
    <w:rsid w:val="008F7DB9"/>
  </w:style>
  <w:style w:type="numbering" w:customStyle="1" w:styleId="NoList1111131">
    <w:name w:val="No List1111131"/>
    <w:next w:val="NoList"/>
    <w:semiHidden/>
    <w:unhideWhenUsed/>
    <w:rsid w:val="008F7DB9"/>
  </w:style>
  <w:style w:type="numbering" w:customStyle="1" w:styleId="1111113">
    <w:name w:val="Нет списка1111113"/>
    <w:next w:val="NoList"/>
    <w:semiHidden/>
    <w:unhideWhenUsed/>
    <w:rsid w:val="008F7DB9"/>
  </w:style>
  <w:style w:type="table" w:customStyle="1" w:styleId="TableGrid631">
    <w:name w:val="Table Grid631"/>
    <w:basedOn w:val="TableNormal"/>
    <w:next w:val="TableGrid"/>
    <w:uiPriority w:val="39"/>
    <w:rsid w:val="008F7DB9"/>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4">
    <w:name w:val="Grid Table 1 Light - Accent 5114"/>
    <w:basedOn w:val="TableNormal"/>
    <w:uiPriority w:val="46"/>
    <w:rsid w:val="008F7DB9"/>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1">
    <w:name w:val="Table Grid223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 Grid7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 Grid8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4">
    <w:name w:val="Grid Table 1 Light - Accent 114"/>
    <w:basedOn w:val="TableNormal"/>
    <w:uiPriority w:val="46"/>
    <w:rsid w:val="008F7DB9"/>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81">
    <w:name w:val="Table List 781"/>
    <w:basedOn w:val="TableNormal"/>
    <w:next w:val="TableList7"/>
    <w:uiPriority w:val="99"/>
    <w:semiHidden/>
    <w:unhideWhenUsed/>
    <w:rsid w:val="008F7DB9"/>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1">
    <w:name w:val="Table Web 381"/>
    <w:basedOn w:val="TableNormal"/>
    <w:next w:val="TableWeb3"/>
    <w:uiPriority w:val="99"/>
    <w:semiHidden/>
    <w:unhideWhenUsed/>
    <w:rsid w:val="008F7DB9"/>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1">
    <w:name w:val="Table Elegant81"/>
    <w:basedOn w:val="TableNormal"/>
    <w:next w:val="TableElegant"/>
    <w:uiPriority w:val="99"/>
    <w:semiHidden/>
    <w:unhideWhenUsed/>
    <w:rsid w:val="008F7DB9"/>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81">
    <w:name w:val="Table Web 281"/>
    <w:basedOn w:val="TableNormal"/>
    <w:next w:val="TableWeb2"/>
    <w:uiPriority w:val="99"/>
    <w:semiHidden/>
    <w:unhideWhenUsed/>
    <w:rsid w:val="008F7DB9"/>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1">
    <w:name w:val="Table Web 181"/>
    <w:basedOn w:val="TableNormal"/>
    <w:next w:val="TableWeb1"/>
    <w:uiPriority w:val="99"/>
    <w:semiHidden/>
    <w:unhideWhenUsed/>
    <w:rsid w:val="008F7DB9"/>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81">
    <w:name w:val="Table Grid 881"/>
    <w:basedOn w:val="TableNormal"/>
    <w:next w:val="TableGrid8"/>
    <w:uiPriority w:val="99"/>
    <w:semiHidden/>
    <w:unhideWhenUsed/>
    <w:rsid w:val="008F7DB9"/>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1">
    <w:name w:val="Table Contemporary81"/>
    <w:basedOn w:val="TableNormal"/>
    <w:next w:val="TableContemporary"/>
    <w:uiPriority w:val="99"/>
    <w:semiHidden/>
    <w:unhideWhenUsed/>
    <w:rsid w:val="008F7DB9"/>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71">
    <w:name w:val="Light List - Accent 1271"/>
    <w:basedOn w:val="TableNormal"/>
    <w:next w:val="LightList-Accent1"/>
    <w:uiPriority w:val="61"/>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1">
    <w:name w:val="Table Grid 781"/>
    <w:basedOn w:val="TableNormal"/>
    <w:next w:val="TableGrid7"/>
    <w:uiPriority w:val="99"/>
    <w:semiHidden/>
    <w:unhideWhenUsed/>
    <w:rsid w:val="008F7DB9"/>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1">
    <w:name w:val="Colorful Grid - Accent 191"/>
    <w:basedOn w:val="TableNormal"/>
    <w:next w:val="ColorfulGrid-Accent1"/>
    <w:uiPriority w:val="73"/>
    <w:semiHidden/>
    <w:unhideWhenUsed/>
    <w:rsid w:val="008F7DB9"/>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1">
    <w:name w:val="Light List - Accent 5101"/>
    <w:basedOn w:val="TableNormal"/>
    <w:next w:val="LightList-Accent5"/>
    <w:uiPriority w:val="61"/>
    <w:semiHidden/>
    <w:unhideWhenUsed/>
    <w:rsid w:val="008F7DB9"/>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1">
    <w:name w:val="Table Simple 381"/>
    <w:basedOn w:val="TableNormal"/>
    <w:next w:val="TableSimple3"/>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1">
    <w:name w:val="Table Grid 581"/>
    <w:basedOn w:val="TableNormal"/>
    <w:next w:val="TableGrid5"/>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1">
    <w:name w:val="Table Grid 381"/>
    <w:basedOn w:val="TableNormal"/>
    <w:next w:val="TableGrid3"/>
    <w:uiPriority w:val="99"/>
    <w:semiHidden/>
    <w:unhideWhenUsed/>
    <w:rsid w:val="008F7DB9"/>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10">
    <w:name w:val="Table Grid 181"/>
    <w:basedOn w:val="TableNormal"/>
    <w:next w:val="TableGrid10"/>
    <w:uiPriority w:val="99"/>
    <w:semiHidden/>
    <w:unhideWhenUsed/>
    <w:rsid w:val="008F7DB9"/>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1">
    <w:name w:val="Table Columns 581"/>
    <w:basedOn w:val="TableNormal"/>
    <w:next w:val="TableColumns5"/>
    <w:uiPriority w:val="99"/>
    <w:semiHidden/>
    <w:unhideWhenUsed/>
    <w:rsid w:val="008F7DB9"/>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Light1">
    <w:name w:val="Table Grid Light1"/>
    <w:basedOn w:val="TableNormal"/>
    <w:uiPriority w:val="40"/>
    <w:rsid w:val="00352DBB"/>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Основной текст"/>
    <w:basedOn w:val="Normal"/>
    <w:rsid w:val="00352DB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2">
    <w:name w:val="Grid Table 4 - Accent 52"/>
    <w:basedOn w:val="TableNormal"/>
    <w:uiPriority w:val="49"/>
    <w:rsid w:val="00352DBB"/>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3Deffects381">
    <w:name w:val="Table 3D effects 381"/>
    <w:basedOn w:val="TableNormal"/>
    <w:next w:val="Table3Deffects3"/>
    <w:uiPriority w:val="99"/>
    <w:semiHidden/>
    <w:unhideWhenUsed/>
    <w:rsid w:val="00352DBB"/>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31">
    <w:name w:val="No List1531"/>
    <w:next w:val="NoList"/>
    <w:uiPriority w:val="99"/>
    <w:semiHidden/>
    <w:unhideWhenUsed/>
    <w:rsid w:val="00352DBB"/>
  </w:style>
  <w:style w:type="table" w:customStyle="1" w:styleId="TableGrid1231">
    <w:name w:val="Table Grid1231"/>
    <w:basedOn w:val="TableNormal"/>
    <w:next w:val="TableGrid"/>
    <w:uiPriority w:val="39"/>
    <w:rsid w:val="00352DBB"/>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69543490">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20733560">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262345488">
      <w:bodyDiv w:val="1"/>
      <w:marLeft w:val="0"/>
      <w:marRight w:val="0"/>
      <w:marTop w:val="0"/>
      <w:marBottom w:val="0"/>
      <w:divBdr>
        <w:top w:val="none" w:sz="0" w:space="0" w:color="auto"/>
        <w:left w:val="none" w:sz="0" w:space="0" w:color="auto"/>
        <w:bottom w:val="none" w:sz="0" w:space="0" w:color="auto"/>
        <w:right w:val="none" w:sz="0" w:space="0" w:color="auto"/>
      </w:divBdr>
    </w:div>
    <w:div w:id="272060592">
      <w:bodyDiv w:val="1"/>
      <w:marLeft w:val="0"/>
      <w:marRight w:val="0"/>
      <w:marTop w:val="0"/>
      <w:marBottom w:val="0"/>
      <w:divBdr>
        <w:top w:val="none" w:sz="0" w:space="0" w:color="auto"/>
        <w:left w:val="none" w:sz="0" w:space="0" w:color="auto"/>
        <w:bottom w:val="none" w:sz="0" w:space="0" w:color="auto"/>
        <w:right w:val="none" w:sz="0" w:space="0" w:color="auto"/>
      </w:divBdr>
    </w:div>
    <w:div w:id="279338549">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13533215">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495145514">
      <w:bodyDiv w:val="1"/>
      <w:marLeft w:val="0"/>
      <w:marRight w:val="0"/>
      <w:marTop w:val="0"/>
      <w:marBottom w:val="0"/>
      <w:divBdr>
        <w:top w:val="none" w:sz="0" w:space="0" w:color="auto"/>
        <w:left w:val="none" w:sz="0" w:space="0" w:color="auto"/>
        <w:bottom w:val="none" w:sz="0" w:space="0" w:color="auto"/>
        <w:right w:val="none" w:sz="0" w:space="0" w:color="auto"/>
      </w:divBdr>
    </w:div>
    <w:div w:id="545262789">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685063752">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16927086">
      <w:bodyDiv w:val="1"/>
      <w:marLeft w:val="0"/>
      <w:marRight w:val="0"/>
      <w:marTop w:val="0"/>
      <w:marBottom w:val="0"/>
      <w:divBdr>
        <w:top w:val="none" w:sz="0" w:space="0" w:color="auto"/>
        <w:left w:val="none" w:sz="0" w:space="0" w:color="auto"/>
        <w:bottom w:val="none" w:sz="0" w:space="0" w:color="auto"/>
        <w:right w:val="none" w:sz="0" w:space="0" w:color="auto"/>
      </w:divBdr>
    </w:div>
    <w:div w:id="723942746">
      <w:bodyDiv w:val="1"/>
      <w:marLeft w:val="0"/>
      <w:marRight w:val="0"/>
      <w:marTop w:val="0"/>
      <w:marBottom w:val="0"/>
      <w:divBdr>
        <w:top w:val="none" w:sz="0" w:space="0" w:color="auto"/>
        <w:left w:val="none" w:sz="0" w:space="0" w:color="auto"/>
        <w:bottom w:val="none" w:sz="0" w:space="0" w:color="auto"/>
        <w:right w:val="none" w:sz="0" w:space="0" w:color="auto"/>
      </w:divBdr>
    </w:div>
    <w:div w:id="726100770">
      <w:bodyDiv w:val="1"/>
      <w:marLeft w:val="0"/>
      <w:marRight w:val="0"/>
      <w:marTop w:val="0"/>
      <w:marBottom w:val="0"/>
      <w:divBdr>
        <w:top w:val="none" w:sz="0" w:space="0" w:color="auto"/>
        <w:left w:val="none" w:sz="0" w:space="0" w:color="auto"/>
        <w:bottom w:val="none" w:sz="0" w:space="0" w:color="auto"/>
        <w:right w:val="none" w:sz="0" w:space="0" w:color="auto"/>
      </w:divBdr>
    </w:div>
    <w:div w:id="730081290">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4619232">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798456811">
      <w:bodyDiv w:val="1"/>
      <w:marLeft w:val="0"/>
      <w:marRight w:val="0"/>
      <w:marTop w:val="0"/>
      <w:marBottom w:val="0"/>
      <w:divBdr>
        <w:top w:val="none" w:sz="0" w:space="0" w:color="auto"/>
        <w:left w:val="none" w:sz="0" w:space="0" w:color="auto"/>
        <w:bottom w:val="none" w:sz="0" w:space="0" w:color="auto"/>
        <w:right w:val="none" w:sz="0" w:space="0" w:color="auto"/>
      </w:divBdr>
    </w:div>
    <w:div w:id="799693678">
      <w:bodyDiv w:val="1"/>
      <w:marLeft w:val="0"/>
      <w:marRight w:val="0"/>
      <w:marTop w:val="0"/>
      <w:marBottom w:val="0"/>
      <w:divBdr>
        <w:top w:val="none" w:sz="0" w:space="0" w:color="auto"/>
        <w:left w:val="none" w:sz="0" w:space="0" w:color="auto"/>
        <w:bottom w:val="none" w:sz="0" w:space="0" w:color="auto"/>
        <w:right w:val="none" w:sz="0" w:space="0" w:color="auto"/>
      </w:divBdr>
    </w:div>
    <w:div w:id="803541761">
      <w:bodyDiv w:val="1"/>
      <w:marLeft w:val="0"/>
      <w:marRight w:val="0"/>
      <w:marTop w:val="0"/>
      <w:marBottom w:val="0"/>
      <w:divBdr>
        <w:top w:val="none" w:sz="0" w:space="0" w:color="auto"/>
        <w:left w:val="none" w:sz="0" w:space="0" w:color="auto"/>
        <w:bottom w:val="none" w:sz="0" w:space="0" w:color="auto"/>
        <w:right w:val="none" w:sz="0" w:space="0" w:color="auto"/>
      </w:divBdr>
    </w:div>
    <w:div w:id="834997167">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37840740">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1821522">
      <w:bodyDiv w:val="1"/>
      <w:marLeft w:val="0"/>
      <w:marRight w:val="0"/>
      <w:marTop w:val="0"/>
      <w:marBottom w:val="0"/>
      <w:divBdr>
        <w:top w:val="none" w:sz="0" w:space="0" w:color="auto"/>
        <w:left w:val="none" w:sz="0" w:space="0" w:color="auto"/>
        <w:bottom w:val="none" w:sz="0" w:space="0" w:color="auto"/>
        <w:right w:val="none" w:sz="0" w:space="0" w:color="auto"/>
      </w:divBdr>
    </w:div>
    <w:div w:id="865677390">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82208889">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0793711">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3545497">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38272255">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394505736">
      <w:bodyDiv w:val="1"/>
      <w:marLeft w:val="0"/>
      <w:marRight w:val="0"/>
      <w:marTop w:val="0"/>
      <w:marBottom w:val="0"/>
      <w:divBdr>
        <w:top w:val="none" w:sz="0" w:space="0" w:color="auto"/>
        <w:left w:val="none" w:sz="0" w:space="0" w:color="auto"/>
        <w:bottom w:val="none" w:sz="0" w:space="0" w:color="auto"/>
        <w:right w:val="none" w:sz="0" w:space="0" w:color="auto"/>
      </w:divBdr>
    </w:div>
    <w:div w:id="1402023537">
      <w:bodyDiv w:val="1"/>
      <w:marLeft w:val="0"/>
      <w:marRight w:val="0"/>
      <w:marTop w:val="0"/>
      <w:marBottom w:val="0"/>
      <w:divBdr>
        <w:top w:val="none" w:sz="0" w:space="0" w:color="auto"/>
        <w:left w:val="none" w:sz="0" w:space="0" w:color="auto"/>
        <w:bottom w:val="none" w:sz="0" w:space="0" w:color="auto"/>
        <w:right w:val="none" w:sz="0" w:space="0" w:color="auto"/>
      </w:divBdr>
    </w:div>
    <w:div w:id="1404796487">
      <w:bodyDiv w:val="1"/>
      <w:marLeft w:val="0"/>
      <w:marRight w:val="0"/>
      <w:marTop w:val="0"/>
      <w:marBottom w:val="0"/>
      <w:divBdr>
        <w:top w:val="none" w:sz="0" w:space="0" w:color="auto"/>
        <w:left w:val="none" w:sz="0" w:space="0" w:color="auto"/>
        <w:bottom w:val="none" w:sz="0" w:space="0" w:color="auto"/>
        <w:right w:val="none" w:sz="0" w:space="0" w:color="auto"/>
      </w:divBdr>
    </w:div>
    <w:div w:id="1425154574">
      <w:bodyDiv w:val="1"/>
      <w:marLeft w:val="0"/>
      <w:marRight w:val="0"/>
      <w:marTop w:val="0"/>
      <w:marBottom w:val="0"/>
      <w:divBdr>
        <w:top w:val="none" w:sz="0" w:space="0" w:color="auto"/>
        <w:left w:val="none" w:sz="0" w:space="0" w:color="auto"/>
        <w:bottom w:val="none" w:sz="0" w:space="0" w:color="auto"/>
        <w:right w:val="none" w:sz="0" w:space="0" w:color="auto"/>
      </w:divBdr>
    </w:div>
    <w:div w:id="1452361426">
      <w:bodyDiv w:val="1"/>
      <w:marLeft w:val="0"/>
      <w:marRight w:val="0"/>
      <w:marTop w:val="0"/>
      <w:marBottom w:val="0"/>
      <w:divBdr>
        <w:top w:val="none" w:sz="0" w:space="0" w:color="auto"/>
        <w:left w:val="none" w:sz="0" w:space="0" w:color="auto"/>
        <w:bottom w:val="none" w:sz="0" w:space="0" w:color="auto"/>
        <w:right w:val="none" w:sz="0" w:space="0" w:color="auto"/>
      </w:divBdr>
    </w:div>
    <w:div w:id="146187676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80658654">
      <w:bodyDiv w:val="1"/>
      <w:marLeft w:val="0"/>
      <w:marRight w:val="0"/>
      <w:marTop w:val="0"/>
      <w:marBottom w:val="0"/>
      <w:divBdr>
        <w:top w:val="none" w:sz="0" w:space="0" w:color="auto"/>
        <w:left w:val="none" w:sz="0" w:space="0" w:color="auto"/>
        <w:bottom w:val="none" w:sz="0" w:space="0" w:color="auto"/>
        <w:right w:val="none" w:sz="0" w:space="0" w:color="auto"/>
      </w:divBdr>
    </w:div>
    <w:div w:id="1482695752">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12405994">
      <w:bodyDiv w:val="1"/>
      <w:marLeft w:val="0"/>
      <w:marRight w:val="0"/>
      <w:marTop w:val="0"/>
      <w:marBottom w:val="0"/>
      <w:divBdr>
        <w:top w:val="none" w:sz="0" w:space="0" w:color="auto"/>
        <w:left w:val="none" w:sz="0" w:space="0" w:color="auto"/>
        <w:bottom w:val="none" w:sz="0" w:space="0" w:color="auto"/>
        <w:right w:val="none" w:sz="0" w:space="0" w:color="auto"/>
      </w:divBdr>
    </w:div>
    <w:div w:id="1512603500">
      <w:bodyDiv w:val="1"/>
      <w:marLeft w:val="0"/>
      <w:marRight w:val="0"/>
      <w:marTop w:val="0"/>
      <w:marBottom w:val="0"/>
      <w:divBdr>
        <w:top w:val="none" w:sz="0" w:space="0" w:color="auto"/>
        <w:left w:val="none" w:sz="0" w:space="0" w:color="auto"/>
        <w:bottom w:val="none" w:sz="0" w:space="0" w:color="auto"/>
        <w:right w:val="none" w:sz="0" w:space="0" w:color="auto"/>
      </w:divBdr>
    </w:div>
    <w:div w:id="1518690528">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582518203">
      <w:bodyDiv w:val="1"/>
      <w:marLeft w:val="0"/>
      <w:marRight w:val="0"/>
      <w:marTop w:val="0"/>
      <w:marBottom w:val="0"/>
      <w:divBdr>
        <w:top w:val="none" w:sz="0" w:space="0" w:color="auto"/>
        <w:left w:val="none" w:sz="0" w:space="0" w:color="auto"/>
        <w:bottom w:val="none" w:sz="0" w:space="0" w:color="auto"/>
        <w:right w:val="none" w:sz="0" w:space="0" w:color="auto"/>
      </w:divBdr>
    </w:div>
    <w:div w:id="1602687862">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256338">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80692810">
      <w:bodyDiv w:val="1"/>
      <w:marLeft w:val="0"/>
      <w:marRight w:val="0"/>
      <w:marTop w:val="0"/>
      <w:marBottom w:val="0"/>
      <w:divBdr>
        <w:top w:val="none" w:sz="0" w:space="0" w:color="auto"/>
        <w:left w:val="none" w:sz="0" w:space="0" w:color="auto"/>
        <w:bottom w:val="none" w:sz="0" w:space="0" w:color="auto"/>
        <w:right w:val="none" w:sz="0" w:space="0" w:color="auto"/>
      </w:divBdr>
    </w:div>
    <w:div w:id="1687294139">
      <w:bodyDiv w:val="1"/>
      <w:marLeft w:val="0"/>
      <w:marRight w:val="0"/>
      <w:marTop w:val="0"/>
      <w:marBottom w:val="0"/>
      <w:divBdr>
        <w:top w:val="none" w:sz="0" w:space="0" w:color="auto"/>
        <w:left w:val="none" w:sz="0" w:space="0" w:color="auto"/>
        <w:bottom w:val="none" w:sz="0" w:space="0" w:color="auto"/>
        <w:right w:val="none" w:sz="0" w:space="0" w:color="auto"/>
      </w:divBdr>
    </w:div>
    <w:div w:id="1692947657">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00273557">
      <w:bodyDiv w:val="1"/>
      <w:marLeft w:val="0"/>
      <w:marRight w:val="0"/>
      <w:marTop w:val="0"/>
      <w:marBottom w:val="0"/>
      <w:divBdr>
        <w:top w:val="none" w:sz="0" w:space="0" w:color="auto"/>
        <w:left w:val="none" w:sz="0" w:space="0" w:color="auto"/>
        <w:bottom w:val="none" w:sz="0" w:space="0" w:color="auto"/>
        <w:right w:val="none" w:sz="0" w:space="0" w:color="auto"/>
      </w:divBdr>
    </w:div>
    <w:div w:id="1729835609">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745637596">
      <w:bodyDiv w:val="1"/>
      <w:marLeft w:val="0"/>
      <w:marRight w:val="0"/>
      <w:marTop w:val="0"/>
      <w:marBottom w:val="0"/>
      <w:divBdr>
        <w:top w:val="none" w:sz="0" w:space="0" w:color="auto"/>
        <w:left w:val="none" w:sz="0" w:space="0" w:color="auto"/>
        <w:bottom w:val="none" w:sz="0" w:space="0" w:color="auto"/>
        <w:right w:val="none" w:sz="0" w:space="0" w:color="auto"/>
      </w:divBdr>
    </w:div>
    <w:div w:id="1776637366">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1990860506">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69262735">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098597891">
      <w:bodyDiv w:val="1"/>
      <w:marLeft w:val="0"/>
      <w:marRight w:val="0"/>
      <w:marTop w:val="0"/>
      <w:marBottom w:val="0"/>
      <w:divBdr>
        <w:top w:val="none" w:sz="0" w:space="0" w:color="auto"/>
        <w:left w:val="none" w:sz="0" w:space="0" w:color="auto"/>
        <w:bottom w:val="none" w:sz="0" w:space="0" w:color="auto"/>
        <w:right w:val="none" w:sz="0" w:space="0" w:color="auto"/>
      </w:divBdr>
    </w:div>
    <w:div w:id="2127769506">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 w:id="2142185074">
      <w:bodyDiv w:val="1"/>
      <w:marLeft w:val="0"/>
      <w:marRight w:val="0"/>
      <w:marTop w:val="0"/>
      <w:marBottom w:val="0"/>
      <w:divBdr>
        <w:top w:val="none" w:sz="0" w:space="0" w:color="auto"/>
        <w:left w:val="none" w:sz="0" w:space="0" w:color="auto"/>
        <w:bottom w:val="none" w:sz="0" w:space="0" w:color="auto"/>
        <w:right w:val="none" w:sz="0" w:space="0" w:color="auto"/>
      </w:divBdr>
    </w:div>
    <w:div w:id="21428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55" Type="http://schemas.openxmlformats.org/officeDocument/2006/relationships/chart" Target="charts/chart4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8" Type="http://schemas.openxmlformats.org/officeDocument/2006/relationships/footer" Target="footer1.xml"/><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theme" Target="theme/theme1.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footer" Target="footer2.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s>
</file>

<file path=word/_rels/footnotes.xml.rels><?xml version="1.0" encoding="UTF-8" standalone="yes"?>
<Relationships xmlns="http://schemas.openxmlformats.org/package/2006/relationships"><Relationship Id="rId1" Type="http://schemas.openxmlformats.org/officeDocument/2006/relationships/hyperlink" Target="https://www.cba.am/am/SitePages/ainflationreport.asp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39.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40.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41.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42.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43.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44.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45.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3276495610462564"/>
          <c:h val="0.67818924149632864"/>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Sheet1!$C$2:$C$10</c:f>
              <c:numCache>
                <c:formatCode>_(* #,##0.0_);_(* \(#,##0.0\);_(* "-"??_);_(@_)</c:formatCode>
                <c:ptCount val="6"/>
                <c:pt idx="0">
                  <c:v>-2.7</c:v>
                </c:pt>
                <c:pt idx="1">
                  <c:v>4.7</c:v>
                </c:pt>
                <c:pt idx="2">
                  <c:v>-6</c:v>
                </c:pt>
                <c:pt idx="3">
                  <c:v>-3.5</c:v>
                </c:pt>
                <c:pt idx="4">
                  <c:v>1.5</c:v>
                </c:pt>
                <c:pt idx="5">
                  <c:v>1</c:v>
                </c:pt>
              </c:numCache>
            </c:numRef>
          </c:val>
          <c:extLst>
            <c:ext xmlns:c16="http://schemas.microsoft.com/office/drawing/2014/chart" uri="{C3380CC4-5D6E-409C-BE32-E72D297353CC}">
              <c16:uniqueId val="{00000000-367F-4EA2-A0E8-05DE87AA5E48}"/>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Sheet1!$D$2:$D$10</c:f>
              <c:numCache>
                <c:formatCode>_(* #,##0.0_);_(* \(#,##0.0\);_(* "-"??_);_(@_)</c:formatCode>
                <c:ptCount val="6"/>
                <c:pt idx="0">
                  <c:v>-6.3</c:v>
                </c:pt>
                <c:pt idx="1">
                  <c:v>5.4</c:v>
                </c:pt>
                <c:pt idx="2">
                  <c:v>2.6</c:v>
                </c:pt>
                <c:pt idx="3">
                  <c:v>1.2</c:v>
                </c:pt>
                <c:pt idx="4">
                  <c:v>1.8460000000000001</c:v>
                </c:pt>
                <c:pt idx="5">
                  <c:v>1.5720000000000001</c:v>
                </c:pt>
              </c:numCache>
            </c:numRef>
          </c:val>
          <c:extLst>
            <c:ext xmlns:c16="http://schemas.microsoft.com/office/drawing/2014/chart" uri="{C3380CC4-5D6E-409C-BE32-E72D297353CC}">
              <c16:uniqueId val="{00000001-367F-4EA2-A0E8-05DE87AA5E48}"/>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Sheet1!$E$2:$E$10</c:f>
              <c:numCache>
                <c:formatCode>_(* #,##0.0_);_(* \(#,##0.0\);_(* "-"??_);_(@_)</c:formatCode>
                <c:ptCount val="6"/>
                <c:pt idx="0">
                  <c:v>2.2440000000000002</c:v>
                </c:pt>
                <c:pt idx="1">
                  <c:v>8.08</c:v>
                </c:pt>
                <c:pt idx="2">
                  <c:v>3.3</c:v>
                </c:pt>
                <c:pt idx="3">
                  <c:v>4.5999999999999996</c:v>
                </c:pt>
                <c:pt idx="4">
                  <c:v>5.0869999999999997</c:v>
                </c:pt>
                <c:pt idx="5">
                  <c:v>4.968</c:v>
                </c:pt>
              </c:numCache>
            </c:numRef>
          </c:val>
          <c:extLst>
            <c:ext xmlns:c16="http://schemas.microsoft.com/office/drawing/2014/chart" uri="{C3380CC4-5D6E-409C-BE32-E72D297353CC}">
              <c16:uniqueId val="{00000002-367F-4EA2-A0E8-05DE87AA5E48}"/>
            </c:ext>
          </c:extLst>
        </c:ser>
        <c:ser>
          <c:idx val="4"/>
          <c:order val="4"/>
          <c:tx>
            <c:strRef>
              <c:f>Sheet1!$F$1</c:f>
              <c:strCache>
                <c:ptCount val="1"/>
                <c:pt idx="0">
                  <c:v>ԱՄՆ</c:v>
                </c:pt>
              </c:strCache>
            </c:strRef>
          </c:tx>
          <c:spPr>
            <a:solidFill>
              <a:schemeClr val="accent5"/>
            </a:solidFill>
            <a:ln>
              <a:noFill/>
            </a:ln>
            <a:effectLst/>
          </c:spPr>
          <c:invertIfNegative val="0"/>
          <c:cat>
            <c:numRef>
              <c:f>Sheet1!$A$2:$A$10</c:f>
              <c:numCache>
                <c:formatCode>General</c:formatCode>
                <c:ptCount val="6"/>
                <c:pt idx="0">
                  <c:v>2020</c:v>
                </c:pt>
                <c:pt idx="1">
                  <c:v>2021</c:v>
                </c:pt>
                <c:pt idx="2">
                  <c:v>2022</c:v>
                </c:pt>
                <c:pt idx="3">
                  <c:v>2023</c:v>
                </c:pt>
                <c:pt idx="4">
                  <c:v>2024</c:v>
                </c:pt>
                <c:pt idx="5">
                  <c:v>2025</c:v>
                </c:pt>
              </c:numCache>
            </c:numRef>
          </c:cat>
          <c:val>
            <c:numRef>
              <c:f>Sheet1!$F$2:$F$10</c:f>
              <c:numCache>
                <c:formatCode>_(* #,##0.0_);_(* \(#,##0.0\);_(* "-"??_);_(@_)</c:formatCode>
                <c:ptCount val="6"/>
                <c:pt idx="0">
                  <c:v>-3.4049999999999998</c:v>
                </c:pt>
                <c:pt idx="1">
                  <c:v>5.6769999999999996</c:v>
                </c:pt>
                <c:pt idx="2">
                  <c:v>2.2999999999999998</c:v>
                </c:pt>
                <c:pt idx="3">
                  <c:v>1</c:v>
                </c:pt>
                <c:pt idx="4">
                  <c:v>1.4379999999999999</c:v>
                </c:pt>
                <c:pt idx="5">
                  <c:v>1.681</c:v>
                </c:pt>
              </c:numCache>
            </c:numRef>
          </c:val>
          <c:extLst>
            <c:ext xmlns:c16="http://schemas.microsoft.com/office/drawing/2014/chart" uri="{C3380CC4-5D6E-409C-BE32-E72D297353CC}">
              <c16:uniqueId val="{00000003-367F-4EA2-A0E8-05DE87AA5E48}"/>
            </c:ext>
          </c:extLst>
        </c:ser>
        <c:dLbls>
          <c:showLegendKey val="0"/>
          <c:showVal val="0"/>
          <c:showCatName val="0"/>
          <c:showSerName val="0"/>
          <c:showPercent val="0"/>
          <c:showBubbleSize val="0"/>
        </c:dLbls>
        <c:gapWidth val="150"/>
        <c:axId val="143838592"/>
        <c:axId val="154634112"/>
      </c:barChart>
      <c:lineChart>
        <c:grouping val="standard"/>
        <c:varyColors val="0"/>
        <c:ser>
          <c:idx val="0"/>
          <c:order val="0"/>
          <c:tx>
            <c:strRef>
              <c:f>Sheet1!$B$1</c:f>
              <c:strCache>
                <c:ptCount val="1"/>
                <c:pt idx="0">
                  <c:v>Աշխարհ</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6"/>
                <c:pt idx="0">
                  <c:v>2020</c:v>
                </c:pt>
                <c:pt idx="1">
                  <c:v>2021</c:v>
                </c:pt>
                <c:pt idx="2">
                  <c:v>2022</c:v>
                </c:pt>
                <c:pt idx="3">
                  <c:v>2023</c:v>
                </c:pt>
                <c:pt idx="4">
                  <c:v>2024</c:v>
                </c:pt>
                <c:pt idx="5">
                  <c:v>2025</c:v>
                </c:pt>
              </c:numCache>
            </c:numRef>
          </c:cat>
          <c:val>
            <c:numRef>
              <c:f>Sheet1!$B$2:$B$10</c:f>
              <c:numCache>
                <c:formatCode>_(* #,##0.0_);_(* \(#,##0.0\);_(* "-"??_);_(@_)</c:formatCode>
                <c:ptCount val="6"/>
                <c:pt idx="0">
                  <c:v>-3.0630000000000002</c:v>
                </c:pt>
                <c:pt idx="1">
                  <c:v>6.1079999999999997</c:v>
                </c:pt>
                <c:pt idx="2">
                  <c:v>3.2</c:v>
                </c:pt>
                <c:pt idx="3">
                  <c:v>2.9</c:v>
                </c:pt>
                <c:pt idx="4">
                  <c:v>3.4039999999999999</c:v>
                </c:pt>
                <c:pt idx="5">
                  <c:v>3.3780000000000001</c:v>
                </c:pt>
              </c:numCache>
            </c:numRef>
          </c:val>
          <c:smooth val="0"/>
          <c:extLst>
            <c:ext xmlns:c16="http://schemas.microsoft.com/office/drawing/2014/chart" uri="{C3380CC4-5D6E-409C-BE32-E72D297353CC}">
              <c16:uniqueId val="{00000004-367F-4EA2-A0E8-05DE87AA5E48}"/>
            </c:ext>
          </c:extLst>
        </c:ser>
        <c:dLbls>
          <c:showLegendKey val="0"/>
          <c:showVal val="0"/>
          <c:showCatName val="0"/>
          <c:showSerName val="0"/>
          <c:showPercent val="0"/>
          <c:showBubbleSize val="0"/>
        </c:dLbls>
        <c:marker val="1"/>
        <c:smooth val="0"/>
        <c:axId val="143838592"/>
        <c:axId val="154634112"/>
      </c:lineChart>
      <c:catAx>
        <c:axId val="143838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34112"/>
        <c:crosses val="autoZero"/>
        <c:auto val="1"/>
        <c:lblAlgn val="ctr"/>
        <c:lblOffset val="100"/>
        <c:noMultiLvlLbl val="0"/>
      </c:catAx>
      <c:valAx>
        <c:axId val="15463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8592"/>
        <c:crosses val="autoZero"/>
        <c:crossBetween val="between"/>
      </c:valAx>
      <c:spPr>
        <a:noFill/>
        <a:ln>
          <a:noFill/>
        </a:ln>
        <a:effectLst/>
      </c:spPr>
    </c:plotArea>
    <c:legend>
      <c:legendPos val="b"/>
      <c:layout>
        <c:manualLayout>
          <c:xMode val="edge"/>
          <c:yMode val="edge"/>
          <c:x val="1.8065984072810005E-2"/>
          <c:y val="0.83979280367731934"/>
          <c:w val="0.91522685944120463"/>
          <c:h val="0.14176727909011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72872079514650834"/>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Sheet1!$C$2:$C$7</c:f>
              <c:numCache>
                <c:formatCode>0.00</c:formatCode>
                <c:ptCount val="6"/>
                <c:pt idx="0">
                  <c:v>1.3108564792008393</c:v>
                </c:pt>
                <c:pt idx="1">
                  <c:v>-0.3559878667844929</c:v>
                </c:pt>
                <c:pt idx="2">
                  <c:v>-0.29423229215261276</c:v>
                </c:pt>
                <c:pt idx="3">
                  <c:v>0.8063673308605277</c:v>
                </c:pt>
                <c:pt idx="4">
                  <c:v>1.2101447975987187</c:v>
                </c:pt>
                <c:pt idx="5">
                  <c:v>0.27734871297395658</c:v>
                </c:pt>
              </c:numCache>
            </c:numRef>
          </c:val>
          <c:extLst>
            <c:ext xmlns:c16="http://schemas.microsoft.com/office/drawing/2014/chart" uri="{C3380CC4-5D6E-409C-BE32-E72D297353CC}">
              <c16:uniqueId val="{00000000-B8B3-426D-8951-65FBCA870D45}"/>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Sheet1!$D$2:$D$7</c:f>
              <c:numCache>
                <c:formatCode>0.00</c:formatCode>
                <c:ptCount val="6"/>
                <c:pt idx="0">
                  <c:v>-1.1019747251431553</c:v>
                </c:pt>
                <c:pt idx="1">
                  <c:v>5.7258965388988989E-2</c:v>
                </c:pt>
                <c:pt idx="2">
                  <c:v>-0.10269970749341066</c:v>
                </c:pt>
                <c:pt idx="3">
                  <c:v>0.70183227147092597</c:v>
                </c:pt>
                <c:pt idx="4">
                  <c:v>0.82010729212266931</c:v>
                </c:pt>
                <c:pt idx="5">
                  <c:v>1.0058651107239489</c:v>
                </c:pt>
              </c:numCache>
            </c:numRef>
          </c:val>
          <c:extLst>
            <c:ext xmlns:c16="http://schemas.microsoft.com/office/drawing/2014/chart" uri="{C3380CC4-5D6E-409C-BE32-E72D297353CC}">
              <c16:uniqueId val="{00000001-B8B3-426D-8951-65FBCA870D45}"/>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Sheet1!$E$2:$E$7</c:f>
              <c:numCache>
                <c:formatCode>0.00</c:formatCode>
                <c:ptCount val="6"/>
                <c:pt idx="0">
                  <c:v>0.11133439074537359</c:v>
                </c:pt>
                <c:pt idx="1">
                  <c:v>0.59923971156041689</c:v>
                </c:pt>
                <c:pt idx="2">
                  <c:v>-0.14314523364447745</c:v>
                </c:pt>
                <c:pt idx="3">
                  <c:v>-6.806663963794346E-2</c:v>
                </c:pt>
                <c:pt idx="4">
                  <c:v>-0.10962525029880942</c:v>
                </c:pt>
                <c:pt idx="5">
                  <c:v>-0.14639218428663606</c:v>
                </c:pt>
              </c:numCache>
            </c:numRef>
          </c:val>
          <c:extLst>
            <c:ext xmlns:c16="http://schemas.microsoft.com/office/drawing/2014/chart" uri="{C3380CC4-5D6E-409C-BE32-E72D297353CC}">
              <c16:uniqueId val="{00000002-B8B3-426D-8951-65FBCA870D45}"/>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Sheet1!$F$2:$F$7</c:f>
              <c:numCache>
                <c:formatCode>0.00</c:formatCode>
                <c:ptCount val="6"/>
                <c:pt idx="0">
                  <c:v>0.16554715898889585</c:v>
                </c:pt>
                <c:pt idx="1">
                  <c:v>0.25702559241832573</c:v>
                </c:pt>
                <c:pt idx="2">
                  <c:v>0.11029455021970115</c:v>
                </c:pt>
                <c:pt idx="3">
                  <c:v>0.21405737932987379</c:v>
                </c:pt>
                <c:pt idx="4">
                  <c:v>0.33613774154182152</c:v>
                </c:pt>
                <c:pt idx="5">
                  <c:v>0.93081796892371771</c:v>
                </c:pt>
              </c:numCache>
            </c:numRef>
          </c:val>
          <c:extLst>
            <c:ext xmlns:c16="http://schemas.microsoft.com/office/drawing/2014/chart" uri="{C3380CC4-5D6E-409C-BE32-E72D297353CC}">
              <c16:uniqueId val="{00000003-B8B3-426D-8951-65FBCA870D45}"/>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Sheet1!$G$2:$G$7</c:f>
              <c:numCache>
                <c:formatCode>0.00</c:formatCode>
                <c:ptCount val="6"/>
                <c:pt idx="0">
                  <c:v>-2.196264510177711</c:v>
                </c:pt>
                <c:pt idx="1">
                  <c:v>3.1753212228952497</c:v>
                </c:pt>
                <c:pt idx="2">
                  <c:v>3.5616218285896388</c:v>
                </c:pt>
                <c:pt idx="3">
                  <c:v>4.0458096579766192</c:v>
                </c:pt>
                <c:pt idx="4">
                  <c:v>6.440804379479915</c:v>
                </c:pt>
                <c:pt idx="5">
                  <c:v>8.9502658816678462</c:v>
                </c:pt>
              </c:numCache>
            </c:numRef>
          </c:val>
          <c:extLst>
            <c:ext xmlns:c16="http://schemas.microsoft.com/office/drawing/2014/chart" uri="{C3380CC4-5D6E-409C-BE32-E72D297353CC}">
              <c16:uniqueId val="{00000004-B8B3-426D-8951-65FBCA870D45}"/>
            </c:ext>
          </c:extLst>
        </c:ser>
        <c:dLbls>
          <c:showLegendKey val="0"/>
          <c:showVal val="0"/>
          <c:showCatName val="0"/>
          <c:showSerName val="0"/>
          <c:showPercent val="0"/>
          <c:showBubbleSize val="0"/>
        </c:dLbls>
        <c:gapWidth val="219"/>
        <c:overlap val="100"/>
        <c:axId val="241025408"/>
        <c:axId val="241026944"/>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652585959009664E-2"/>
                  <c:y val="-7.53709618073441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8B3-426D-8951-65FBCA870D45}"/>
                </c:ext>
              </c:extLst>
            </c:dLbl>
            <c:dLbl>
              <c:idx val="1"/>
              <c:layout>
                <c:manualLayout>
                  <c:x val="-4.7121498835169112E-2"/>
                  <c:y val="-4.8903083376260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8B3-426D-8951-65FBCA870D45}"/>
                </c:ext>
              </c:extLst>
            </c:dLbl>
            <c:dLbl>
              <c:idx val="2"/>
              <c:layout>
                <c:manualLayout>
                  <c:x val="-6.0971019558483462E-2"/>
                  <c:y val="-5.97754065788506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B3-426D-8951-65FBCA870D45}"/>
                </c:ext>
              </c:extLst>
            </c:dLbl>
            <c:dLbl>
              <c:idx val="3"/>
              <c:layout>
                <c:manualLayout>
                  <c:x val="-6.5375853821902349E-2"/>
                  <c:y val="-5.05744352049452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8B3-426D-8951-65FBCA870D45}"/>
                </c:ext>
              </c:extLst>
            </c:dLbl>
            <c:dLbl>
              <c:idx val="4"/>
              <c:layout>
                <c:manualLayout>
                  <c:x val="-6.9136027797531377E-2"/>
                  <c:y val="-5.71473986312458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8B3-426D-8951-65FBCA870D45}"/>
                </c:ext>
              </c:extLst>
            </c:dLbl>
            <c:dLbl>
              <c:idx val="5"/>
              <c:layout>
                <c:manualLayout>
                  <c:x val="-3.4987972884321011E-2"/>
                  <c:y val="-5.98130841121495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8B3-426D-8951-65FBCA870D45}"/>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Sheet1!$B$2:$B$7</c:f>
              <c:numCache>
                <c:formatCode>0.0</c:formatCode>
                <c:ptCount val="6"/>
                <c:pt idx="0">
                  <c:v>-1.7105012063857572</c:v>
                </c:pt>
                <c:pt idx="1">
                  <c:v>3.7328576254784878</c:v>
                </c:pt>
                <c:pt idx="2">
                  <c:v>3.131839145518839</c:v>
                </c:pt>
                <c:pt idx="3">
                  <c:v>5.700000000000002</c:v>
                </c:pt>
                <c:pt idx="4">
                  <c:v>8.6975689604443147</c:v>
                </c:pt>
                <c:pt idx="5">
                  <c:v>11.017905490002832</c:v>
                </c:pt>
              </c:numCache>
            </c:numRef>
          </c:val>
          <c:smooth val="0"/>
          <c:extLst>
            <c:ext xmlns:c16="http://schemas.microsoft.com/office/drawing/2014/chart" uri="{C3380CC4-5D6E-409C-BE32-E72D297353CC}">
              <c16:uniqueId val="{0000000B-B8B3-426D-8951-65FBCA870D45}"/>
            </c:ext>
          </c:extLst>
        </c:ser>
        <c:dLbls>
          <c:showLegendKey val="0"/>
          <c:showVal val="0"/>
          <c:showCatName val="0"/>
          <c:showSerName val="0"/>
          <c:showPercent val="0"/>
          <c:showBubbleSize val="0"/>
        </c:dLbls>
        <c:marker val="1"/>
        <c:smooth val="0"/>
        <c:axId val="241025408"/>
        <c:axId val="241026944"/>
      </c:lineChart>
      <c:catAx>
        <c:axId val="24102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241026944"/>
        <c:crosses val="autoZero"/>
        <c:auto val="1"/>
        <c:lblAlgn val="ctr"/>
        <c:lblOffset val="100"/>
        <c:noMultiLvlLbl val="0"/>
      </c:catAx>
      <c:valAx>
        <c:axId val="241026944"/>
        <c:scaling>
          <c:orientation val="minMax"/>
          <c:max val="12"/>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en-US"/>
          </a:p>
        </c:txPr>
        <c:crossAx val="241025408"/>
        <c:crosses val="autoZero"/>
        <c:crossBetween val="between"/>
        <c:majorUnit val="2"/>
        <c:minorUnit val="2"/>
      </c:valAx>
      <c:spPr>
        <a:noFill/>
        <a:ln>
          <a:noFill/>
        </a:ln>
        <a:effectLst/>
      </c:spPr>
    </c:plotArea>
    <c:legend>
      <c:legendPos val="b"/>
      <c:layout>
        <c:manualLayout>
          <c:xMode val="edge"/>
          <c:yMode val="edge"/>
          <c:x val="4.8648018769902046E-2"/>
          <c:y val="0.83925459317585294"/>
          <c:w val="0.95135189902732742"/>
          <c:h val="0.15626745406824169"/>
        </c:manualLayout>
      </c:layout>
      <c:overlay val="0"/>
      <c:spPr>
        <a:noFill/>
        <a:ln>
          <a:noFill/>
        </a:ln>
        <a:effectLst/>
      </c:spPr>
      <c:txPr>
        <a:bodyPr rot="0" vert="horz"/>
        <a:lstStyle/>
        <a:p>
          <a:pPr>
            <a:defRPr sz="5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7.0365212113800715E-2"/>
          <c:w val="0.87260540551091115"/>
          <c:h val="0.61464478622415186"/>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Sheet1!$C$2:$C$7</c:f>
              <c:numCache>
                <c:formatCode>0.0</c:formatCode>
                <c:ptCount val="6"/>
                <c:pt idx="0">
                  <c:v>0.49082509064502777</c:v>
                </c:pt>
                <c:pt idx="1">
                  <c:v>3.9977445920885319</c:v>
                </c:pt>
                <c:pt idx="2">
                  <c:v>2.001373772770076</c:v>
                </c:pt>
                <c:pt idx="3">
                  <c:v>3.9729800336873691</c:v>
                </c:pt>
                <c:pt idx="4">
                  <c:v>5.0396527173476953</c:v>
                </c:pt>
                <c:pt idx="5">
                  <c:v>5.6129676121429952</c:v>
                </c:pt>
              </c:numCache>
            </c:numRef>
          </c:val>
          <c:extLst>
            <c:ext xmlns:c16="http://schemas.microsoft.com/office/drawing/2014/chart" uri="{C3380CC4-5D6E-409C-BE32-E72D297353CC}">
              <c16:uniqueId val="{00000000-1ABA-4A5E-97F7-24A6DAAEA602}"/>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Sheet1!$D$2:$D$7</c:f>
              <c:numCache>
                <c:formatCode>0.0</c:formatCode>
                <c:ptCount val="6"/>
                <c:pt idx="0">
                  <c:v>0.35989811400704419</c:v>
                </c:pt>
                <c:pt idx="1">
                  <c:v>0.69248137086837658</c:v>
                </c:pt>
                <c:pt idx="2">
                  <c:v>0.64869428054670819</c:v>
                </c:pt>
                <c:pt idx="3">
                  <c:v>1.1197570388766716</c:v>
                </c:pt>
                <c:pt idx="4">
                  <c:v>1.1408836739517525</c:v>
                </c:pt>
                <c:pt idx="5">
                  <c:v>2.1705791700386676</c:v>
                </c:pt>
              </c:numCache>
            </c:numRef>
          </c:val>
          <c:extLst>
            <c:ext xmlns:c16="http://schemas.microsoft.com/office/drawing/2014/chart" uri="{C3380CC4-5D6E-409C-BE32-E72D297353CC}">
              <c16:uniqueId val="{00000001-1ABA-4A5E-97F7-24A6DAAEA602}"/>
            </c:ext>
          </c:extLst>
        </c:ser>
        <c:ser>
          <c:idx val="3"/>
          <c:order val="3"/>
          <c:tx>
            <c:strRef>
              <c:f>Sheet1!$E$1</c:f>
              <c:strCache>
                <c:ptCount val="1"/>
                <c:pt idx="0">
                  <c:v>Արտահանում</c:v>
                </c:pt>
              </c:strCache>
            </c:strRef>
          </c:tx>
          <c:spPr>
            <a:solidFill>
              <a:schemeClr val="accent4"/>
            </a:solidFill>
            <a:ln>
              <a:noFill/>
            </a:ln>
            <a:effectLst/>
          </c:spPr>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Sheet1!$E$2:$E$7</c:f>
              <c:numCache>
                <c:formatCode>0.0</c:formatCode>
                <c:ptCount val="6"/>
                <c:pt idx="0">
                  <c:v>-7.8223246613696844</c:v>
                </c:pt>
                <c:pt idx="1">
                  <c:v>0.86307003119078263</c:v>
                </c:pt>
                <c:pt idx="2">
                  <c:v>3.823995023052059</c:v>
                </c:pt>
                <c:pt idx="3">
                  <c:v>4.9409878279221022</c:v>
                </c:pt>
                <c:pt idx="4">
                  <c:v>9.3064752121633703</c:v>
                </c:pt>
                <c:pt idx="5">
                  <c:v>12.048655289561014</c:v>
                </c:pt>
              </c:numCache>
            </c:numRef>
          </c:val>
          <c:extLst>
            <c:ext xmlns:c16="http://schemas.microsoft.com/office/drawing/2014/chart" uri="{C3380CC4-5D6E-409C-BE32-E72D297353CC}">
              <c16:uniqueId val="{00000002-1ABA-4A5E-97F7-24A6DAAEA602}"/>
            </c:ext>
          </c:extLst>
        </c:ser>
        <c:ser>
          <c:idx val="4"/>
          <c:order val="4"/>
          <c:tx>
            <c:strRef>
              <c:f>Sheet1!$F$1</c:f>
              <c:strCache>
                <c:ptCount val="1"/>
                <c:pt idx="0">
                  <c:v>Ներմուծում ("-" նշանով)</c:v>
                </c:pt>
              </c:strCache>
            </c:strRef>
          </c:tx>
          <c:invertIfNegative val="0"/>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Sheet1!$F$2:$F$7</c:f>
              <c:numCache>
                <c:formatCode>0.0</c:formatCode>
                <c:ptCount val="6"/>
                <c:pt idx="0">
                  <c:v>9.3425088760713315</c:v>
                </c:pt>
                <c:pt idx="1">
                  <c:v>-1.0211297554187455</c:v>
                </c:pt>
                <c:pt idx="2">
                  <c:v>-2.6051822356334178</c:v>
                </c:pt>
                <c:pt idx="3">
                  <c:v>-5.1243728605494399</c:v>
                </c:pt>
                <c:pt idx="4">
                  <c:v>-11.3475410588701</c:v>
                </c:pt>
                <c:pt idx="5">
                  <c:v>-11.485906770549899</c:v>
                </c:pt>
              </c:numCache>
            </c:numRef>
          </c:val>
          <c:extLst>
            <c:ext xmlns:c16="http://schemas.microsoft.com/office/drawing/2014/chart" uri="{C3380CC4-5D6E-409C-BE32-E72D297353CC}">
              <c16:uniqueId val="{00000003-1ABA-4A5E-97F7-24A6DAAEA602}"/>
            </c:ext>
          </c:extLst>
        </c:ser>
        <c:dLbls>
          <c:showLegendKey val="0"/>
          <c:showVal val="0"/>
          <c:showCatName val="0"/>
          <c:showSerName val="0"/>
          <c:showPercent val="0"/>
          <c:showBubbleSize val="0"/>
        </c:dLbls>
        <c:gapWidth val="150"/>
        <c:overlap val="100"/>
        <c:axId val="241273088"/>
        <c:axId val="241283072"/>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9585960115114231E-2"/>
                  <c:y val="-7.10409890352490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ABA-4A5E-97F7-24A6DAAEA602}"/>
                </c:ext>
              </c:extLst>
            </c:dLbl>
            <c:dLbl>
              <c:idx val="1"/>
              <c:layout>
                <c:manualLayout>
                  <c:x val="-5.8612721641306091E-2"/>
                  <c:y val="-5.36787107219074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BA-4A5E-97F7-24A6DAAEA602}"/>
                </c:ext>
              </c:extLst>
            </c:dLbl>
            <c:dLbl>
              <c:idx val="2"/>
              <c:layout>
                <c:manualLayout>
                  <c:x val="-5.814112464237798E-2"/>
                  <c:y val="-5.67988814482301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ABA-4A5E-97F7-24A6DAAEA602}"/>
                </c:ext>
              </c:extLst>
            </c:dLbl>
            <c:dLbl>
              <c:idx val="3"/>
              <c:layout>
                <c:manualLayout>
                  <c:x val="-6.0503835734359648E-2"/>
                  <c:y val="-5.39171388623151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BA-4A5E-97F7-24A6DAAEA602}"/>
                </c:ext>
              </c:extLst>
            </c:dLbl>
            <c:dLbl>
              <c:idx val="4"/>
              <c:layout>
                <c:manualLayout>
                  <c:x val="-5.1396646158779993E-2"/>
                  <c:y val="-5.94504378541467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ABA-4A5E-97F7-24A6DAAEA602}"/>
                </c:ext>
              </c:extLst>
            </c:dLbl>
            <c:dLbl>
              <c:idx val="5"/>
              <c:layout>
                <c:manualLayout>
                  <c:x val="-4.7159699892819019E-2"/>
                  <c:y val="-4.50717492089189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ABA-4A5E-97F7-24A6DAAEA602}"/>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-2021</c:v>
                </c:pt>
                <c:pt idx="1">
                  <c:v>I-II եռ. -2021</c:v>
                </c:pt>
                <c:pt idx="2">
                  <c:v>I-III եռ. -2021</c:v>
                </c:pt>
                <c:pt idx="3">
                  <c:v>I-IV եռ. -2021</c:v>
                </c:pt>
                <c:pt idx="4">
                  <c:v>I եռ. -2022</c:v>
                </c:pt>
                <c:pt idx="5">
                  <c:v>I-II եռ. -2022</c:v>
                </c:pt>
              </c:strCache>
            </c:strRef>
          </c:cat>
          <c:val>
            <c:numRef>
              <c:f>Sheet1!$B$2:$B$7</c:f>
              <c:numCache>
                <c:formatCode>0.0</c:formatCode>
                <c:ptCount val="6"/>
                <c:pt idx="0">
                  <c:v>-1.7105012063857572</c:v>
                </c:pt>
                <c:pt idx="1">
                  <c:v>3.7328576254784878</c:v>
                </c:pt>
                <c:pt idx="2">
                  <c:v>3.131839145518839</c:v>
                </c:pt>
                <c:pt idx="3">
                  <c:v>5.700000000000002</c:v>
                </c:pt>
                <c:pt idx="4">
                  <c:v>8.6975689604443147</c:v>
                </c:pt>
                <c:pt idx="5">
                  <c:v>11.017905490002832</c:v>
                </c:pt>
              </c:numCache>
            </c:numRef>
          </c:val>
          <c:smooth val="0"/>
          <c:extLst>
            <c:ext xmlns:c16="http://schemas.microsoft.com/office/drawing/2014/chart" uri="{C3380CC4-5D6E-409C-BE32-E72D297353CC}">
              <c16:uniqueId val="{0000000A-1ABA-4A5E-97F7-24A6DAAEA602}"/>
            </c:ext>
          </c:extLst>
        </c:ser>
        <c:dLbls>
          <c:showLegendKey val="0"/>
          <c:showVal val="0"/>
          <c:showCatName val="0"/>
          <c:showSerName val="0"/>
          <c:showPercent val="0"/>
          <c:showBubbleSize val="0"/>
        </c:dLbls>
        <c:marker val="1"/>
        <c:smooth val="0"/>
        <c:axId val="241273088"/>
        <c:axId val="241283072"/>
      </c:lineChart>
      <c:catAx>
        <c:axId val="24127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241283072"/>
        <c:crosses val="autoZero"/>
        <c:auto val="1"/>
        <c:lblAlgn val="ctr"/>
        <c:lblOffset val="100"/>
        <c:noMultiLvlLbl val="0"/>
      </c:catAx>
      <c:valAx>
        <c:axId val="241283072"/>
        <c:scaling>
          <c:orientation val="minMax"/>
          <c:max val="22"/>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700"/>
            </a:pPr>
            <a:endParaRPr lang="en-US"/>
          </a:p>
        </c:txPr>
        <c:crossAx val="241273088"/>
        <c:crosses val="autoZero"/>
        <c:crossBetween val="between"/>
        <c:majorUnit val="4"/>
      </c:valAx>
      <c:spPr>
        <a:noFill/>
        <a:ln w="25400">
          <a:noFill/>
        </a:ln>
        <a:effectLst/>
      </c:spPr>
    </c:plotArea>
    <c:legend>
      <c:legendPos val="b"/>
      <c:layout>
        <c:manualLayout>
          <c:xMode val="edge"/>
          <c:yMode val="edge"/>
          <c:x val="0"/>
          <c:y val="0.70153329899183159"/>
          <c:w val="1"/>
          <c:h val="0.29846670100816841"/>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7687837896831341E-2"/>
          <c:w val="0.87658476118247253"/>
          <c:h val="0.6148588444244294"/>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Sheet1!$B$3:$I$3</c:f>
              <c:numCache>
                <c:formatCode>0.0</c:formatCode>
                <c:ptCount val="8"/>
                <c:pt idx="0">
                  <c:v>16.700000000000031</c:v>
                </c:pt>
                <c:pt idx="1">
                  <c:v>9.3203777289514278</c:v>
                </c:pt>
                <c:pt idx="2">
                  <c:v>3.4649554560304097</c:v>
                </c:pt>
                <c:pt idx="3">
                  <c:v>2.9757587775538497</c:v>
                </c:pt>
                <c:pt idx="4">
                  <c:v>2.8005207674161738</c:v>
                </c:pt>
                <c:pt idx="5">
                  <c:v>5.8797994866860677</c:v>
                </c:pt>
                <c:pt idx="6">
                  <c:v>7.0869489727112693</c:v>
                </c:pt>
                <c:pt idx="7">
                  <c:v>9.262687639037992</c:v>
                </c:pt>
              </c:numCache>
            </c:numRef>
          </c:val>
          <c:extLst>
            <c:ext xmlns:c16="http://schemas.microsoft.com/office/drawing/2014/chart" uri="{C3380CC4-5D6E-409C-BE32-E72D297353CC}">
              <c16:uniqueId val="{00000000-B8AF-4981-822C-376AF8FF0C66}"/>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-5.4000000000000057</c:v>
                </c:pt>
                <c:pt idx="3">
                  <c:v>0</c:v>
                </c:pt>
                <c:pt idx="4">
                  <c:v>0</c:v>
                </c:pt>
                <c:pt idx="5">
                  <c:v>-5.5</c:v>
                </c:pt>
                <c:pt idx="6">
                  <c:v>0</c:v>
                </c:pt>
                <c:pt idx="7">
                  <c:v>0</c:v>
                </c:pt>
              </c:numCache>
            </c:numRef>
          </c:val>
          <c:extLst>
            <c:ext xmlns:c16="http://schemas.microsoft.com/office/drawing/2014/chart" uri="{C3380CC4-5D6E-409C-BE32-E72D297353CC}">
              <c16:uniqueId val="{00000001-B8AF-4981-822C-376AF8FF0C66}"/>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Sheet1!$B$5:$I$5</c:f>
              <c:numCache>
                <c:formatCode>0.0</c:formatCode>
                <c:ptCount val="8"/>
                <c:pt idx="0">
                  <c:v>3</c:v>
                </c:pt>
                <c:pt idx="1">
                  <c:v>4.9000000000000057</c:v>
                </c:pt>
                <c:pt idx="2">
                  <c:v>6.2000000000000028</c:v>
                </c:pt>
                <c:pt idx="3">
                  <c:v>9</c:v>
                </c:pt>
                <c:pt idx="4">
                  <c:v>11.400000000000006</c:v>
                </c:pt>
                <c:pt idx="5">
                  <c:v>12.700000000000003</c:v>
                </c:pt>
                <c:pt idx="6">
                  <c:v>13.599999999999994</c:v>
                </c:pt>
                <c:pt idx="7">
                  <c:v>14.200000000000003</c:v>
                </c:pt>
              </c:numCache>
            </c:numRef>
          </c:val>
          <c:extLst>
            <c:ext xmlns:c16="http://schemas.microsoft.com/office/drawing/2014/chart" uri="{C3380CC4-5D6E-409C-BE32-E72D297353CC}">
              <c16:uniqueId val="{00000002-B8AF-4981-822C-376AF8FF0C66}"/>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Sheet1!$B$6:$I$6</c:f>
              <c:numCache>
                <c:formatCode>0.0</c:formatCode>
                <c:ptCount val="8"/>
                <c:pt idx="0">
                  <c:v>21.200000000000003</c:v>
                </c:pt>
                <c:pt idx="1">
                  <c:v>20.074856909207895</c:v>
                </c:pt>
                <c:pt idx="2">
                  <c:v>22.165342918615721</c:v>
                </c:pt>
                <c:pt idx="3">
                  <c:v>23.481237998492645</c:v>
                </c:pt>
                <c:pt idx="4">
                  <c:v>24.935253478144688</c:v>
                </c:pt>
                <c:pt idx="5">
                  <c:v>26.876715804622606</c:v>
                </c:pt>
                <c:pt idx="6">
                  <c:v>27.470561442139712</c:v>
                </c:pt>
                <c:pt idx="7">
                  <c:v>27.15539464843593</c:v>
                </c:pt>
              </c:numCache>
            </c:numRef>
          </c:val>
          <c:extLst>
            <c:ext xmlns:c16="http://schemas.microsoft.com/office/drawing/2014/chart" uri="{C3380CC4-5D6E-409C-BE32-E72D297353CC}">
              <c16:uniqueId val="{00000003-B8AF-4981-822C-376AF8FF0C66}"/>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Sheet1!$B$7:$I$7</c:f>
              <c:numCache>
                <c:formatCode>0.0</c:formatCode>
                <c:ptCount val="8"/>
                <c:pt idx="0">
                  <c:v>11.5</c:v>
                </c:pt>
                <c:pt idx="1">
                  <c:v>8.2000000000000028</c:v>
                </c:pt>
                <c:pt idx="2">
                  <c:v>7.5999999999999943</c:v>
                </c:pt>
                <c:pt idx="3">
                  <c:v>7.7999999999999972</c:v>
                </c:pt>
                <c:pt idx="4">
                  <c:v>8.9000000000000057</c:v>
                </c:pt>
                <c:pt idx="5">
                  <c:v>10.700000000000003</c:v>
                </c:pt>
                <c:pt idx="6">
                  <c:v>12.5</c:v>
                </c:pt>
                <c:pt idx="7">
                  <c:v>13.599999999999994</c:v>
                </c:pt>
              </c:numCache>
            </c:numRef>
          </c:val>
          <c:extLst>
            <c:ext xmlns:c16="http://schemas.microsoft.com/office/drawing/2014/chart" uri="{C3380CC4-5D6E-409C-BE32-E72D297353CC}">
              <c16:uniqueId val="{00000004-B8AF-4981-822C-376AF8FF0C66}"/>
            </c:ext>
          </c:extLst>
        </c:ser>
        <c:dLbls>
          <c:showLegendKey val="0"/>
          <c:showVal val="0"/>
          <c:showCatName val="0"/>
          <c:showSerName val="0"/>
          <c:showPercent val="0"/>
          <c:showBubbleSize val="0"/>
        </c:dLbls>
        <c:gapWidth val="150"/>
        <c:axId val="241314816"/>
        <c:axId val="241316608"/>
      </c:barChart>
      <c:lineChart>
        <c:grouping val="standard"/>
        <c:varyColors val="0"/>
        <c:ser>
          <c:idx val="0"/>
          <c:order val="0"/>
          <c:tx>
            <c:strRef>
              <c:f>Sheet1!$A$2</c:f>
              <c:strCache>
                <c:ptCount val="1"/>
                <c:pt idx="0">
                  <c:v>ՏԱՑ (աջ առանցք)</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4340432891392097E-2"/>
                  <c:y val="-3.9567668246725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8AF-4981-822C-376AF8FF0C66}"/>
                </c:ext>
              </c:extLst>
            </c:dLbl>
            <c:dLbl>
              <c:idx val="1"/>
              <c:layout>
                <c:manualLayout>
                  <c:x val="-4.9455541016345229E-2"/>
                  <c:y val="-4.54036840375985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8AF-4981-822C-376AF8FF0C66}"/>
                </c:ext>
              </c:extLst>
            </c:dLbl>
            <c:dLbl>
              <c:idx val="2"/>
              <c:layout>
                <c:manualLayout>
                  <c:x val="-3.6983400282590118E-2"/>
                  <c:y val="-4.087089784917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AF-4981-822C-376AF8FF0C66}"/>
                </c:ext>
              </c:extLst>
            </c:dLbl>
            <c:dLbl>
              <c:idx val="3"/>
              <c:layout>
                <c:manualLayout>
                  <c:x val="-4.9435635713376766E-2"/>
                  <c:y val="-4.0601614322575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8AF-4981-822C-376AF8FF0C66}"/>
                </c:ext>
              </c:extLst>
            </c:dLbl>
            <c:dLbl>
              <c:idx val="4"/>
              <c:layout>
                <c:manualLayout>
                  <c:x val="-6.5992931985864117E-2"/>
                  <c:y val="-4.06014407773496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8AF-4981-822C-376AF8FF0C66}"/>
                </c:ext>
              </c:extLst>
            </c:dLbl>
            <c:dLbl>
              <c:idx val="5"/>
              <c:layout>
                <c:manualLayout>
                  <c:x val="-5.8019063406547867E-2"/>
                  <c:y val="-4.085205719288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8AF-4981-822C-376AF8FF0C66}"/>
                </c:ext>
              </c:extLst>
            </c:dLbl>
            <c:dLbl>
              <c:idx val="6"/>
              <c:layout>
                <c:manualLayout>
                  <c:x val="-6.2163282221301283E-2"/>
                  <c:y val="-4.66880653632915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8AF-4981-822C-376AF8FF0C66}"/>
                </c:ext>
              </c:extLst>
            </c:dLbl>
            <c:dLbl>
              <c:idx val="7"/>
              <c:layout>
                <c:manualLayout>
                  <c:x val="-6.2163282221301436E-2"/>
                  <c:y val="-4.085205719288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B8AF-4981-822C-376AF8FF0C66}"/>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Sheet1!$B$2:$I$2</c:f>
              <c:numCache>
                <c:formatCode>0.0</c:formatCode>
                <c:ptCount val="8"/>
                <c:pt idx="0">
                  <c:v>14.81051623645115</c:v>
                </c:pt>
                <c:pt idx="1">
                  <c:v>11.383875072057847</c:v>
                </c:pt>
                <c:pt idx="2">
                  <c:v>9.6891393001964161</c:v>
                </c:pt>
                <c:pt idx="3">
                  <c:v>9.4416532977950567</c:v>
                </c:pt>
                <c:pt idx="4">
                  <c:v>10.231292819763922</c:v>
                </c:pt>
                <c:pt idx="5">
                  <c:v>11.819473276141395</c:v>
                </c:pt>
                <c:pt idx="6">
                  <c:v>13.141756991273155</c:v>
                </c:pt>
                <c:pt idx="7">
                  <c:v>13.953083534739633</c:v>
                </c:pt>
              </c:numCache>
            </c:numRef>
          </c:val>
          <c:smooth val="0"/>
          <c:extLst>
            <c:ext xmlns:c16="http://schemas.microsoft.com/office/drawing/2014/chart" uri="{C3380CC4-5D6E-409C-BE32-E72D297353CC}">
              <c16:uniqueId val="{0000000D-B8AF-4981-822C-376AF8FF0C66}"/>
            </c:ext>
          </c:extLst>
        </c:ser>
        <c:dLbls>
          <c:showLegendKey val="0"/>
          <c:showVal val="0"/>
          <c:showCatName val="0"/>
          <c:showSerName val="0"/>
          <c:showPercent val="0"/>
          <c:showBubbleSize val="0"/>
        </c:dLbls>
        <c:marker val="1"/>
        <c:smooth val="0"/>
        <c:axId val="241324032"/>
        <c:axId val="241318144"/>
      </c:lineChart>
      <c:catAx>
        <c:axId val="2413148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1316608"/>
        <c:crosses val="autoZero"/>
        <c:auto val="1"/>
        <c:lblAlgn val="ctr"/>
        <c:lblOffset val="100"/>
        <c:noMultiLvlLbl val="0"/>
      </c:catAx>
      <c:valAx>
        <c:axId val="241316608"/>
        <c:scaling>
          <c:orientation val="minMax"/>
          <c:max val="30"/>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1314816"/>
        <c:crosses val="autoZero"/>
        <c:crossBetween val="between"/>
        <c:majorUnit val="6"/>
      </c:valAx>
      <c:valAx>
        <c:axId val="241318144"/>
        <c:scaling>
          <c:orientation val="minMax"/>
        </c:scaling>
        <c:delete val="0"/>
        <c:axPos val="r"/>
        <c:numFmt formatCode="0.0" sourceLinked="1"/>
        <c:majorTickMark val="out"/>
        <c:minorTickMark val="none"/>
        <c:tickLblPos val="nextTo"/>
        <c:crossAx val="241324032"/>
        <c:crosses val="max"/>
        <c:crossBetween val="between"/>
      </c:valAx>
      <c:catAx>
        <c:axId val="241324032"/>
        <c:scaling>
          <c:orientation val="minMax"/>
        </c:scaling>
        <c:delete val="1"/>
        <c:axPos val="b"/>
        <c:numFmt formatCode="General" sourceLinked="1"/>
        <c:majorTickMark val="out"/>
        <c:minorTickMark val="none"/>
        <c:tickLblPos val="none"/>
        <c:crossAx val="241318144"/>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16.700000000000003</c:v>
                </c:pt>
                <c:pt idx="1">
                  <c:v>2.9000000000000057</c:v>
                </c:pt>
                <c:pt idx="2">
                  <c:v>-6.4000000000000057</c:v>
                </c:pt>
                <c:pt idx="3">
                  <c:v>1.7000000000000028</c:v>
                </c:pt>
                <c:pt idx="4">
                  <c:v>2.2000000000000028</c:v>
                </c:pt>
                <c:pt idx="5">
                  <c:v>19.099999999999994</c:v>
                </c:pt>
                <c:pt idx="6">
                  <c:v>13.700000000000003</c:v>
                </c:pt>
                <c:pt idx="7">
                  <c:v>23.299999999999997</c:v>
                </c:pt>
              </c:numCache>
            </c:numRef>
          </c:val>
          <c:extLst>
            <c:ext xmlns:c16="http://schemas.microsoft.com/office/drawing/2014/chart" uri="{C3380CC4-5D6E-409C-BE32-E72D297353CC}">
              <c16:uniqueId val="{00000000-025D-4B51-880C-F5E0CE7FE650}"/>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3</c:v>
                </c:pt>
                <c:pt idx="1">
                  <c:v>6.2999999999999972</c:v>
                </c:pt>
                <c:pt idx="2">
                  <c:v>8.2000000000000028</c:v>
                </c:pt>
                <c:pt idx="3">
                  <c:v>15.599999999999994</c:v>
                </c:pt>
                <c:pt idx="4">
                  <c:v>18.099999999999994</c:v>
                </c:pt>
                <c:pt idx="5">
                  <c:v>16.700000000000003</c:v>
                </c:pt>
                <c:pt idx="6">
                  <c:v>16.799999999999997</c:v>
                </c:pt>
                <c:pt idx="7">
                  <c:v>16.299999999999997</c:v>
                </c:pt>
              </c:numCache>
            </c:numRef>
          </c:val>
          <c:extLst>
            <c:ext xmlns:c16="http://schemas.microsoft.com/office/drawing/2014/chart" uri="{C3380CC4-5D6E-409C-BE32-E72D297353CC}">
              <c16:uniqueId val="{00000001-025D-4B51-880C-F5E0CE7FE650}"/>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21.200000000000003</c:v>
                </c:pt>
                <c:pt idx="1">
                  <c:v>19</c:v>
                </c:pt>
                <c:pt idx="2">
                  <c:v>25.900000000000006</c:v>
                </c:pt>
                <c:pt idx="3">
                  <c:v>27.099999999999994</c:v>
                </c:pt>
                <c:pt idx="4">
                  <c:v>30.199999999999989</c:v>
                </c:pt>
                <c:pt idx="5">
                  <c:v>35.5</c:v>
                </c:pt>
                <c:pt idx="6">
                  <c:v>30.599999999999994</c:v>
                </c:pt>
                <c:pt idx="7">
                  <c:v>25.200000000000003</c:v>
                </c:pt>
              </c:numCache>
            </c:numRef>
          </c:val>
          <c:extLst>
            <c:ext xmlns:c16="http://schemas.microsoft.com/office/drawing/2014/chart" uri="{C3380CC4-5D6E-409C-BE32-E72D297353CC}">
              <c16:uniqueId val="{00000002-025D-4B51-880C-F5E0CE7FE650}"/>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11.5</c:v>
                </c:pt>
                <c:pt idx="1">
                  <c:v>5.2999999999999972</c:v>
                </c:pt>
                <c:pt idx="2">
                  <c:v>6.5999999999999943</c:v>
                </c:pt>
                <c:pt idx="3">
                  <c:v>8.5999999999999943</c:v>
                </c:pt>
                <c:pt idx="4">
                  <c:v>12.400000000000006</c:v>
                </c:pt>
                <c:pt idx="5">
                  <c:v>18.200000000000003</c:v>
                </c:pt>
                <c:pt idx="6">
                  <c:v>21.299999999999997</c:v>
                </c:pt>
                <c:pt idx="7">
                  <c:v>20</c:v>
                </c:pt>
              </c:numCache>
            </c:numRef>
          </c:val>
          <c:extLst>
            <c:ext xmlns:c16="http://schemas.microsoft.com/office/drawing/2014/chart" uri="{C3380CC4-5D6E-409C-BE32-E72D297353CC}">
              <c16:uniqueId val="{00000003-025D-4B51-880C-F5E0CE7FE650}"/>
            </c:ext>
          </c:extLst>
        </c:ser>
        <c:dLbls>
          <c:showLegendKey val="0"/>
          <c:showVal val="0"/>
          <c:showCatName val="0"/>
          <c:showSerName val="0"/>
          <c:showPercent val="0"/>
          <c:showBubbleSize val="0"/>
        </c:dLbls>
        <c:gapWidth val="219"/>
        <c:overlap val="-27"/>
        <c:axId val="241792896"/>
        <c:axId val="241794432"/>
      </c:barChart>
      <c:lineChart>
        <c:grouping val="standard"/>
        <c:varyColors val="0"/>
        <c:ser>
          <c:idx val="0"/>
          <c:order val="0"/>
          <c:tx>
            <c:strRef>
              <c:f>Sheet1!$A$2</c:f>
              <c:strCache>
                <c:ptCount val="1"/>
                <c:pt idx="0">
                  <c:v>ՏԱՑ (աջ առանցք)</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0390729460704182E-2"/>
                  <c:y val="-5.20832688475174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25D-4B51-880C-F5E0CE7FE650}"/>
                </c:ext>
              </c:extLst>
            </c:dLbl>
            <c:dLbl>
              <c:idx val="1"/>
              <c:layout>
                <c:manualLayout>
                  <c:x val="-3.2586539890060912E-2"/>
                  <c:y val="-4.01995271454797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25D-4B51-880C-F5E0CE7FE650}"/>
                </c:ext>
              </c:extLst>
            </c:dLbl>
            <c:dLbl>
              <c:idx val="2"/>
              <c:layout>
                <c:manualLayout>
                  <c:x val="-7.8571452153386484E-2"/>
                  <c:y val="-3.88452975330228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25D-4B51-880C-F5E0CE7FE650}"/>
                </c:ext>
              </c:extLst>
            </c:dLbl>
            <c:dLbl>
              <c:idx val="3"/>
              <c:layout>
                <c:manualLayout>
                  <c:x val="-6.6061176315224748E-2"/>
                  <c:y val="-4.28647907193684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25D-4B51-880C-F5E0CE7FE650}"/>
                </c:ext>
              </c:extLst>
            </c:dLbl>
            <c:dLbl>
              <c:idx val="4"/>
              <c:layout>
                <c:manualLayout>
                  <c:x val="-7.4378580035986061E-2"/>
                  <c:y val="-4.55245399548284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25D-4B51-880C-F5E0CE7FE650}"/>
                </c:ext>
              </c:extLst>
            </c:dLbl>
            <c:dLbl>
              <c:idx val="5"/>
              <c:layout>
                <c:manualLayout>
                  <c:x val="-5.8700209643605873E-2"/>
                  <c:y val="-4.66880653632915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25D-4B51-880C-F5E0CE7FE650}"/>
                </c:ext>
              </c:extLst>
            </c:dLbl>
            <c:dLbl>
              <c:idx val="6"/>
              <c:layout>
                <c:manualLayout>
                  <c:x val="-5.0314465408805034E-2"/>
                  <c:y val="-4.0852057192880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25D-4B51-880C-F5E0CE7FE650}"/>
                </c:ext>
              </c:extLst>
            </c:dLbl>
            <c:dLbl>
              <c:idx val="7"/>
              <c:layout>
                <c:manualLayout>
                  <c:x val="-4.6121593291404611E-2"/>
                  <c:y val="-5.83600817041144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25D-4B51-880C-F5E0CE7FE650}"/>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14.81051623645115</c:v>
                </c:pt>
                <c:pt idx="1">
                  <c:v>8.3257211633604982</c:v>
                </c:pt>
                <c:pt idx="2">
                  <c:v>6.7716416471752581</c:v>
                </c:pt>
                <c:pt idx="3">
                  <c:v>8.7895461593255391</c:v>
                </c:pt>
                <c:pt idx="4">
                  <c:v>13.040396667584233</c:v>
                </c:pt>
                <c:pt idx="5">
                  <c:v>18.303638806864726</c:v>
                </c:pt>
                <c:pt idx="6">
                  <c:v>19.398472181546026</c:v>
                </c:pt>
                <c:pt idx="7">
                  <c:v>18.496803109603604</c:v>
                </c:pt>
              </c:numCache>
            </c:numRef>
          </c:val>
          <c:smooth val="0"/>
          <c:extLst>
            <c:ext xmlns:c16="http://schemas.microsoft.com/office/drawing/2014/chart" uri="{C3380CC4-5D6E-409C-BE32-E72D297353CC}">
              <c16:uniqueId val="{0000000C-025D-4B51-880C-F5E0CE7FE650}"/>
            </c:ext>
          </c:extLst>
        </c:ser>
        <c:dLbls>
          <c:showLegendKey val="0"/>
          <c:showVal val="0"/>
          <c:showCatName val="0"/>
          <c:showSerName val="0"/>
          <c:showPercent val="0"/>
          <c:showBubbleSize val="0"/>
        </c:dLbls>
        <c:marker val="1"/>
        <c:smooth val="0"/>
        <c:axId val="241797760"/>
        <c:axId val="241796224"/>
      </c:lineChart>
      <c:catAx>
        <c:axId val="241792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1794432"/>
        <c:crosses val="autoZero"/>
        <c:auto val="1"/>
        <c:lblAlgn val="ctr"/>
        <c:lblOffset val="100"/>
        <c:noMultiLvlLbl val="0"/>
      </c:catAx>
      <c:valAx>
        <c:axId val="241794432"/>
        <c:scaling>
          <c:orientation val="minMax"/>
          <c:max val="40"/>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1792896"/>
        <c:crosses val="autoZero"/>
        <c:crossBetween val="between"/>
        <c:majorUnit val="8"/>
      </c:valAx>
      <c:valAx>
        <c:axId val="241796224"/>
        <c:scaling>
          <c:orientation val="minMax"/>
          <c:max val="20"/>
        </c:scaling>
        <c:delete val="0"/>
        <c:axPos val="r"/>
        <c:numFmt formatCode="0.0" sourceLinked="1"/>
        <c:majorTickMark val="out"/>
        <c:minorTickMark val="none"/>
        <c:tickLblPos val="nextTo"/>
        <c:crossAx val="241797760"/>
        <c:crosses val="max"/>
        <c:crossBetween val="between"/>
      </c:valAx>
      <c:catAx>
        <c:axId val="241797760"/>
        <c:scaling>
          <c:orientation val="minMax"/>
        </c:scaling>
        <c:delete val="1"/>
        <c:axPos val="b"/>
        <c:numFmt formatCode="General" sourceLinked="1"/>
        <c:majorTickMark val="out"/>
        <c:minorTickMark val="none"/>
        <c:tickLblPos val="none"/>
        <c:crossAx val="241796224"/>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205534484890959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Sheet1!$B$3:$I$3</c:f>
              <c:numCache>
                <c:formatCode>0.0</c:formatCode>
                <c:ptCount val="8"/>
                <c:pt idx="0">
                  <c:v>3.7030065700093595</c:v>
                </c:pt>
                <c:pt idx="1">
                  <c:v>2.0666718542081428</c:v>
                </c:pt>
                <c:pt idx="2">
                  <c:v>0.76830855200421311</c:v>
                </c:pt>
                <c:pt idx="3">
                  <c:v>0.65983558706855716</c:v>
                </c:pt>
                <c:pt idx="4">
                  <c:v>0.62097885037064227</c:v>
                </c:pt>
                <c:pt idx="5">
                  <c:v>1.3037686305111453</c:v>
                </c:pt>
                <c:pt idx="6">
                  <c:v>1.5714382399563389</c:v>
                </c:pt>
                <c:pt idx="7">
                  <c:v>2.0538798313354554</c:v>
                </c:pt>
              </c:numCache>
            </c:numRef>
          </c:val>
          <c:extLst>
            <c:ext xmlns:c16="http://schemas.microsoft.com/office/drawing/2014/chart" uri="{C3380CC4-5D6E-409C-BE32-E72D297353CC}">
              <c16:uniqueId val="{00000000-CEEC-4991-A73C-5A0B7A71B404}"/>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-0.67444374001273288</c:v>
                </c:pt>
                <c:pt idx="3">
                  <c:v>0</c:v>
                </c:pt>
                <c:pt idx="4">
                  <c:v>0</c:v>
                </c:pt>
                <c:pt idx="5">
                  <c:v>-0.68693343890185687</c:v>
                </c:pt>
                <c:pt idx="6">
                  <c:v>0</c:v>
                </c:pt>
                <c:pt idx="7">
                  <c:v>0</c:v>
                </c:pt>
              </c:numCache>
            </c:numRef>
          </c:val>
          <c:extLst>
            <c:ext xmlns:c16="http://schemas.microsoft.com/office/drawing/2014/chart" uri="{C3380CC4-5D6E-409C-BE32-E72D297353CC}">
              <c16:uniqueId val="{00000001-CEEC-4991-A73C-5A0B7A71B404}"/>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Sheet1!$B$5:$I$5</c:f>
              <c:numCache>
                <c:formatCode>0.0</c:formatCode>
                <c:ptCount val="8"/>
                <c:pt idx="0">
                  <c:v>0.21525790674990417</c:v>
                </c:pt>
                <c:pt idx="1">
                  <c:v>0.35158791435817721</c:v>
                </c:pt>
                <c:pt idx="2">
                  <c:v>0.44486634061646879</c:v>
                </c:pt>
                <c:pt idx="3">
                  <c:v>0.64577372024971247</c:v>
                </c:pt>
                <c:pt idx="4">
                  <c:v>0.81798004564963622</c:v>
                </c:pt>
                <c:pt idx="5">
                  <c:v>0.91125847190792786</c:v>
                </c:pt>
                <c:pt idx="6">
                  <c:v>0.97583584393289846</c:v>
                </c:pt>
                <c:pt idx="7">
                  <c:v>1.0188874252828799</c:v>
                </c:pt>
              </c:numCache>
            </c:numRef>
          </c:val>
          <c:extLst>
            <c:ext xmlns:c16="http://schemas.microsoft.com/office/drawing/2014/chart" uri="{C3380CC4-5D6E-409C-BE32-E72D297353CC}">
              <c16:uniqueId val="{00000002-CEEC-4991-A73C-5A0B7A71B404}"/>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Sheet1!$B$6:$I$6</c:f>
              <c:numCache>
                <c:formatCode>0.0</c:formatCode>
                <c:ptCount val="8"/>
                <c:pt idx="0">
                  <c:v>9.7040852150518262</c:v>
                </c:pt>
                <c:pt idx="1">
                  <c:v>9.1890623644776088</c:v>
                </c:pt>
                <c:pt idx="2">
                  <c:v>10.145961155806249</c:v>
                </c:pt>
                <c:pt idx="3">
                  <c:v>10.748298796805924</c:v>
                </c:pt>
                <c:pt idx="4">
                  <c:v>11.413859651454409</c:v>
                </c:pt>
                <c:pt idx="5">
                  <c:v>12.302544361735281</c:v>
                </c:pt>
                <c:pt idx="6">
                  <c:v>12.574371185841542</c:v>
                </c:pt>
                <c:pt idx="7">
                  <c:v>12.430106779093611</c:v>
                </c:pt>
              </c:numCache>
            </c:numRef>
          </c:val>
          <c:extLst>
            <c:ext xmlns:c16="http://schemas.microsoft.com/office/drawing/2014/chart" uri="{C3380CC4-5D6E-409C-BE32-E72D297353CC}">
              <c16:uniqueId val="{00000003-CEEC-4991-A73C-5A0B7A71B404}"/>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Sheet1!$B$7:$I$7</c:f>
              <c:numCache>
                <c:formatCode>0.0</c:formatCode>
                <c:ptCount val="8"/>
                <c:pt idx="0">
                  <c:v>1.4245462451075392</c:v>
                </c:pt>
                <c:pt idx="1">
                  <c:v>1.0157634095549413</c:v>
                </c:pt>
                <c:pt idx="2">
                  <c:v>0.941439257636286</c:v>
                </c:pt>
                <c:pt idx="3">
                  <c:v>0.96621397494250449</c:v>
                </c:pt>
                <c:pt idx="4">
                  <c:v>1.102474920126705</c:v>
                </c:pt>
                <c:pt idx="5">
                  <c:v>1.3254473758826673</c:v>
                </c:pt>
                <c:pt idx="6">
                  <c:v>1.5484198316386295</c:v>
                </c:pt>
                <c:pt idx="7">
                  <c:v>1.6846807768228282</c:v>
                </c:pt>
              </c:numCache>
            </c:numRef>
          </c:val>
          <c:extLst>
            <c:ext xmlns:c16="http://schemas.microsoft.com/office/drawing/2014/chart" uri="{C3380CC4-5D6E-409C-BE32-E72D297353CC}">
              <c16:uniqueId val="{00000004-CEEC-4991-A73C-5A0B7A71B404}"/>
            </c:ext>
          </c:extLst>
        </c:ser>
        <c:ser>
          <c:idx val="6"/>
          <c:order val="6"/>
          <c:tx>
            <c:strRef>
              <c:f>Sheet1!$A$8</c:f>
              <c:strCache>
                <c:ptCount val="1"/>
                <c:pt idx="0">
                  <c:v>այլ </c:v>
                </c:pt>
              </c:strCache>
            </c:strRef>
          </c:tx>
          <c:spPr>
            <a:solidFill>
              <a:srgbClr val="5B9BD5">
                <a:lumMod val="40000"/>
                <a:lumOff val="60000"/>
              </a:srgbClr>
            </a:solidFill>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Sheet1!$B$8:$I$8</c:f>
              <c:numCache>
                <c:formatCode>0.0</c:formatCode>
                <c:ptCount val="8"/>
                <c:pt idx="0">
                  <c:v>-0.23637970046747925</c:v>
                </c:pt>
                <c:pt idx="1">
                  <c:v>-1.2392104705410216</c:v>
                </c:pt>
                <c:pt idx="2">
                  <c:v>-1.9369922658540681</c:v>
                </c:pt>
                <c:pt idx="3">
                  <c:v>-3.5784687812716411</c:v>
                </c:pt>
                <c:pt idx="4">
                  <c:v>-3.7240006478374696</c:v>
                </c:pt>
                <c:pt idx="5">
                  <c:v>-3.3366121249937706</c:v>
                </c:pt>
                <c:pt idx="6">
                  <c:v>-3.5283081100962552</c:v>
                </c:pt>
                <c:pt idx="7">
                  <c:v>-3.2344712777951408</c:v>
                </c:pt>
              </c:numCache>
            </c:numRef>
          </c:val>
          <c:extLst>
            <c:ext xmlns:c16="http://schemas.microsoft.com/office/drawing/2014/chart" uri="{C3380CC4-5D6E-409C-BE32-E72D297353CC}">
              <c16:uniqueId val="{00000005-CEEC-4991-A73C-5A0B7A71B404}"/>
            </c:ext>
          </c:extLst>
        </c:ser>
        <c:dLbls>
          <c:showLegendKey val="0"/>
          <c:showVal val="0"/>
          <c:showCatName val="0"/>
          <c:showSerName val="0"/>
          <c:showPercent val="0"/>
          <c:showBubbleSize val="0"/>
        </c:dLbls>
        <c:gapWidth val="150"/>
        <c:overlap val="100"/>
        <c:axId val="244868608"/>
        <c:axId val="244870144"/>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4.5370159499293398E-2"/>
                  <c:y val="-4.550030324550444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EEC-4991-A73C-5A0B7A71B404}"/>
                </c:ext>
              </c:extLst>
            </c:dLbl>
            <c:dLbl>
              <c:idx val="1"/>
              <c:layout>
                <c:manualLayout>
                  <c:x val="-5.7743751261861501E-2"/>
                  <c:y val="-5.208376772004958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EEC-4991-A73C-5A0B7A71B404}"/>
                </c:ext>
              </c:extLst>
            </c:dLbl>
            <c:dLbl>
              <c:idx val="2"/>
              <c:layout>
                <c:manualLayout>
                  <c:x val="-5.7435897435897436E-2"/>
                  <c:y val="-4.44182575958130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EEC-4991-A73C-5A0B7A71B404}"/>
                </c:ext>
              </c:extLst>
            </c:dLbl>
            <c:dLbl>
              <c:idx val="3"/>
              <c:layout>
                <c:manualLayout>
                  <c:x val="-5.7699818291944274E-2"/>
                  <c:y val="-4.2529056078641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EEC-4991-A73C-5A0B7A71B404}"/>
                </c:ext>
              </c:extLst>
            </c:dLbl>
            <c:dLbl>
              <c:idx val="4"/>
              <c:layout>
                <c:manualLayout>
                  <c:x val="-5.7457863920856195E-2"/>
                  <c:y val="-4.322485574456421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EEC-4991-A73C-5A0B7A71B404}"/>
                </c:ext>
              </c:extLst>
            </c:dLbl>
            <c:dLbl>
              <c:idx val="5"/>
              <c:layout>
                <c:manualLayout>
                  <c:x val="-6.153846153846154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EEC-4991-A73C-5A0B7A71B404}"/>
                </c:ext>
              </c:extLst>
            </c:dLbl>
            <c:dLbl>
              <c:idx val="6"/>
              <c:layout>
                <c:manualLayout>
                  <c:x val="-4.9230769230769231E-2"/>
                  <c:y val="-4.760487950014876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EEC-4991-A73C-5A0B7A71B404}"/>
                </c:ext>
              </c:extLst>
            </c:dLbl>
            <c:dLbl>
              <c:idx val="7"/>
              <c:layout>
                <c:manualLayout>
                  <c:x val="-3.28205128205128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EEC-4991-A73C-5A0B7A71B40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Sheet1!$B$2:$I$2</c:f>
              <c:numCache>
                <c:formatCode>0.0</c:formatCode>
                <c:ptCount val="8"/>
                <c:pt idx="0">
                  <c:v>14.81051623645115</c:v>
                </c:pt>
                <c:pt idx="1">
                  <c:v>11.383875072057847</c:v>
                </c:pt>
                <c:pt idx="2">
                  <c:v>9.6891393001964161</c:v>
                </c:pt>
                <c:pt idx="3">
                  <c:v>9.4416532977950567</c:v>
                </c:pt>
                <c:pt idx="4">
                  <c:v>10.231292819763922</c:v>
                </c:pt>
                <c:pt idx="5">
                  <c:v>11.819473276141395</c:v>
                </c:pt>
                <c:pt idx="6">
                  <c:v>13.141756991273155</c:v>
                </c:pt>
                <c:pt idx="7">
                  <c:v>13.953083534739633</c:v>
                </c:pt>
              </c:numCache>
            </c:numRef>
          </c:val>
          <c:smooth val="0"/>
          <c:extLst>
            <c:ext xmlns:c16="http://schemas.microsoft.com/office/drawing/2014/chart" uri="{C3380CC4-5D6E-409C-BE32-E72D297353CC}">
              <c16:uniqueId val="{0000000E-CEEC-4991-A73C-5A0B7A71B404}"/>
            </c:ext>
          </c:extLst>
        </c:ser>
        <c:dLbls>
          <c:showLegendKey val="0"/>
          <c:showVal val="0"/>
          <c:showCatName val="0"/>
          <c:showSerName val="0"/>
          <c:showPercent val="0"/>
          <c:showBubbleSize val="0"/>
        </c:dLbls>
        <c:marker val="1"/>
        <c:smooth val="0"/>
        <c:axId val="244868608"/>
        <c:axId val="244870144"/>
      </c:lineChart>
      <c:catAx>
        <c:axId val="244868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4870144"/>
        <c:crosses val="autoZero"/>
        <c:auto val="1"/>
        <c:lblAlgn val="ctr"/>
        <c:lblOffset val="100"/>
        <c:noMultiLvlLbl val="0"/>
      </c:catAx>
      <c:valAx>
        <c:axId val="244870144"/>
        <c:scaling>
          <c:orientation val="minMax"/>
          <c:max val="16"/>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4868608"/>
        <c:crosses val="autoZero"/>
        <c:crossBetween val="between"/>
      </c:valAx>
      <c:spPr>
        <a:noFill/>
        <a:ln>
          <a:noFill/>
        </a:ln>
        <a:effectLst/>
      </c:spPr>
    </c:plotArea>
    <c:legend>
      <c:legendPos val="b"/>
      <c:layout>
        <c:manualLayout>
          <c:xMode val="edge"/>
          <c:yMode val="edge"/>
          <c:x val="3.9212662156607202E-2"/>
          <c:y val="0.770639822716773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3.7030065700093533</c:v>
                </c:pt>
                <c:pt idx="1">
                  <c:v>0.64303706904354152</c:v>
                </c:pt>
                <c:pt idx="2">
                  <c:v>-1.4191162903029866</c:v>
                </c:pt>
                <c:pt idx="3">
                  <c:v>0.37695276461173111</c:v>
                </c:pt>
                <c:pt idx="4">
                  <c:v>0.48782122479165185</c:v>
                </c:pt>
                <c:pt idx="5">
                  <c:v>4.2351751788729706</c:v>
                </c:pt>
                <c:pt idx="6">
                  <c:v>3.0377958089298289</c:v>
                </c:pt>
                <c:pt idx="7">
                  <c:v>5.1664702443843051</c:v>
                </c:pt>
              </c:numCache>
            </c:numRef>
          </c:val>
          <c:extLst>
            <c:ext xmlns:c16="http://schemas.microsoft.com/office/drawing/2014/chart" uri="{C3380CC4-5D6E-409C-BE32-E72D297353CC}">
              <c16:uniqueId val="{00000000-A113-4413-ACEF-AFEFC6AB6BA3}"/>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0.21525790674990417</c:v>
                </c:pt>
                <c:pt idx="1">
                  <c:v>0.45204160417479855</c:v>
                </c:pt>
                <c:pt idx="2">
                  <c:v>0.58837161178307162</c:v>
                </c:pt>
                <c:pt idx="3">
                  <c:v>1.1193411150995012</c:v>
                </c:pt>
                <c:pt idx="4">
                  <c:v>1.2987227040577547</c:v>
                </c:pt>
                <c:pt idx="5">
                  <c:v>1.1982690142411334</c:v>
                </c:pt>
                <c:pt idx="6">
                  <c:v>1.2054442777994632</c:v>
                </c:pt>
                <c:pt idx="7">
                  <c:v>1.1695679600078124</c:v>
                </c:pt>
              </c:numCache>
            </c:numRef>
          </c:val>
          <c:extLst>
            <c:ext xmlns:c16="http://schemas.microsoft.com/office/drawing/2014/chart" uri="{C3380CC4-5D6E-409C-BE32-E72D297353CC}">
              <c16:uniqueId val="{00000001-A113-4413-ACEF-AFEFC6AB6BA3}"/>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9.7040852150518262</c:v>
                </c:pt>
                <c:pt idx="1">
                  <c:v>8.6970575040558806</c:v>
                </c:pt>
                <c:pt idx="2">
                  <c:v>11.855462597634071</c:v>
                </c:pt>
                <c:pt idx="3">
                  <c:v>12.404750439995491</c:v>
                </c:pt>
                <c:pt idx="4">
                  <c:v>13.8237440327625</c:v>
                </c:pt>
                <c:pt idx="5">
                  <c:v>16.24976533652546</c:v>
                </c:pt>
                <c:pt idx="6">
                  <c:v>14.006839980216311</c:v>
                </c:pt>
                <c:pt idx="7">
                  <c:v>11.535044689589906</c:v>
                </c:pt>
              </c:numCache>
            </c:numRef>
          </c:val>
          <c:extLst>
            <c:ext xmlns:c16="http://schemas.microsoft.com/office/drawing/2014/chart" uri="{C3380CC4-5D6E-409C-BE32-E72D297353CC}">
              <c16:uniqueId val="{00000002-A113-4413-ACEF-AFEFC6AB6BA3}"/>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1.4245462451075392</c:v>
                </c:pt>
                <c:pt idx="1">
                  <c:v>0.6565300086147785</c:v>
                </c:pt>
                <c:pt idx="2">
                  <c:v>0.81756567110519562</c:v>
                </c:pt>
                <c:pt idx="3">
                  <c:v>1.0653128441673765</c:v>
                </c:pt>
                <c:pt idx="4">
                  <c:v>1.5360324729855213</c:v>
                </c:pt>
                <c:pt idx="5">
                  <c:v>2.2544992748658448</c:v>
                </c:pt>
                <c:pt idx="6">
                  <c:v>2.6385073931122243</c:v>
                </c:pt>
                <c:pt idx="7">
                  <c:v>2.477471730621807</c:v>
                </c:pt>
              </c:numCache>
            </c:numRef>
          </c:val>
          <c:extLst>
            <c:ext xmlns:c16="http://schemas.microsoft.com/office/drawing/2014/chart" uri="{C3380CC4-5D6E-409C-BE32-E72D297353CC}">
              <c16:uniqueId val="{00000003-A113-4413-ACEF-AFEFC6AB6BA3}"/>
            </c:ext>
          </c:extLst>
        </c:ser>
        <c:ser>
          <c:idx val="5"/>
          <c:order val="5"/>
          <c:tx>
            <c:strRef>
              <c:f>Sheet1!$A$7</c:f>
              <c:strCache>
                <c:ptCount val="1"/>
                <c:pt idx="0">
                  <c:v>այլ </c:v>
                </c:pt>
              </c:strCache>
            </c:strRef>
          </c:tx>
          <c:spPr>
            <a:solidFill>
              <a:srgbClr val="5B9BD5">
                <a:lumMod val="40000"/>
                <a:lumOff val="60000"/>
              </a:srgbClr>
            </a:solidFill>
            <a:ln>
              <a:solidFill>
                <a:srgbClr val="5B9BD5">
                  <a:lumMod val="40000"/>
                  <a:lumOff val="60000"/>
                </a:srgbClr>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Sheet1!$B$7:$I$7</c:f>
              <c:numCache>
                <c:formatCode>0.0</c:formatCode>
                <c:ptCount val="8"/>
                <c:pt idx="0">
                  <c:v>-0.2363797004674737</c:v>
                </c:pt>
                <c:pt idx="1">
                  <c:v>-2.1229450225285014</c:v>
                </c:pt>
                <c:pt idx="2">
                  <c:v>-5.0706419430440945</c:v>
                </c:pt>
                <c:pt idx="3">
                  <c:v>-6.1768110045485614</c:v>
                </c:pt>
                <c:pt idx="4">
                  <c:v>-4.1059237670131949</c:v>
                </c:pt>
                <c:pt idx="5">
                  <c:v>-5.6340699976406796</c:v>
                </c:pt>
                <c:pt idx="6">
                  <c:v>-1.4901152785118015</c:v>
                </c:pt>
                <c:pt idx="7">
                  <c:v>-1.8517515150002275</c:v>
                </c:pt>
              </c:numCache>
            </c:numRef>
          </c:val>
          <c:extLst>
            <c:ext xmlns:c16="http://schemas.microsoft.com/office/drawing/2014/chart" uri="{C3380CC4-5D6E-409C-BE32-E72D297353CC}">
              <c16:uniqueId val="{00000004-A113-4413-ACEF-AFEFC6AB6BA3}"/>
            </c:ext>
          </c:extLst>
        </c:ser>
        <c:dLbls>
          <c:showLegendKey val="0"/>
          <c:showVal val="0"/>
          <c:showCatName val="0"/>
          <c:showSerName val="0"/>
          <c:showPercent val="0"/>
          <c:showBubbleSize val="0"/>
        </c:dLbls>
        <c:gapWidth val="219"/>
        <c:overlap val="100"/>
        <c:axId val="245876224"/>
        <c:axId val="245877760"/>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6237445871316594E-2"/>
                  <c:y val="-4.5600377748567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113-4413-ACEF-AFEFC6AB6BA3}"/>
                </c:ext>
              </c:extLst>
            </c:dLbl>
            <c:dLbl>
              <c:idx val="1"/>
              <c:layout>
                <c:manualLayout>
                  <c:x val="-5.7522293848818219E-2"/>
                  <c:y val="-5.20022785244034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113-4413-ACEF-AFEFC6AB6BA3}"/>
                </c:ext>
              </c:extLst>
            </c:dLbl>
            <c:dLbl>
              <c:idx val="2"/>
              <c:layout>
                <c:manualLayout>
                  <c:x val="-6.9977616924800007E-2"/>
                  <c:y val="-5.15632088882616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113-4413-ACEF-AFEFC6AB6BA3}"/>
                </c:ext>
              </c:extLst>
            </c:dLbl>
            <c:dLbl>
              <c:idx val="3"/>
              <c:layout>
                <c:manualLayout>
                  <c:x val="-6.5742338003130577E-2"/>
                  <c:y val="-5.06059261798421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113-4413-ACEF-AFEFC6AB6BA3}"/>
                </c:ext>
              </c:extLst>
            </c:dLbl>
            <c:dLbl>
              <c:idx val="4"/>
              <c:layout>
                <c:manualLayout>
                  <c:x val="-6.2008426369540064E-2"/>
                  <c:y val="-5.07677417403490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113-4413-ACEF-AFEFC6AB6BA3}"/>
                </c:ext>
              </c:extLst>
            </c:dLbl>
            <c:dLbl>
              <c:idx val="5"/>
              <c:layout>
                <c:manualLayout>
                  <c:x val="-6.4088335817509112E-2"/>
                  <c:y val="-3.88977386149394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113-4413-ACEF-AFEFC6AB6BA3}"/>
                </c:ext>
              </c:extLst>
            </c:dLbl>
            <c:dLbl>
              <c:idx val="6"/>
              <c:layout>
                <c:manualLayout>
                  <c:x val="-4.7042527842879989E-2"/>
                  <c:y val="-5.18636514865859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113-4413-ACEF-AFEFC6AB6BA3}"/>
                </c:ext>
              </c:extLst>
            </c:dLbl>
            <c:dLbl>
              <c:idx val="7"/>
              <c:layout>
                <c:manualLayout>
                  <c:x val="0"/>
                  <c:y val="-4.4814340588988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113-4413-ACEF-AFEFC6AB6BA3}"/>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14.81051623645115</c:v>
                </c:pt>
                <c:pt idx="1">
                  <c:v>8.3257211633604982</c:v>
                </c:pt>
                <c:pt idx="2">
                  <c:v>6.7716416471752581</c:v>
                </c:pt>
                <c:pt idx="3">
                  <c:v>8.7895461593255391</c:v>
                </c:pt>
                <c:pt idx="4">
                  <c:v>13.040396667584233</c:v>
                </c:pt>
                <c:pt idx="5">
                  <c:v>18.303638806864726</c:v>
                </c:pt>
                <c:pt idx="6">
                  <c:v>19.398472181546026</c:v>
                </c:pt>
                <c:pt idx="7">
                  <c:v>18.496803109603604</c:v>
                </c:pt>
              </c:numCache>
            </c:numRef>
          </c:val>
          <c:smooth val="0"/>
          <c:extLst>
            <c:ext xmlns:c16="http://schemas.microsoft.com/office/drawing/2014/chart" uri="{C3380CC4-5D6E-409C-BE32-E72D297353CC}">
              <c16:uniqueId val="{0000000D-A113-4413-ACEF-AFEFC6AB6BA3}"/>
            </c:ext>
          </c:extLst>
        </c:ser>
        <c:dLbls>
          <c:showLegendKey val="0"/>
          <c:showVal val="0"/>
          <c:showCatName val="0"/>
          <c:showSerName val="0"/>
          <c:showPercent val="0"/>
          <c:showBubbleSize val="0"/>
        </c:dLbls>
        <c:marker val="1"/>
        <c:smooth val="0"/>
        <c:axId val="245876224"/>
        <c:axId val="245877760"/>
      </c:lineChart>
      <c:catAx>
        <c:axId val="2458762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5877760"/>
        <c:crosses val="autoZero"/>
        <c:auto val="1"/>
        <c:lblAlgn val="ctr"/>
        <c:lblOffset val="100"/>
        <c:noMultiLvlLbl val="0"/>
      </c:catAx>
      <c:valAx>
        <c:axId val="245877760"/>
        <c:scaling>
          <c:orientation val="minMax"/>
          <c:max val="21"/>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5876224"/>
        <c:crosses val="autoZero"/>
        <c:crossBetween val="between"/>
        <c:majorUnit val="7"/>
      </c:valAx>
      <c:spPr>
        <a:noFill/>
        <a:ln>
          <a:noFill/>
        </a:ln>
        <a:effectLst/>
      </c:spPr>
    </c:plotArea>
    <c:legend>
      <c:legendPos val="b"/>
      <c:layout>
        <c:manualLayout>
          <c:xMode val="edge"/>
          <c:yMode val="edge"/>
          <c:x val="3.9212432830754193E-2"/>
          <c:y val="0.77158400988919762"/>
          <c:w val="0.92635475389664357"/>
          <c:h val="0.1836016816719933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Sheet1!$B$3:$Y$3</c:f>
              <c:numCache>
                <c:formatCode>_(* #,##0_);_(* \(#,##0\);_(* "-"??_);_(@_)</c:formatCode>
                <c:ptCount val="24"/>
                <c:pt idx="0">
                  <c:v>1031.3383000000001</c:v>
                </c:pt>
                <c:pt idx="1">
                  <c:v>1175.8768043886819</c:v>
                </c:pt>
                <c:pt idx="2">
                  <c:v>1362.4717000000001</c:v>
                </c:pt>
                <c:pt idx="3">
                  <c:v>1624.6426999999999</c:v>
                </c:pt>
                <c:pt idx="4">
                  <c:v>1907.9453999999998</c:v>
                </c:pt>
                <c:pt idx="5">
                  <c:v>2242.8809000000001</c:v>
                </c:pt>
                <c:pt idx="6">
                  <c:v>2656.1898000000001</c:v>
                </c:pt>
                <c:pt idx="7">
                  <c:v>3149.2834000000007</c:v>
                </c:pt>
                <c:pt idx="8">
                  <c:v>3568.2276000000006</c:v>
                </c:pt>
                <c:pt idx="9">
                  <c:v>3141.6510000000003</c:v>
                </c:pt>
                <c:pt idx="10">
                  <c:v>3460.2027000000007</c:v>
                </c:pt>
                <c:pt idx="11">
                  <c:v>3777.9456</c:v>
                </c:pt>
                <c:pt idx="12">
                  <c:v>4266.4605000000001</c:v>
                </c:pt>
                <c:pt idx="13">
                  <c:v>4555.6382000000003</c:v>
                </c:pt>
                <c:pt idx="14">
                  <c:v>4828.6262999999999</c:v>
                </c:pt>
                <c:pt idx="15">
                  <c:v>5043.6332000000002</c:v>
                </c:pt>
                <c:pt idx="16">
                  <c:v>5067.2934999999998</c:v>
                </c:pt>
                <c:pt idx="17">
                  <c:v>5564.4933000000001</c:v>
                </c:pt>
                <c:pt idx="18">
                  <c:v>6017.0352000000003</c:v>
                </c:pt>
                <c:pt idx="19">
                  <c:v>6543.3217999999997</c:v>
                </c:pt>
                <c:pt idx="20">
                  <c:v>6181.9025999999994</c:v>
                </c:pt>
                <c:pt idx="21">
                  <c:v>6982.9624999999996</c:v>
                </c:pt>
                <c:pt idx="22">
                  <c:v>8293.6645612499997</c:v>
                </c:pt>
                <c:pt idx="23">
                  <c:v>9317.9321345643748</c:v>
                </c:pt>
              </c:numCache>
            </c:numRef>
          </c:val>
          <c:extLst>
            <c:ext xmlns:c16="http://schemas.microsoft.com/office/drawing/2014/chart" uri="{C3380CC4-5D6E-409C-BE32-E72D297353CC}">
              <c16:uniqueId val="{00000000-D1AB-405A-A8FC-A59ED32C2C4F}"/>
            </c:ext>
          </c:extLst>
        </c:ser>
        <c:dLbls>
          <c:showLegendKey val="0"/>
          <c:showVal val="0"/>
          <c:showCatName val="0"/>
          <c:showSerName val="0"/>
          <c:showPercent val="0"/>
          <c:showBubbleSize val="0"/>
        </c:dLbls>
        <c:gapWidth val="219"/>
        <c:axId val="262069632"/>
        <c:axId val="263406720"/>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Sheet1!$B$2:$Y$2</c:f>
              <c:numCache>
                <c:formatCode>0.0</c:formatCode>
                <c:ptCount val="24"/>
                <c:pt idx="0">
                  <c:v>5.8956981547403728</c:v>
                </c:pt>
                <c:pt idx="1">
                  <c:v>9.5566411137839395</c:v>
                </c:pt>
                <c:pt idx="2">
                  <c:v>13.196463821262512</c:v>
                </c:pt>
                <c:pt idx="3">
                  <c:v>14.040798058411056</c:v>
                </c:pt>
                <c:pt idx="4">
                  <c:v>10.46784009801047</c:v>
                </c:pt>
                <c:pt idx="5">
                  <c:v>13.865711251485493</c:v>
                </c:pt>
                <c:pt idx="6">
                  <c:v>13.198003514141135</c:v>
                </c:pt>
                <c:pt idx="7">
                  <c:v>13.749201958384148</c:v>
                </c:pt>
                <c:pt idx="8">
                  <c:v>6.9476535519159768</c:v>
                </c:pt>
                <c:pt idx="9">
                  <c:v>-14.149988638617103</c:v>
                </c:pt>
                <c:pt idx="10">
                  <c:v>2.2151091894039183</c:v>
                </c:pt>
                <c:pt idx="11">
                  <c:v>4.6507622226871206</c:v>
                </c:pt>
                <c:pt idx="12">
                  <c:v>7.1590508979271874</c:v>
                </c:pt>
                <c:pt idx="13">
                  <c:v>3.2999999999999972</c:v>
                </c:pt>
                <c:pt idx="14">
                  <c:v>3.5999999999999943</c:v>
                </c:pt>
                <c:pt idx="15">
                  <c:v>3.2000000000000028</c:v>
                </c:pt>
                <c:pt idx="16">
                  <c:v>0.20000000000000284</c:v>
                </c:pt>
                <c:pt idx="17">
                  <c:v>7.5</c:v>
                </c:pt>
                <c:pt idx="18">
                  <c:v>5.1947356482574918</c:v>
                </c:pt>
                <c:pt idx="19">
                  <c:v>7.6208632799755094</c:v>
                </c:pt>
                <c:pt idx="20">
                  <c:v>-7.1651595279938647</c:v>
                </c:pt>
                <c:pt idx="21">
                  <c:v>5.7044705828317603</c:v>
                </c:pt>
                <c:pt idx="22">
                  <c:v>11</c:v>
                </c:pt>
                <c:pt idx="23">
                  <c:v>7</c:v>
                </c:pt>
              </c:numCache>
            </c:numRef>
          </c:val>
          <c:smooth val="0"/>
          <c:extLst>
            <c:ext xmlns:c16="http://schemas.microsoft.com/office/drawing/2014/chart" uri="{C3380CC4-5D6E-409C-BE32-E72D297353CC}">
              <c16:uniqueId val="{00000001-D1AB-405A-A8FC-A59ED32C2C4F}"/>
            </c:ext>
          </c:extLst>
        </c:ser>
        <c:dLbls>
          <c:showLegendKey val="0"/>
          <c:showVal val="0"/>
          <c:showCatName val="0"/>
          <c:showSerName val="0"/>
          <c:showPercent val="0"/>
          <c:showBubbleSize val="0"/>
        </c:dLbls>
        <c:marker val="1"/>
        <c:smooth val="0"/>
        <c:axId val="263414144"/>
        <c:axId val="263408256"/>
      </c:lineChart>
      <c:catAx>
        <c:axId val="26206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3406720"/>
        <c:crosses val="autoZero"/>
        <c:auto val="1"/>
        <c:lblAlgn val="ctr"/>
        <c:lblOffset val="100"/>
        <c:noMultiLvlLbl val="0"/>
      </c:catAx>
      <c:valAx>
        <c:axId val="263406720"/>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2069632"/>
        <c:crosses val="autoZero"/>
        <c:crossBetween val="between"/>
      </c:valAx>
      <c:valAx>
        <c:axId val="2634082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3414144"/>
        <c:crosses val="max"/>
        <c:crossBetween val="between"/>
      </c:valAx>
      <c:catAx>
        <c:axId val="263414144"/>
        <c:scaling>
          <c:orientation val="minMax"/>
        </c:scaling>
        <c:delete val="1"/>
        <c:axPos val="b"/>
        <c:numFmt formatCode="General" sourceLinked="1"/>
        <c:majorTickMark val="out"/>
        <c:minorTickMark val="none"/>
        <c:tickLblPos val="none"/>
        <c:crossAx val="2634082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Տնտեսական աճ/անկում</c:v>
                </c:pt>
              </c:strCache>
            </c:strRef>
          </c:tx>
          <c:spPr>
            <a:solidFill>
              <a:srgbClr val="C00000"/>
            </a:solidFill>
            <a:ln>
              <a:solidFill>
                <a:srgbClr val="C00000"/>
              </a:solidFill>
            </a:ln>
            <a:effectLst/>
          </c:spPr>
          <c:invertIfNegative val="0"/>
          <c:dPt>
            <c:idx val="1"/>
            <c:invertIfNegative val="0"/>
            <c:bubble3D val="0"/>
            <c:spPr>
              <a:solidFill>
                <a:srgbClr val="4F81BD"/>
              </a:solidFill>
              <a:ln>
                <a:solidFill>
                  <a:srgbClr val="4F81BD"/>
                </a:solidFill>
              </a:ln>
              <a:effectLst/>
            </c:spPr>
            <c:extLst>
              <c:ext xmlns:c16="http://schemas.microsoft.com/office/drawing/2014/chart" uri="{C3380CC4-5D6E-409C-BE32-E72D297353CC}">
                <c16:uniqueId val="{00000001-B94B-4EBA-AE22-4D93501E4778}"/>
              </c:ext>
            </c:extLst>
          </c:dPt>
          <c:dPt>
            <c:idx val="2"/>
            <c:invertIfNegative val="0"/>
            <c:bubble3D val="0"/>
            <c:spPr>
              <a:solidFill>
                <a:srgbClr val="4F81BD"/>
              </a:solidFill>
              <a:ln>
                <a:solidFill>
                  <a:srgbClr val="4F81BD"/>
                </a:solidFill>
              </a:ln>
              <a:effectLst/>
            </c:spPr>
            <c:extLst>
              <c:ext xmlns:c16="http://schemas.microsoft.com/office/drawing/2014/chart" uri="{C3380CC4-5D6E-409C-BE32-E72D297353CC}">
                <c16:uniqueId val="{00000003-B94B-4EBA-AE22-4D93501E4778}"/>
              </c:ext>
            </c:extLst>
          </c:dPt>
          <c:dPt>
            <c:idx val="4"/>
            <c:invertIfNegative val="0"/>
            <c:bubble3D val="0"/>
            <c:spPr>
              <a:solidFill>
                <a:srgbClr val="C00000"/>
              </a:solidFill>
              <a:ln>
                <a:solidFill>
                  <a:srgbClr val="C00000"/>
                </a:solidFill>
              </a:ln>
              <a:effectLst/>
            </c:spPr>
            <c:extLst>
              <c:ext xmlns:c16="http://schemas.microsoft.com/office/drawing/2014/chart" uri="{C3380CC4-5D6E-409C-BE32-E72D297353CC}">
                <c16:uniqueId val="{00000005-B94B-4EBA-AE22-4D93501E4778}"/>
              </c:ext>
            </c:extLst>
          </c:dPt>
          <c:dPt>
            <c:idx val="5"/>
            <c:invertIfNegative val="0"/>
            <c:bubble3D val="0"/>
            <c:spPr>
              <a:solidFill>
                <a:srgbClr val="4F81BD"/>
              </a:solidFill>
              <a:ln>
                <a:solidFill>
                  <a:srgbClr val="4F81BD"/>
                </a:solidFill>
              </a:ln>
              <a:effectLst/>
            </c:spPr>
            <c:extLst>
              <c:ext xmlns:c16="http://schemas.microsoft.com/office/drawing/2014/chart" uri="{C3380CC4-5D6E-409C-BE32-E72D297353CC}">
                <c16:uniqueId val="{00000007-B94B-4EBA-AE22-4D93501E4778}"/>
              </c:ext>
            </c:extLst>
          </c:dPt>
          <c:dPt>
            <c:idx val="6"/>
            <c:invertIfNegative val="0"/>
            <c:bubble3D val="0"/>
            <c:spPr>
              <a:solidFill>
                <a:srgbClr val="4F81BD"/>
              </a:solidFill>
              <a:ln>
                <a:solidFill>
                  <a:srgbClr val="4F81BD"/>
                </a:solidFill>
              </a:ln>
              <a:effectLst/>
            </c:spPr>
            <c:extLst>
              <c:ext xmlns:c16="http://schemas.microsoft.com/office/drawing/2014/chart" uri="{C3380CC4-5D6E-409C-BE32-E72D297353CC}">
                <c16:uniqueId val="{00000009-B94B-4EBA-AE22-4D93501E4778}"/>
              </c:ext>
            </c:extLst>
          </c:dPt>
          <c:dPt>
            <c:idx val="7"/>
            <c:invertIfNegative val="0"/>
            <c:bubble3D val="0"/>
            <c:spPr>
              <a:solidFill>
                <a:srgbClr val="5B9BD5"/>
              </a:solidFill>
              <a:ln>
                <a:solidFill>
                  <a:srgbClr val="5B9BD5"/>
                </a:solidFill>
              </a:ln>
              <a:effectLst/>
            </c:spPr>
            <c:extLst>
              <c:ext xmlns:c16="http://schemas.microsoft.com/office/drawing/2014/chart" uri="{C3380CC4-5D6E-409C-BE32-E72D297353CC}">
                <c16:uniqueId val="{0000000B-B94B-4EBA-AE22-4D93501E4778}"/>
              </c:ext>
            </c:extLst>
          </c:dPt>
          <c:dPt>
            <c:idx val="9"/>
            <c:invertIfNegative val="0"/>
            <c:bubble3D val="0"/>
            <c:spPr>
              <a:solidFill>
                <a:srgbClr val="4F81BD"/>
              </a:solidFill>
              <a:ln>
                <a:solidFill>
                  <a:srgbClr val="4F81BD"/>
                </a:solidFill>
              </a:ln>
              <a:effectLst/>
            </c:spPr>
            <c:extLst>
              <c:ext xmlns:c16="http://schemas.microsoft.com/office/drawing/2014/chart" uri="{C3380CC4-5D6E-409C-BE32-E72D297353CC}">
                <c16:uniqueId val="{0000000D-B94B-4EBA-AE22-4D93501E4778}"/>
              </c:ext>
            </c:extLst>
          </c:dPt>
          <c:dPt>
            <c:idx val="10"/>
            <c:invertIfNegative val="0"/>
            <c:bubble3D val="0"/>
            <c:spPr>
              <a:solidFill>
                <a:srgbClr val="4F81BD"/>
              </a:solidFill>
              <a:ln>
                <a:solidFill>
                  <a:srgbClr val="4F81BD"/>
                </a:solidFill>
              </a:ln>
              <a:effectLst/>
            </c:spPr>
            <c:extLst>
              <c:ext xmlns:c16="http://schemas.microsoft.com/office/drawing/2014/chart" uri="{C3380CC4-5D6E-409C-BE32-E72D297353CC}">
                <c16:uniqueId val="{0000000F-B94B-4EBA-AE22-4D93501E4778}"/>
              </c:ext>
            </c:extLst>
          </c:dPt>
          <c:dLbls>
            <c:dLbl>
              <c:idx val="0"/>
              <c:layout>
                <c:manualLayout>
                  <c:x val="7.6366559485530547E-2"/>
                  <c:y val="9.68523002421307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layout/>
                </c:ext>
                <c:ext xmlns:c16="http://schemas.microsoft.com/office/drawing/2014/chart" uri="{C3380CC4-5D6E-409C-BE32-E72D297353CC}">
                  <c16:uniqueId val="{00000010-B94B-4EBA-AE22-4D93501E4778}"/>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10-7FAC-4F37-BA50-2683AC2FB71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15:showLeaderLines val="0"/>
              </c:ext>
            </c:extLst>
          </c:dLbls>
          <c:cat>
            <c:numRef>
              <c:f>Sheet1!$A$2:$A$12</c:f>
              <c:numCache>
                <c:formatCode>General</c:formatCode>
                <c:ptCount val="11"/>
                <c:pt idx="0">
                  <c:v>2009</c:v>
                </c:pt>
                <c:pt idx="1">
                  <c:v>2010</c:v>
                </c:pt>
                <c:pt idx="2">
                  <c:v>2011</c:v>
                </c:pt>
                <c:pt idx="4">
                  <c:v>2016</c:v>
                </c:pt>
                <c:pt idx="5">
                  <c:v>2017</c:v>
                </c:pt>
                <c:pt idx="6">
                  <c:v>2018</c:v>
                </c:pt>
                <c:pt idx="8">
                  <c:v>2020</c:v>
                </c:pt>
                <c:pt idx="9">
                  <c:v>2021</c:v>
                </c:pt>
                <c:pt idx="10">
                  <c:v>2022</c:v>
                </c:pt>
              </c:numCache>
            </c:numRef>
          </c:cat>
          <c:val>
            <c:numRef>
              <c:f>Sheet1!$B$2:$B$12</c:f>
              <c:numCache>
                <c:formatCode>0.0</c:formatCode>
                <c:ptCount val="11"/>
                <c:pt idx="0" formatCode="General">
                  <c:v>-14.1</c:v>
                </c:pt>
                <c:pt idx="1">
                  <c:v>2.2151091894039183</c:v>
                </c:pt>
                <c:pt idx="2">
                  <c:v>4.6507622226871206</c:v>
                </c:pt>
                <c:pt idx="4" formatCode="General">
                  <c:v>0.2</c:v>
                </c:pt>
                <c:pt idx="5" formatCode="General">
                  <c:v>7.5</c:v>
                </c:pt>
                <c:pt idx="6" formatCode="General">
                  <c:v>5.2000000000000028</c:v>
                </c:pt>
                <c:pt idx="8" formatCode="General">
                  <c:v>-7.2000000000000028</c:v>
                </c:pt>
                <c:pt idx="9">
                  <c:v>5.7000000000000028</c:v>
                </c:pt>
                <c:pt idx="10">
                  <c:v>11</c:v>
                </c:pt>
              </c:numCache>
            </c:numRef>
          </c:val>
          <c:extLst>
            <c:ext xmlns:c16="http://schemas.microsoft.com/office/drawing/2014/chart" uri="{C3380CC4-5D6E-409C-BE32-E72D297353CC}">
              <c16:uniqueId val="{00000012-B94B-4EBA-AE22-4D93501E4778}"/>
            </c:ext>
          </c:extLst>
        </c:ser>
        <c:dLbls>
          <c:showLegendKey val="0"/>
          <c:showVal val="0"/>
          <c:showCatName val="0"/>
          <c:showSerName val="0"/>
          <c:showPercent val="0"/>
          <c:showBubbleSize val="0"/>
        </c:dLbls>
        <c:gapWidth val="219"/>
        <c:overlap val="-27"/>
        <c:axId val="263441408"/>
        <c:axId val="263447296"/>
      </c:barChart>
      <c:catAx>
        <c:axId val="26344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63447296"/>
        <c:crosses val="autoZero"/>
        <c:auto val="1"/>
        <c:lblAlgn val="ctr"/>
        <c:lblOffset val="100"/>
        <c:noMultiLvlLbl val="0"/>
      </c:catAx>
      <c:valAx>
        <c:axId val="263447296"/>
        <c:scaling>
          <c:orientation val="minMax"/>
          <c:max val="12"/>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44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Sheet1!$E$4:$I$4</c:f>
              <c:numCache>
                <c:formatCode>0.0</c:formatCode>
                <c:ptCount val="5"/>
                <c:pt idx="0">
                  <c:v>2.168157050169826</c:v>
                </c:pt>
                <c:pt idx="1">
                  <c:v>-0.25862819095951967</c:v>
                </c:pt>
                <c:pt idx="2">
                  <c:v>0.70216419456365931</c:v>
                </c:pt>
                <c:pt idx="3">
                  <c:v>1.0064043018990869</c:v>
                </c:pt>
                <c:pt idx="4">
                  <c:v>0.96832159705758525</c:v>
                </c:pt>
              </c:numCache>
            </c:numRef>
          </c:val>
          <c:extLst>
            <c:ext xmlns:c16="http://schemas.microsoft.com/office/drawing/2014/chart" uri="{C3380CC4-5D6E-409C-BE32-E72D297353CC}">
              <c16:uniqueId val="{00000000-B4AD-47D6-813E-7AE20F22B553}"/>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Sheet1!$E$5:$I$5</c:f>
              <c:numCache>
                <c:formatCode>0.0</c:formatCode>
                <c:ptCount val="5"/>
                <c:pt idx="0">
                  <c:v>-0.80865407601404715</c:v>
                </c:pt>
                <c:pt idx="1">
                  <c:v>-0.42644759730447657</c:v>
                </c:pt>
                <c:pt idx="2">
                  <c:v>-6.8098830932728741E-2</c:v>
                </c:pt>
                <c:pt idx="3">
                  <c:v>0.24942450428453583</c:v>
                </c:pt>
                <c:pt idx="4">
                  <c:v>0.33891468763076649</c:v>
                </c:pt>
              </c:numCache>
            </c:numRef>
          </c:val>
          <c:extLst>
            <c:ext xmlns:c16="http://schemas.microsoft.com/office/drawing/2014/chart" uri="{C3380CC4-5D6E-409C-BE32-E72D297353CC}">
              <c16:uniqueId val="{00000001-B4AD-47D6-813E-7AE20F22B553}"/>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Sheet1!$E$6:$I$6</c:f>
              <c:numCache>
                <c:formatCode>0.0</c:formatCode>
                <c:ptCount val="5"/>
                <c:pt idx="0">
                  <c:v>0.42924919235971903</c:v>
                </c:pt>
                <c:pt idx="1">
                  <c:v>-0.37459956500993163</c:v>
                </c:pt>
                <c:pt idx="2">
                  <c:v>0.21415861518102824</c:v>
                </c:pt>
                <c:pt idx="3">
                  <c:v>1.1007508546694902</c:v>
                </c:pt>
                <c:pt idx="4">
                  <c:v>0.6246652640907826</c:v>
                </c:pt>
              </c:numCache>
            </c:numRef>
          </c:val>
          <c:extLst>
            <c:ext xmlns:c16="http://schemas.microsoft.com/office/drawing/2014/chart" uri="{C3380CC4-5D6E-409C-BE32-E72D297353CC}">
              <c16:uniqueId val="{00000002-B4AD-47D6-813E-7AE20F22B553}"/>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Sheet1!$E$7:$I$7</c:f>
              <c:numCache>
                <c:formatCode>0.0</c:formatCode>
                <c:ptCount val="5"/>
                <c:pt idx="0">
                  <c:v>5.0778366362224343</c:v>
                </c:pt>
                <c:pt idx="1">
                  <c:v>-4.9778368840120288</c:v>
                </c:pt>
                <c:pt idx="2">
                  <c:v>4.0477230747698885</c:v>
                </c:pt>
                <c:pt idx="3">
                  <c:v>7.9653025632028882</c:v>
                </c:pt>
                <c:pt idx="4">
                  <c:v>4.3099643732932762</c:v>
                </c:pt>
              </c:numCache>
            </c:numRef>
          </c:val>
          <c:extLst>
            <c:ext xmlns:c16="http://schemas.microsoft.com/office/drawing/2014/chart" uri="{C3380CC4-5D6E-409C-BE32-E72D297353CC}">
              <c16:uniqueId val="{00000003-B4AD-47D6-813E-7AE20F22B553}"/>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Sheet1!$E$8:$I$8</c:f>
              <c:numCache>
                <c:formatCode>0.0</c:formatCode>
                <c:ptCount val="5"/>
                <c:pt idx="0">
                  <c:v>0.75427447723755991</c:v>
                </c:pt>
                <c:pt idx="1">
                  <c:v>-1.1276472907079103</c:v>
                </c:pt>
                <c:pt idx="2">
                  <c:v>0.80852352924991799</c:v>
                </c:pt>
                <c:pt idx="3">
                  <c:v>0.67811777594401312</c:v>
                </c:pt>
                <c:pt idx="4">
                  <c:v>0.75813407792759491</c:v>
                </c:pt>
              </c:numCache>
            </c:numRef>
          </c:val>
          <c:extLst>
            <c:ext xmlns:c16="http://schemas.microsoft.com/office/drawing/2014/chart" uri="{C3380CC4-5D6E-409C-BE32-E72D297353CC}">
              <c16:uniqueId val="{00000004-B4AD-47D6-813E-7AE20F22B553}"/>
            </c:ext>
          </c:extLst>
        </c:ser>
        <c:dLbls>
          <c:showLegendKey val="0"/>
          <c:showVal val="0"/>
          <c:showCatName val="0"/>
          <c:showSerName val="0"/>
          <c:showPercent val="0"/>
          <c:showBubbleSize val="0"/>
        </c:dLbls>
        <c:gapWidth val="150"/>
        <c:overlap val="100"/>
        <c:axId val="283037696"/>
        <c:axId val="283039232"/>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2"/>
              <c:layout>
                <c:manualLayout>
                  <c:x val="-5.6988997065022043E-2"/>
                  <c:y val="4.48047625331750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4AD-47D6-813E-7AE20F22B553}"/>
                </c:ext>
              </c:extLst>
            </c:dLbl>
            <c:dLbl>
              <c:idx val="3"/>
              <c:layout>
                <c:manualLayout>
                  <c:x val="-4.8726129061453523E-2"/>
                  <c:y val="-4.85502719981231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4AD-47D6-813E-7AE20F22B553}"/>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Sheet1!$E$2:$I$2</c:f>
              <c:numCache>
                <c:formatCode>General</c:formatCode>
                <c:ptCount val="5"/>
                <c:pt idx="0">
                  <c:v>2019</c:v>
                </c:pt>
                <c:pt idx="1">
                  <c:v>2020</c:v>
                </c:pt>
                <c:pt idx="2">
                  <c:v>2021</c:v>
                </c:pt>
                <c:pt idx="3">
                  <c:v>2022</c:v>
                </c:pt>
                <c:pt idx="4">
                  <c:v>2023</c:v>
                </c:pt>
              </c:numCache>
            </c:numRef>
          </c:cat>
          <c:val>
            <c:numRef>
              <c:f>Sheet1!$E$3:$I$3</c:f>
              <c:numCache>
                <c:formatCode>0.0</c:formatCode>
                <c:ptCount val="5"/>
                <c:pt idx="0">
                  <c:v>7.6208632799754925</c:v>
                </c:pt>
                <c:pt idx="1">
                  <c:v>-7.1651595279938665</c:v>
                </c:pt>
                <c:pt idx="2">
                  <c:v>5.7044705828317648</c:v>
                </c:pt>
                <c:pt idx="3">
                  <c:v>11.000000000000014</c:v>
                </c:pt>
                <c:pt idx="4">
                  <c:v>7.0000000000000053</c:v>
                </c:pt>
              </c:numCache>
            </c:numRef>
          </c:val>
          <c:smooth val="0"/>
          <c:extLst>
            <c:ext xmlns:c16="http://schemas.microsoft.com/office/drawing/2014/chart" uri="{C3380CC4-5D6E-409C-BE32-E72D297353CC}">
              <c16:uniqueId val="{00000007-B4AD-47D6-813E-7AE20F22B553}"/>
            </c:ext>
          </c:extLst>
        </c:ser>
        <c:dLbls>
          <c:showLegendKey val="0"/>
          <c:showVal val="0"/>
          <c:showCatName val="0"/>
          <c:showSerName val="0"/>
          <c:showPercent val="0"/>
          <c:showBubbleSize val="0"/>
        </c:dLbls>
        <c:marker val="1"/>
        <c:smooth val="0"/>
        <c:axId val="283037696"/>
        <c:axId val="283039232"/>
      </c:lineChart>
      <c:catAx>
        <c:axId val="283037696"/>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039232"/>
        <c:crosses val="autoZero"/>
        <c:auto val="1"/>
        <c:lblAlgn val="ctr"/>
        <c:lblOffset val="100"/>
        <c:noMultiLvlLbl val="0"/>
      </c:catAx>
      <c:valAx>
        <c:axId val="283039232"/>
        <c:scaling>
          <c:orientation val="minMax"/>
          <c:max val="12"/>
          <c:min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037696"/>
        <c:crosses val="autoZero"/>
        <c:crossBetween val="between"/>
        <c:majorUnit val="4"/>
      </c:valAx>
      <c:spPr>
        <a:noFill/>
        <a:ln>
          <a:noFill/>
        </a:ln>
        <a:effectLst/>
      </c:spPr>
    </c:plotArea>
    <c:legend>
      <c:legendPos val="b"/>
      <c:layout>
        <c:manualLayout>
          <c:xMode val="edge"/>
          <c:yMode val="edge"/>
          <c:x val="0"/>
          <c:y val="0.77835400008346001"/>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Sheet1!$B$1:$F$1</c:f>
              <c:strCache>
                <c:ptCount val="5"/>
                <c:pt idx="0">
                  <c:v>2019</c:v>
                </c:pt>
                <c:pt idx="1">
                  <c:v>2020</c:v>
                </c:pt>
                <c:pt idx="2">
                  <c:v>2021</c:v>
                </c:pt>
                <c:pt idx="3">
                  <c:v>2022</c:v>
                </c:pt>
                <c:pt idx="4">
                  <c:v>2023</c:v>
                </c:pt>
              </c:strCache>
            </c:strRef>
          </c:cat>
          <c:val>
            <c:numRef>
              <c:f>Sheet1!$B$3:$F$3</c:f>
              <c:numCache>
                <c:formatCode>0.0</c:formatCode>
                <c:ptCount val="5"/>
                <c:pt idx="0">
                  <c:v>10.680646817555598</c:v>
                </c:pt>
                <c:pt idx="1">
                  <c:v>-10.464438397329021</c:v>
                </c:pt>
                <c:pt idx="2">
                  <c:v>3.9729800336873686</c:v>
                </c:pt>
                <c:pt idx="3">
                  <c:v>5.8926261427605677</c:v>
                </c:pt>
                <c:pt idx="4">
                  <c:v>3.0579234505450938</c:v>
                </c:pt>
              </c:numCache>
            </c:numRef>
          </c:val>
          <c:extLst>
            <c:ext xmlns:c16="http://schemas.microsoft.com/office/drawing/2014/chart" uri="{C3380CC4-5D6E-409C-BE32-E72D297353CC}">
              <c16:uniqueId val="{00000000-2D75-4727-BC5A-184F46A4224E}"/>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Sheet1!$B$1:$F$1</c:f>
              <c:strCache>
                <c:ptCount val="5"/>
                <c:pt idx="0">
                  <c:v>2019</c:v>
                </c:pt>
                <c:pt idx="1">
                  <c:v>2020</c:v>
                </c:pt>
                <c:pt idx="2">
                  <c:v>2021</c:v>
                </c:pt>
                <c:pt idx="3">
                  <c:v>2022</c:v>
                </c:pt>
                <c:pt idx="4">
                  <c:v>2023</c:v>
                </c:pt>
              </c:strCache>
            </c:strRef>
          </c:cat>
          <c:val>
            <c:numRef>
              <c:f>Sheet1!$B$4:$F$4</c:f>
              <c:numCache>
                <c:formatCode>0.0</c:formatCode>
                <c:ptCount val="5"/>
                <c:pt idx="0">
                  <c:v>0.73660007839076713</c:v>
                </c:pt>
                <c:pt idx="1">
                  <c:v>-0.23723397647965289</c:v>
                </c:pt>
                <c:pt idx="2">
                  <c:v>1.1197570388766716</c:v>
                </c:pt>
                <c:pt idx="3">
                  <c:v>2.8773126108831635</c:v>
                </c:pt>
                <c:pt idx="4">
                  <c:v>3.0307558070611593</c:v>
                </c:pt>
              </c:numCache>
            </c:numRef>
          </c:val>
          <c:extLst>
            <c:ext xmlns:c16="http://schemas.microsoft.com/office/drawing/2014/chart" uri="{C3380CC4-5D6E-409C-BE32-E72D297353CC}">
              <c16:uniqueId val="{00000001-2D75-4727-BC5A-184F46A4224E}"/>
            </c:ext>
          </c:extLst>
        </c:ser>
        <c:ser>
          <c:idx val="3"/>
          <c:order val="3"/>
          <c:tx>
            <c:strRef>
              <c:f>Sheet1!$A$5</c:f>
              <c:strCache>
                <c:ptCount val="1"/>
                <c:pt idx="0">
                  <c:v>Արտահանում</c:v>
                </c:pt>
              </c:strCache>
            </c:strRef>
          </c:tx>
          <c:spPr>
            <a:solidFill>
              <a:schemeClr val="accent4"/>
            </a:solidFill>
            <a:ln>
              <a:noFill/>
            </a:ln>
            <a:effectLst/>
          </c:spPr>
          <c:invertIfNegative val="0"/>
          <c:cat>
            <c:strRef>
              <c:f>Sheet1!$B$1:$F$1</c:f>
              <c:strCache>
                <c:ptCount val="5"/>
                <c:pt idx="0">
                  <c:v>2019</c:v>
                </c:pt>
                <c:pt idx="1">
                  <c:v>2020</c:v>
                </c:pt>
                <c:pt idx="2">
                  <c:v>2021</c:v>
                </c:pt>
                <c:pt idx="3">
                  <c:v>2022</c:v>
                </c:pt>
                <c:pt idx="4">
                  <c:v>2023</c:v>
                </c:pt>
              </c:strCache>
            </c:strRef>
          </c:cat>
          <c:val>
            <c:numRef>
              <c:f>Sheet1!$B$5:$F$5</c:f>
              <c:numCache>
                <c:formatCode>0.0</c:formatCode>
                <c:ptCount val="5"/>
                <c:pt idx="0">
                  <c:v>6.3028630445771689</c:v>
                </c:pt>
                <c:pt idx="1">
                  <c:v>-13.852518456298451</c:v>
                </c:pt>
                <c:pt idx="2">
                  <c:v>4.9409878279221022</c:v>
                </c:pt>
                <c:pt idx="3">
                  <c:v>10.301937584288609</c:v>
                </c:pt>
                <c:pt idx="4">
                  <c:v>3.3818155405549128</c:v>
                </c:pt>
              </c:numCache>
            </c:numRef>
          </c:val>
          <c:extLst>
            <c:ext xmlns:c16="http://schemas.microsoft.com/office/drawing/2014/chart" uri="{C3380CC4-5D6E-409C-BE32-E72D297353CC}">
              <c16:uniqueId val="{00000002-2D75-4727-BC5A-184F46A4224E}"/>
            </c:ext>
          </c:extLst>
        </c:ser>
        <c:ser>
          <c:idx val="4"/>
          <c:order val="4"/>
          <c:tx>
            <c:strRef>
              <c:f>Sheet1!$A$6</c:f>
              <c:strCache>
                <c:ptCount val="1"/>
                <c:pt idx="0">
                  <c:v>Ներմուծում ("-" նշանով)</c:v>
                </c:pt>
              </c:strCache>
            </c:strRef>
          </c:tx>
          <c:invertIfNegative val="0"/>
          <c:cat>
            <c:strRef>
              <c:f>Sheet1!$B$1:$F$1</c:f>
              <c:strCache>
                <c:ptCount val="5"/>
                <c:pt idx="0">
                  <c:v>2019</c:v>
                </c:pt>
                <c:pt idx="1">
                  <c:v>2020</c:v>
                </c:pt>
                <c:pt idx="2">
                  <c:v>2021</c:v>
                </c:pt>
                <c:pt idx="3">
                  <c:v>2022</c:v>
                </c:pt>
                <c:pt idx="4">
                  <c:v>2023</c:v>
                </c:pt>
              </c:strCache>
            </c:strRef>
          </c:cat>
          <c:val>
            <c:numRef>
              <c:f>Sheet1!$B$6:$F$6</c:f>
              <c:numCache>
                <c:formatCode>0.0</c:formatCode>
                <c:ptCount val="5"/>
                <c:pt idx="0">
                  <c:v>-6.1573047071421447</c:v>
                </c:pt>
                <c:pt idx="1">
                  <c:v>17.250456121537535</c:v>
                </c:pt>
                <c:pt idx="2">
                  <c:v>-5.1243728605494399</c:v>
                </c:pt>
                <c:pt idx="3">
                  <c:v>-8.0718763379323413</c:v>
                </c:pt>
                <c:pt idx="4">
                  <c:v>-2.4704947981611669</c:v>
                </c:pt>
              </c:numCache>
            </c:numRef>
          </c:val>
          <c:extLst>
            <c:ext xmlns:c16="http://schemas.microsoft.com/office/drawing/2014/chart" uri="{C3380CC4-5D6E-409C-BE32-E72D297353CC}">
              <c16:uniqueId val="{00000003-2D75-4727-BC5A-184F46A4224E}"/>
            </c:ext>
          </c:extLst>
        </c:ser>
        <c:dLbls>
          <c:showLegendKey val="0"/>
          <c:showVal val="0"/>
          <c:showCatName val="0"/>
          <c:showSerName val="0"/>
          <c:showPercent val="0"/>
          <c:showBubbleSize val="0"/>
        </c:dLbls>
        <c:gapWidth val="150"/>
        <c:overlap val="100"/>
        <c:axId val="283331200"/>
        <c:axId val="283332992"/>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4.47245375076235E-2"/>
                  <c:y val="-5.317128750474747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D75-4727-BC5A-184F46A4224E}"/>
                </c:ext>
              </c:extLst>
            </c:dLbl>
            <c:dLbl>
              <c:idx val="1"/>
              <c:layout>
                <c:manualLayout>
                  <c:x val="-5.2856271599918722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75-4727-BC5A-184F46A4224E}"/>
                </c:ext>
              </c:extLst>
            </c:dLbl>
            <c:dLbl>
              <c:idx val="2"/>
              <c:layout>
                <c:manualLayout>
                  <c:x val="-6.0988005692213867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D75-4727-BC5A-184F46A4224E}"/>
                </c:ext>
              </c:extLst>
            </c:dLbl>
            <c:dLbl>
              <c:idx val="3"/>
              <c:layout>
                <c:manualLayout>
                  <c:x val="-4.4724537507623577E-2"/>
                  <c:y val="-6.076718571971135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D75-4727-BC5A-184F46A4224E}"/>
                </c:ext>
              </c:extLst>
            </c:dLbl>
            <c:dLbl>
              <c:idx val="4"/>
              <c:layout>
                <c:manualLayout>
                  <c:x val="-5.0985652611679283E-2"/>
                  <c:y val="-4.580027572512418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D75-4727-BC5A-184F46A4224E}"/>
                </c:ext>
              </c:extLst>
            </c:dLbl>
            <c:dLbl>
              <c:idx val="5"/>
              <c:layout>
                <c:manualLayout>
                  <c:x val="-5.8613475307861367E-2"/>
                  <c:y val="-5.4261627854816703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75-4727-BC5A-184F46A4224E}"/>
                </c:ext>
              </c:extLst>
            </c:dLbl>
            <c:dLbl>
              <c:idx val="6"/>
              <c:layout>
                <c:manualLayout>
                  <c:x val="-5.6802723810773906E-2"/>
                  <c:y val="-4.0159573672736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75-4727-BC5A-184F46A4224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c:v>
                </c:pt>
                <c:pt idx="1">
                  <c:v>2020</c:v>
                </c:pt>
                <c:pt idx="2">
                  <c:v>2021</c:v>
                </c:pt>
                <c:pt idx="3">
                  <c:v>2022</c:v>
                </c:pt>
                <c:pt idx="4">
                  <c:v>2023</c:v>
                </c:pt>
              </c:strCache>
            </c:strRef>
          </c:cat>
          <c:val>
            <c:numRef>
              <c:f>Sheet1!$B$2:$F$2</c:f>
              <c:numCache>
                <c:formatCode>0.0</c:formatCode>
                <c:ptCount val="5"/>
                <c:pt idx="0">
                  <c:v>7.5999999999999943</c:v>
                </c:pt>
                <c:pt idx="1">
                  <c:v>-7.2000000000000028</c:v>
                </c:pt>
                <c:pt idx="2">
                  <c:v>5.7000000000000028</c:v>
                </c:pt>
                <c:pt idx="3">
                  <c:v>11</c:v>
                </c:pt>
                <c:pt idx="4">
                  <c:v>7</c:v>
                </c:pt>
              </c:numCache>
            </c:numRef>
          </c:val>
          <c:smooth val="0"/>
          <c:extLst>
            <c:ext xmlns:c16="http://schemas.microsoft.com/office/drawing/2014/chart" uri="{C3380CC4-5D6E-409C-BE32-E72D297353CC}">
              <c16:uniqueId val="{0000000B-2D75-4727-BC5A-184F46A4224E}"/>
            </c:ext>
          </c:extLst>
        </c:ser>
        <c:dLbls>
          <c:showLegendKey val="0"/>
          <c:showVal val="0"/>
          <c:showCatName val="0"/>
          <c:showSerName val="0"/>
          <c:showPercent val="0"/>
          <c:showBubbleSize val="0"/>
        </c:dLbls>
        <c:marker val="1"/>
        <c:smooth val="0"/>
        <c:axId val="283331200"/>
        <c:axId val="283332992"/>
      </c:lineChart>
      <c:catAx>
        <c:axId val="2833312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332992"/>
        <c:crosses val="autoZero"/>
        <c:auto val="1"/>
        <c:lblAlgn val="ctr"/>
        <c:lblOffset val="100"/>
        <c:noMultiLvlLbl val="0"/>
      </c:catAx>
      <c:valAx>
        <c:axId val="283332992"/>
        <c:scaling>
          <c:orientation val="minMax"/>
          <c:max val="20"/>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331200"/>
        <c:crosses val="autoZero"/>
        <c:crossBetween val="between"/>
        <c:majorUnit val="3"/>
      </c:valAx>
      <c:spPr>
        <a:noFill/>
        <a:ln>
          <a:noFill/>
        </a:ln>
        <a:effectLst/>
      </c:spPr>
    </c:plotArea>
    <c:legend>
      <c:legendPos val="b"/>
      <c:layout>
        <c:manualLayout>
          <c:xMode val="edge"/>
          <c:yMode val="edge"/>
          <c:x val="2.091774131948677E-2"/>
          <c:y val="0.76103826800655461"/>
          <c:w val="0.92386679963439222"/>
          <c:h val="0.2389616576649876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999689291175051"/>
          <c:y val="7.0512820512820512E-2"/>
          <c:w val="0.63817237798546189"/>
          <c:h val="0.63414496264890174"/>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Sheet1!$A$2:$A$8</c:f>
              <c:numCache>
                <c:formatCode>General</c:formatCode>
                <c:ptCount val="6"/>
                <c:pt idx="0">
                  <c:v>2018</c:v>
                </c:pt>
                <c:pt idx="1">
                  <c:v>2019</c:v>
                </c:pt>
                <c:pt idx="2">
                  <c:v>2020</c:v>
                </c:pt>
                <c:pt idx="3">
                  <c:v>2021</c:v>
                </c:pt>
                <c:pt idx="4">
                  <c:v>2022</c:v>
                </c:pt>
                <c:pt idx="5">
                  <c:v>2023</c:v>
                </c:pt>
              </c:numCache>
            </c:numRef>
          </c:cat>
          <c:val>
            <c:numRef>
              <c:f>Sheet1!$C$3:$C$8</c:f>
              <c:numCache>
                <c:formatCode>_(* #,##0_);_(* \(#,##0\);_(* "-"??_);_(@_)</c:formatCode>
                <c:ptCount val="6"/>
                <c:pt idx="0">
                  <c:v>6529.7983333333304</c:v>
                </c:pt>
                <c:pt idx="1">
                  <c:v>6010.1450000000004</c:v>
                </c:pt>
                <c:pt idx="2">
                  <c:v>6173.7708333333303</c:v>
                </c:pt>
                <c:pt idx="3">
                  <c:v>9317.0499999999975</c:v>
                </c:pt>
                <c:pt idx="4">
                  <c:v>8776.9629000000004</c:v>
                </c:pt>
                <c:pt idx="5">
                  <c:v>8078.2800999999999</c:v>
                </c:pt>
              </c:numCache>
            </c:numRef>
          </c:val>
          <c:smooth val="0"/>
          <c:extLst>
            <c:ext xmlns:c16="http://schemas.microsoft.com/office/drawing/2014/chart" uri="{C3380CC4-5D6E-409C-BE32-E72D297353CC}">
              <c16:uniqueId val="{00000000-29E7-46F7-ADCB-3E9D8787C92C}"/>
            </c:ext>
          </c:extLst>
        </c:ser>
        <c:dLbls>
          <c:showLegendKey val="0"/>
          <c:showVal val="0"/>
          <c:showCatName val="0"/>
          <c:showSerName val="0"/>
          <c:showPercent val="0"/>
          <c:showBubbleSize val="0"/>
        </c:dLbls>
        <c:marker val="1"/>
        <c:smooth val="0"/>
        <c:axId val="205101696"/>
        <c:axId val="308876032"/>
      </c:lineChart>
      <c:lineChart>
        <c:grouping val="standard"/>
        <c:varyColors val="0"/>
        <c:ser>
          <c:idx val="0"/>
          <c:order val="0"/>
          <c:tx>
            <c:strRef>
              <c:f>Sheet1!$B$1</c:f>
              <c:strCache>
                <c:ptCount val="1"/>
                <c:pt idx="0">
                  <c:v>Նավթ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Sheet1!$A$2:$A$8</c:f>
              <c:numCache>
                <c:formatCode>General</c:formatCode>
                <c:ptCount val="6"/>
                <c:pt idx="0">
                  <c:v>2018</c:v>
                </c:pt>
                <c:pt idx="1">
                  <c:v>2019</c:v>
                </c:pt>
                <c:pt idx="2">
                  <c:v>2020</c:v>
                </c:pt>
                <c:pt idx="3">
                  <c:v>2021</c:v>
                </c:pt>
                <c:pt idx="4">
                  <c:v>2022</c:v>
                </c:pt>
                <c:pt idx="5">
                  <c:v>2023</c:v>
                </c:pt>
              </c:numCache>
            </c:numRef>
          </c:cat>
          <c:val>
            <c:numRef>
              <c:f>Sheet1!$B$3:$B$8</c:f>
              <c:numCache>
                <c:formatCode>_(* #,##0_);_(* \(#,##0\);_(* "-"??_);_(@_)</c:formatCode>
                <c:ptCount val="6"/>
                <c:pt idx="0">
                  <c:v>71.071666666666701</c:v>
                </c:pt>
                <c:pt idx="1">
                  <c:v>64.031666666666695</c:v>
                </c:pt>
                <c:pt idx="2">
                  <c:v>42.3</c:v>
                </c:pt>
                <c:pt idx="3">
                  <c:v>70.44</c:v>
                </c:pt>
                <c:pt idx="4">
                  <c:v>102.9761</c:v>
                </c:pt>
                <c:pt idx="5">
                  <c:v>89.638999999999996</c:v>
                </c:pt>
              </c:numCache>
            </c:numRef>
          </c:val>
          <c:smooth val="0"/>
          <c:extLst>
            <c:ext xmlns:c16="http://schemas.microsoft.com/office/drawing/2014/chart" uri="{C3380CC4-5D6E-409C-BE32-E72D297353CC}">
              <c16:uniqueId val="{00000001-29E7-46F7-ADCB-3E9D8787C92C}"/>
            </c:ext>
          </c:extLst>
        </c:ser>
        <c:dLbls>
          <c:showLegendKey val="0"/>
          <c:showVal val="0"/>
          <c:showCatName val="0"/>
          <c:showSerName val="0"/>
          <c:showPercent val="0"/>
          <c:showBubbleSize val="0"/>
        </c:dLbls>
        <c:marker val="1"/>
        <c:smooth val="0"/>
        <c:axId val="349563520"/>
        <c:axId val="308878336"/>
      </c:lineChart>
      <c:catAx>
        <c:axId val="20510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876032"/>
        <c:crosses val="autoZero"/>
        <c:auto val="1"/>
        <c:lblAlgn val="ctr"/>
        <c:lblOffset val="100"/>
        <c:noMultiLvlLbl val="0"/>
      </c:catAx>
      <c:valAx>
        <c:axId val="308876032"/>
        <c:scaling>
          <c:orientation val="minMax"/>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29"/>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01696"/>
        <c:crosses val="autoZero"/>
        <c:crossBetween val="between"/>
      </c:valAx>
      <c:valAx>
        <c:axId val="308878336"/>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
              <c:y val="0.28816222491419341"/>
            </c:manualLayout>
          </c:layout>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63520"/>
        <c:crosses val="max"/>
        <c:crossBetween val="between"/>
      </c:valAx>
      <c:catAx>
        <c:axId val="349563520"/>
        <c:scaling>
          <c:orientation val="minMax"/>
        </c:scaling>
        <c:delete val="1"/>
        <c:axPos val="b"/>
        <c:numFmt formatCode="General" sourceLinked="1"/>
        <c:majorTickMark val="out"/>
        <c:minorTickMark val="none"/>
        <c:tickLblPos val="none"/>
        <c:crossAx val="3088783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Sheet1!$B$8:$F$8</c:f>
              <c:numCache>
                <c:formatCode>0.0</c:formatCode>
                <c:ptCount val="5"/>
                <c:pt idx="0">
                  <c:v>18.62246328768364</c:v>
                </c:pt>
                <c:pt idx="1">
                  <c:v>19.908953272735175</c:v>
                </c:pt>
                <c:pt idx="2">
                  <c:v>20.128086037981742</c:v>
                </c:pt>
                <c:pt idx="3">
                  <c:v>18.986697981521299</c:v>
                </c:pt>
                <c:pt idx="4">
                  <c:v>18.649551008017646</c:v>
                </c:pt>
              </c:numCache>
            </c:numRef>
          </c:val>
          <c:extLst>
            <c:ext xmlns:c16="http://schemas.microsoft.com/office/drawing/2014/chart" uri="{C3380CC4-5D6E-409C-BE32-E72D297353CC}">
              <c16:uniqueId val="{00000000-3E19-411C-88E1-70815701B6A2}"/>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Sheet1!$B$9:$F$9</c:f>
              <c:numCache>
                <c:formatCode>0.0</c:formatCode>
                <c:ptCount val="5"/>
                <c:pt idx="0">
                  <c:v>11.525610737958818</c:v>
                </c:pt>
                <c:pt idx="1">
                  <c:v>11.349805155454895</c:v>
                </c:pt>
                <c:pt idx="2">
                  <c:v>11.337477467478886</c:v>
                </c:pt>
                <c:pt idx="3">
                  <c:v>11.297156254358882</c:v>
                </c:pt>
                <c:pt idx="4">
                  <c:v>10.87483265606509</c:v>
                </c:pt>
              </c:numCache>
            </c:numRef>
          </c:val>
          <c:extLst>
            <c:ext xmlns:c16="http://schemas.microsoft.com/office/drawing/2014/chart" uri="{C3380CC4-5D6E-409C-BE32-E72D297353CC}">
              <c16:uniqueId val="{00000001-3E19-411C-88E1-70815701B6A2}"/>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Sheet1!$B$10:$F$10</c:f>
              <c:numCache>
                <c:formatCode>0.0</c:formatCode>
                <c:ptCount val="5"/>
                <c:pt idx="0">
                  <c:v>6.3491451696598515</c:v>
                </c:pt>
                <c:pt idx="1">
                  <c:v>6.9083424251944709</c:v>
                </c:pt>
                <c:pt idx="2">
                  <c:v>6.5133186666833724</c:v>
                </c:pt>
                <c:pt idx="3">
                  <c:v>6.5069298342789903</c:v>
                </c:pt>
                <c:pt idx="4">
                  <c:v>6.6650421480091326</c:v>
                </c:pt>
              </c:numCache>
            </c:numRef>
          </c:val>
          <c:extLst>
            <c:ext xmlns:c16="http://schemas.microsoft.com/office/drawing/2014/chart" uri="{C3380CC4-5D6E-409C-BE32-E72D297353CC}">
              <c16:uniqueId val="{00000002-3E19-411C-88E1-70815701B6A2}"/>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Sheet1!$B$11:$F$11</c:f>
              <c:numCache>
                <c:formatCode>0.0</c:formatCode>
                <c:ptCount val="5"/>
                <c:pt idx="0">
                  <c:v>52.112404130880428</c:v>
                </c:pt>
                <c:pt idx="1">
                  <c:v>50.930889787878556</c:v>
                </c:pt>
                <c:pt idx="2">
                  <c:v>51.033141020018348</c:v>
                </c:pt>
                <c:pt idx="3">
                  <c:v>52.679575958624234</c:v>
                </c:pt>
                <c:pt idx="4">
                  <c:v>53.261252646651883</c:v>
                </c:pt>
              </c:numCache>
            </c:numRef>
          </c:val>
          <c:extLst>
            <c:ext xmlns:c16="http://schemas.microsoft.com/office/drawing/2014/chart" uri="{C3380CC4-5D6E-409C-BE32-E72D297353CC}">
              <c16:uniqueId val="{00000003-3E19-411C-88E1-70815701B6A2}"/>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2019 </c:v>
                </c:pt>
                <c:pt idx="1">
                  <c:v>2020</c:v>
                </c:pt>
                <c:pt idx="2">
                  <c:v>2021</c:v>
                </c:pt>
                <c:pt idx="3">
                  <c:v>2022</c:v>
                </c:pt>
                <c:pt idx="4">
                  <c:v>2023</c:v>
                </c:pt>
              </c:strCache>
            </c:strRef>
          </c:cat>
          <c:val>
            <c:numRef>
              <c:f>Sheet1!$B$12:$F$12</c:f>
              <c:numCache>
                <c:formatCode>0.0</c:formatCode>
                <c:ptCount val="5"/>
                <c:pt idx="0">
                  <c:v>11.390376673817267</c:v>
                </c:pt>
                <c:pt idx="1">
                  <c:v>10.902009358736906</c:v>
                </c:pt>
                <c:pt idx="2">
                  <c:v>10.987976807837653</c:v>
                </c:pt>
                <c:pt idx="3">
                  <c:v>10.529639971216593</c:v>
                </c:pt>
                <c:pt idx="4">
                  <c:v>10.549321541256248</c:v>
                </c:pt>
              </c:numCache>
            </c:numRef>
          </c:val>
          <c:extLst>
            <c:ext xmlns:c16="http://schemas.microsoft.com/office/drawing/2014/chart" uri="{C3380CC4-5D6E-409C-BE32-E72D297353CC}">
              <c16:uniqueId val="{00000004-3E19-411C-88E1-70815701B6A2}"/>
            </c:ext>
          </c:extLst>
        </c:ser>
        <c:dLbls>
          <c:showLegendKey val="0"/>
          <c:showVal val="0"/>
          <c:showCatName val="0"/>
          <c:showSerName val="0"/>
          <c:showPercent val="0"/>
          <c:showBubbleSize val="0"/>
        </c:dLbls>
        <c:gapWidth val="150"/>
        <c:overlap val="100"/>
        <c:axId val="296305024"/>
        <c:axId val="296306560"/>
      </c:barChart>
      <c:catAx>
        <c:axId val="29630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306560"/>
        <c:crosses val="autoZero"/>
        <c:auto val="1"/>
        <c:lblAlgn val="ctr"/>
        <c:lblOffset val="100"/>
        <c:noMultiLvlLbl val="0"/>
      </c:catAx>
      <c:valAx>
        <c:axId val="29630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305024"/>
        <c:crosses val="autoZero"/>
        <c:crossBetween val="between"/>
      </c:valAx>
      <c:spPr>
        <a:noFill/>
        <a:ln>
          <a:noFill/>
        </a:ln>
        <a:effectLst/>
      </c:spPr>
    </c:plotArea>
    <c:legend>
      <c:legendPos val="b"/>
      <c:layout>
        <c:manualLayout>
          <c:xMode val="edge"/>
          <c:yMode val="edge"/>
          <c:x val="0"/>
          <c:y val="0.73565859823077828"/>
          <c:w val="0.97725437445319496"/>
          <c:h val="0.23656394802501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3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Sheet1!$B$2:$F$2</c:f>
              <c:numCache>
                <c:formatCode>0.0</c:formatCode>
                <c:ptCount val="5"/>
                <c:pt idx="0">
                  <c:v>96.004021993844162</c:v>
                </c:pt>
                <c:pt idx="1">
                  <c:v>90.295000765621907</c:v>
                </c:pt>
                <c:pt idx="2">
                  <c:v>87.803692200838839</c:v>
                </c:pt>
                <c:pt idx="3">
                  <c:v>86.187165217134847</c:v>
                </c:pt>
                <c:pt idx="4">
                  <c:v>84.406693014543947</c:v>
                </c:pt>
              </c:numCache>
            </c:numRef>
          </c:val>
          <c:extLst>
            <c:ext xmlns:c16="http://schemas.microsoft.com/office/drawing/2014/chart" uri="{C3380CC4-5D6E-409C-BE32-E72D297353CC}">
              <c16:uniqueId val="{00000000-C200-4156-860D-CD1103D7B5A6}"/>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Sheet1!$B$3:$F$3</c:f>
              <c:numCache>
                <c:formatCode>0.0</c:formatCode>
                <c:ptCount val="5"/>
                <c:pt idx="0">
                  <c:v>15.815598431976859</c:v>
                </c:pt>
                <c:pt idx="1">
                  <c:v>17.77392125201067</c:v>
                </c:pt>
                <c:pt idx="2">
                  <c:v>18.26147283477464</c:v>
                </c:pt>
                <c:pt idx="3">
                  <c:v>18.462080477114</c:v>
                </c:pt>
                <c:pt idx="4">
                  <c:v>20.434122490061288</c:v>
                </c:pt>
              </c:numCache>
            </c:numRef>
          </c:val>
          <c:extLst>
            <c:ext xmlns:c16="http://schemas.microsoft.com/office/drawing/2014/chart" uri="{C3380CC4-5D6E-409C-BE32-E72D297353CC}">
              <c16:uniqueId val="{00000001-C200-4156-860D-CD1103D7B5A6}"/>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Sheet1!$B$4:$F$4</c:f>
              <c:numCache>
                <c:formatCode>0.0</c:formatCode>
                <c:ptCount val="5"/>
                <c:pt idx="0">
                  <c:v>41.35080136208493</c:v>
                </c:pt>
                <c:pt idx="1">
                  <c:v>29.764986915193397</c:v>
                </c:pt>
                <c:pt idx="2">
                  <c:v>35.335979535906148</c:v>
                </c:pt>
                <c:pt idx="3">
                  <c:v>40.796659115823203</c:v>
                </c:pt>
                <c:pt idx="4">
                  <c:v>40.193697986828248</c:v>
                </c:pt>
              </c:numCache>
            </c:numRef>
          </c:val>
          <c:extLst>
            <c:ext xmlns:c16="http://schemas.microsoft.com/office/drawing/2014/chart" uri="{C3380CC4-5D6E-409C-BE32-E72D297353CC}">
              <c16:uniqueId val="{00000002-C200-4156-860D-CD1103D7B5A6}"/>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dLbl>
              <c:idx val="0"/>
              <c:layout>
                <c:manualLayout>
                  <c:x val="4.0933278755628322E-3"/>
                  <c:y val="-7.72737707049000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200-4156-860D-CD1103D7B5A6}"/>
                </c:ext>
              </c:extLst>
            </c:dLbl>
            <c:dLbl>
              <c:idx val="1"/>
              <c:layout>
                <c:manualLayout>
                  <c:x val="4.0933278755627949E-3"/>
                  <c:y val="-7.72737707049000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200-4156-860D-CD1103D7B5A6}"/>
                </c:ext>
              </c:extLst>
            </c:dLbl>
            <c:dLbl>
              <c:idx val="2"/>
              <c:layout>
                <c:manualLayout>
                  <c:x val="0"/>
                  <c:y val="-4.21496311907270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200-4156-860D-CD1103D7B5A6}"/>
                </c:ext>
              </c:extLst>
            </c:dLbl>
            <c:dLbl>
              <c:idx val="3"/>
              <c:layout>
                <c:manualLayout>
                  <c:x val="-7.5043477476663076E-17"/>
                  <c:y val="-3.512469265893923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200-4156-860D-CD1103D7B5A6}"/>
                </c:ext>
              </c:extLst>
            </c:dLbl>
            <c:dLbl>
              <c:idx val="4"/>
              <c:layout>
                <c:manualLayout>
                  <c:x val="0"/>
                  <c:y val="-4.21496311907269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200-4156-860D-CD1103D7B5A6}"/>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2019 </c:v>
                </c:pt>
                <c:pt idx="1">
                  <c:v>2020</c:v>
                </c:pt>
                <c:pt idx="2">
                  <c:v>2021</c:v>
                </c:pt>
                <c:pt idx="3">
                  <c:v>2022</c:v>
                </c:pt>
                <c:pt idx="4">
                  <c:v>2023</c:v>
                </c:pt>
              </c:strCache>
            </c:strRef>
          </c:cat>
          <c:val>
            <c:numRef>
              <c:f>Sheet1!$B$5:$F$5</c:f>
              <c:numCache>
                <c:formatCode>0.0</c:formatCode>
                <c:ptCount val="5"/>
                <c:pt idx="0">
                  <c:v>-54.763352766785822</c:v>
                </c:pt>
                <c:pt idx="1">
                  <c:v>-39.723820624414245</c:v>
                </c:pt>
                <c:pt idx="2">
                  <c:v>-43.830783854273889</c:v>
                </c:pt>
                <c:pt idx="3">
                  <c:v>-47.447208315115702</c:v>
                </c:pt>
                <c:pt idx="4">
                  <c:v>-46.745870683324902</c:v>
                </c:pt>
              </c:numCache>
            </c:numRef>
          </c:val>
          <c:extLst>
            <c:ext xmlns:c16="http://schemas.microsoft.com/office/drawing/2014/chart" uri="{C3380CC4-5D6E-409C-BE32-E72D297353CC}">
              <c16:uniqueId val="{00000008-C200-4156-860D-CD1103D7B5A6}"/>
            </c:ext>
          </c:extLst>
        </c:ser>
        <c:dLbls>
          <c:showLegendKey val="0"/>
          <c:showVal val="0"/>
          <c:showCatName val="0"/>
          <c:showSerName val="0"/>
          <c:showPercent val="0"/>
          <c:showBubbleSize val="0"/>
        </c:dLbls>
        <c:gapWidth val="150"/>
        <c:overlap val="100"/>
        <c:axId val="296380672"/>
        <c:axId val="296386560"/>
      </c:barChart>
      <c:catAx>
        <c:axId val="29638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386560"/>
        <c:crosses val="autoZero"/>
        <c:auto val="1"/>
        <c:lblAlgn val="ctr"/>
        <c:lblOffset val="10"/>
        <c:noMultiLvlLbl val="0"/>
      </c:catAx>
      <c:valAx>
        <c:axId val="29638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380672"/>
        <c:crosses val="autoZero"/>
        <c:crossBetween val="between"/>
      </c:valAx>
      <c:spPr>
        <a:noFill/>
        <a:ln>
          <a:noFill/>
        </a:ln>
        <a:effectLst/>
      </c:spPr>
    </c:plotArea>
    <c:legend>
      <c:legendPos val="b"/>
      <c:layout>
        <c:manualLayout>
          <c:xMode val="edge"/>
          <c:yMode val="edge"/>
          <c:x val="5.2434256574987008E-3"/>
          <c:y val="0.72839011460201153"/>
          <c:w val="0.99475646011079077"/>
          <c:h val="0.2380192822431849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5131697766"/>
          <c:y val="0.15092599850358071"/>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strRef>
              <c:f>Лист1!$A$2:$A$6</c:f>
              <c:strCache>
                <c:ptCount val="5"/>
                <c:pt idx="0">
                  <c:v>2021-I</c:v>
                </c:pt>
                <c:pt idx="1">
                  <c:v>2021-II</c:v>
                </c:pt>
                <c:pt idx="2">
                  <c:v>2021-III</c:v>
                </c:pt>
                <c:pt idx="3">
                  <c:v>2021-IV</c:v>
                </c:pt>
                <c:pt idx="4">
                  <c:v>2022-I</c:v>
                </c:pt>
              </c:strCache>
            </c:strRef>
          </c:cat>
          <c:val>
            <c:numRef>
              <c:f>Лист1!$B$2:$B$6</c:f>
              <c:numCache>
                <c:formatCode>General</c:formatCode>
                <c:ptCount val="5"/>
                <c:pt idx="0" formatCode="0.0">
                  <c:v>207.5</c:v>
                </c:pt>
                <c:pt idx="1">
                  <c:v>174.6</c:v>
                </c:pt>
                <c:pt idx="2">
                  <c:v>177.3</c:v>
                </c:pt>
                <c:pt idx="3">
                  <c:v>181.8</c:v>
                </c:pt>
                <c:pt idx="4">
                  <c:v>186.4</c:v>
                </c:pt>
              </c:numCache>
            </c:numRef>
          </c:val>
          <c:extLst>
            <c:ext xmlns:c16="http://schemas.microsoft.com/office/drawing/2014/chart" uri="{C3380CC4-5D6E-409C-BE32-E72D297353CC}">
              <c16:uniqueId val="{00000000-97A9-4D0C-A4E7-128C407A1569}"/>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strRef>
              <c:f>Лист1!$A$2:$A$6</c:f>
              <c:strCache>
                <c:ptCount val="5"/>
                <c:pt idx="0">
                  <c:v>2021-I</c:v>
                </c:pt>
                <c:pt idx="1">
                  <c:v>2021-II</c:v>
                </c:pt>
                <c:pt idx="2">
                  <c:v>2021-III</c:v>
                </c:pt>
                <c:pt idx="3">
                  <c:v>2021-IV</c:v>
                </c:pt>
                <c:pt idx="4">
                  <c:v>2022-I</c:v>
                </c:pt>
              </c:strCache>
            </c:strRef>
          </c:cat>
          <c:val>
            <c:numRef>
              <c:f>Лист1!$C$2:$C$6</c:f>
              <c:numCache>
                <c:formatCode>General</c:formatCode>
                <c:ptCount val="5"/>
                <c:pt idx="0">
                  <c:v>1036.5</c:v>
                </c:pt>
                <c:pt idx="1">
                  <c:v>993</c:v>
                </c:pt>
                <c:pt idx="2">
                  <c:v>1004.8</c:v>
                </c:pt>
                <c:pt idx="3">
                  <c:v>1093.0999999999999</c:v>
                </c:pt>
                <c:pt idx="4">
                  <c:v>1070.5</c:v>
                </c:pt>
              </c:numCache>
            </c:numRef>
          </c:val>
          <c:extLst>
            <c:ext xmlns:c16="http://schemas.microsoft.com/office/drawing/2014/chart" uri="{C3380CC4-5D6E-409C-BE32-E72D297353CC}">
              <c16:uniqueId val="{00000001-97A9-4D0C-A4E7-128C407A1569}"/>
            </c:ext>
          </c:extLst>
        </c:ser>
        <c:dLbls>
          <c:showLegendKey val="0"/>
          <c:showVal val="0"/>
          <c:showCatName val="0"/>
          <c:showSerName val="0"/>
          <c:showPercent val="0"/>
          <c:showBubbleSize val="0"/>
        </c:dLbls>
        <c:gapWidth val="219"/>
        <c:overlap val="-27"/>
        <c:axId val="296453632"/>
        <c:axId val="296455168"/>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dLbls>
            <c:dLbl>
              <c:idx val="1"/>
              <c:layout>
                <c:manualLayout>
                  <c:x val="8.5744908896034297E-3"/>
                  <c:y val="-2.41327300150830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7A9-4D0C-A4E7-128C407A1569}"/>
                </c:ext>
              </c:extLst>
            </c:dLbl>
            <c:dLbl>
              <c:idx val="2"/>
              <c:layout>
                <c:manualLayout>
                  <c:x val="-4.2872454448017148E-3"/>
                  <c:y val="-2.413273001508301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7A9-4D0C-A4E7-128C407A156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Лист1!$A$2:$A$6</c:f>
              <c:strCache>
                <c:ptCount val="5"/>
                <c:pt idx="0">
                  <c:v>2021-I</c:v>
                </c:pt>
                <c:pt idx="1">
                  <c:v>2021-II</c:v>
                </c:pt>
                <c:pt idx="2">
                  <c:v>2021-III</c:v>
                </c:pt>
                <c:pt idx="3">
                  <c:v>2021-IV</c:v>
                </c:pt>
                <c:pt idx="4">
                  <c:v>2022-I</c:v>
                </c:pt>
              </c:strCache>
            </c:strRef>
          </c:cat>
          <c:val>
            <c:numRef>
              <c:f>Лист1!$D$2:$D$6</c:f>
              <c:numCache>
                <c:formatCode>0.0</c:formatCode>
                <c:ptCount val="5"/>
                <c:pt idx="0">
                  <c:v>16.7</c:v>
                </c:pt>
                <c:pt idx="1">
                  <c:v>15</c:v>
                </c:pt>
                <c:pt idx="2">
                  <c:v>15</c:v>
                </c:pt>
                <c:pt idx="3">
                  <c:v>14.3</c:v>
                </c:pt>
                <c:pt idx="4">
                  <c:v>14.8</c:v>
                </c:pt>
              </c:numCache>
            </c:numRef>
          </c:val>
          <c:smooth val="0"/>
          <c:extLst>
            <c:ext xmlns:c16="http://schemas.microsoft.com/office/drawing/2014/chart" uri="{C3380CC4-5D6E-409C-BE32-E72D297353CC}">
              <c16:uniqueId val="{00000004-97A9-4D0C-A4E7-128C407A1569}"/>
            </c:ext>
          </c:extLst>
        </c:ser>
        <c:dLbls>
          <c:showLegendKey val="0"/>
          <c:showVal val="0"/>
          <c:showCatName val="0"/>
          <c:showSerName val="0"/>
          <c:showPercent val="0"/>
          <c:showBubbleSize val="0"/>
        </c:dLbls>
        <c:marker val="1"/>
        <c:smooth val="0"/>
        <c:axId val="296470784"/>
        <c:axId val="296469248"/>
      </c:lineChart>
      <c:catAx>
        <c:axId val="2964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55168"/>
        <c:crosses val="autoZero"/>
        <c:auto val="1"/>
        <c:lblAlgn val="ctr"/>
        <c:lblOffset val="100"/>
        <c:noMultiLvlLbl val="0"/>
      </c:catAx>
      <c:valAx>
        <c:axId val="296455168"/>
        <c:scaling>
          <c:orientation val="minMax"/>
          <c:max val="1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53632"/>
        <c:crosses val="autoZero"/>
        <c:crossBetween val="between"/>
        <c:majorUnit val="200"/>
      </c:valAx>
      <c:valAx>
        <c:axId val="296469248"/>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6470784"/>
        <c:crosses val="max"/>
        <c:crossBetween val="between"/>
      </c:valAx>
      <c:catAx>
        <c:axId val="296470784"/>
        <c:scaling>
          <c:orientation val="minMax"/>
        </c:scaling>
        <c:delete val="1"/>
        <c:axPos val="b"/>
        <c:numFmt formatCode="General" sourceLinked="1"/>
        <c:majorTickMark val="none"/>
        <c:minorTickMark val="none"/>
        <c:tickLblPos val="none"/>
        <c:crossAx val="296469248"/>
        <c:crosses val="autoZero"/>
        <c:auto val="1"/>
        <c:lblAlgn val="ctr"/>
        <c:lblOffset val="100"/>
        <c:noMultiLvlLbl val="0"/>
      </c:catAx>
      <c:spPr>
        <a:noFill/>
        <a:ln>
          <a:noFill/>
        </a:ln>
        <a:effectLst/>
      </c:spPr>
    </c:plotArea>
    <c:legend>
      <c:legendPos val="b"/>
      <c:layout>
        <c:manualLayout>
          <c:xMode val="edge"/>
          <c:yMode val="edge"/>
          <c:x val="1.1575282854656208E-2"/>
          <c:y val="0.79644947529258803"/>
          <c:w val="0.81583986074847892"/>
          <c:h val="0.162042396032215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547E-2"/>
          <c:w val="0.80804307316570501"/>
          <c:h val="0.61867847769029227"/>
        </c:manualLayout>
      </c:layout>
      <c:lineChart>
        <c:grouping val="standard"/>
        <c:varyColors val="0"/>
        <c:ser>
          <c:idx val="0"/>
          <c:order val="0"/>
          <c:tx>
            <c:strRef>
              <c:f>Лист1!$B$1</c:f>
              <c:strCache>
                <c:ptCount val="1"/>
                <c:pt idx="0">
                  <c:v>Ընդամենը</c:v>
                </c:pt>
              </c:strCache>
            </c:strRef>
          </c:tx>
          <c:spPr>
            <a:effectLst/>
          </c:spPr>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Лист1!$B$2:$B$8</c:f>
              <c:numCache>
                <c:formatCode>0.0</c:formatCode>
                <c:ptCount val="7"/>
                <c:pt idx="0">
                  <c:v>6.2000000000000028</c:v>
                </c:pt>
                <c:pt idx="1">
                  <c:v>7</c:v>
                </c:pt>
                <c:pt idx="2">
                  <c:v>9.5999999999999943</c:v>
                </c:pt>
                <c:pt idx="3">
                  <c:v>9.7000000000000028</c:v>
                </c:pt>
                <c:pt idx="4">
                  <c:v>10.1</c:v>
                </c:pt>
                <c:pt idx="5">
                  <c:v>11.3</c:v>
                </c:pt>
                <c:pt idx="6">
                  <c:v>12</c:v>
                </c:pt>
              </c:numCache>
            </c:numRef>
          </c:val>
          <c:smooth val="0"/>
          <c:extLst>
            <c:ext xmlns:c16="http://schemas.microsoft.com/office/drawing/2014/chart" uri="{C3380CC4-5D6E-409C-BE32-E72D297353CC}">
              <c16:uniqueId val="{00000000-72FD-4AB6-ABEF-1387D6853248}"/>
            </c:ext>
          </c:extLst>
        </c:ser>
        <c:ser>
          <c:idx val="1"/>
          <c:order val="1"/>
          <c:tx>
            <c:strRef>
              <c:f>Лист1!$C$1</c:f>
              <c:strCache>
                <c:ptCount val="1"/>
                <c:pt idx="0">
                  <c:v>Պետական</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Лист1!$C$2:$C$8</c:f>
              <c:numCache>
                <c:formatCode>0.0</c:formatCode>
                <c:ptCount val="7"/>
                <c:pt idx="0">
                  <c:v>5.0999999999999943</c:v>
                </c:pt>
                <c:pt idx="1">
                  <c:v>4</c:v>
                </c:pt>
                <c:pt idx="2">
                  <c:v>4.0999999999999943</c:v>
                </c:pt>
                <c:pt idx="3">
                  <c:v>4.0999999999999943</c:v>
                </c:pt>
                <c:pt idx="4">
                  <c:v>4</c:v>
                </c:pt>
                <c:pt idx="5">
                  <c:v>4.5</c:v>
                </c:pt>
                <c:pt idx="6">
                  <c:v>4.3</c:v>
                </c:pt>
              </c:numCache>
            </c:numRef>
          </c:val>
          <c:smooth val="0"/>
          <c:extLst>
            <c:ext xmlns:c16="http://schemas.microsoft.com/office/drawing/2014/chart" uri="{C3380CC4-5D6E-409C-BE32-E72D297353CC}">
              <c16:uniqueId val="{00000001-72FD-4AB6-ABEF-1387D6853248}"/>
            </c:ext>
          </c:extLst>
        </c:ser>
        <c:ser>
          <c:idx val="2"/>
          <c:order val="2"/>
          <c:tx>
            <c:strRef>
              <c:f>Лист1!$D$1</c:f>
              <c:strCache>
                <c:ptCount val="1"/>
                <c:pt idx="0">
                  <c:v>Մասնավոր</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Лист1!$D$2:$D$8</c:f>
              <c:numCache>
                <c:formatCode>0.0</c:formatCode>
                <c:ptCount val="7"/>
                <c:pt idx="0">
                  <c:v>6</c:v>
                </c:pt>
                <c:pt idx="1">
                  <c:v>7.5999999999999943</c:v>
                </c:pt>
                <c:pt idx="2">
                  <c:v>11.200000000000003</c:v>
                </c:pt>
                <c:pt idx="3">
                  <c:v>11.200000000000003</c:v>
                </c:pt>
                <c:pt idx="4">
                  <c:v>11.8</c:v>
                </c:pt>
                <c:pt idx="5">
                  <c:v>13.2</c:v>
                </c:pt>
                <c:pt idx="6">
                  <c:v>14.3</c:v>
                </c:pt>
              </c:numCache>
            </c:numRef>
          </c:val>
          <c:smooth val="0"/>
          <c:extLst>
            <c:ext xmlns:c16="http://schemas.microsoft.com/office/drawing/2014/chart" uri="{C3380CC4-5D6E-409C-BE32-E72D297353CC}">
              <c16:uniqueId val="{00000002-72FD-4AB6-ABEF-1387D6853248}"/>
            </c:ext>
          </c:extLst>
        </c:ser>
        <c:dLbls>
          <c:showLegendKey val="0"/>
          <c:showVal val="0"/>
          <c:showCatName val="0"/>
          <c:showSerName val="0"/>
          <c:showPercent val="0"/>
          <c:showBubbleSize val="0"/>
        </c:dLbls>
        <c:smooth val="0"/>
        <c:axId val="297149184"/>
        <c:axId val="297150720"/>
      </c:lineChart>
      <c:catAx>
        <c:axId val="2971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7150720"/>
        <c:crosses val="autoZero"/>
        <c:auto val="1"/>
        <c:lblAlgn val="ctr"/>
        <c:lblOffset val="100"/>
        <c:noMultiLvlLbl val="0"/>
      </c:catAx>
      <c:valAx>
        <c:axId val="297150720"/>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7149184"/>
        <c:crosses val="autoZero"/>
        <c:crossBetween val="between"/>
        <c:majorUnit val="2"/>
      </c:valAx>
      <c:spPr>
        <a:noFill/>
        <a:ln>
          <a:noFill/>
        </a:ln>
        <a:effectLst/>
      </c:spPr>
    </c:plotArea>
    <c:legend>
      <c:legendPos val="b"/>
      <c:layout>
        <c:manualLayout>
          <c:xMode val="edge"/>
          <c:yMode val="edge"/>
          <c:x val="5.8843537414965986E-2"/>
          <c:y val="0.80372399534053762"/>
          <c:w val="0.83130122127591199"/>
          <c:h val="9.297677610657950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3619698175608326"/>
          <c:h val="0.66128895652749531"/>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Sheet1!$B$1:$H$1</c:f>
              <c:strCache>
                <c:ptCount val="6"/>
                <c:pt idx="0">
                  <c:v>2018</c:v>
                </c:pt>
                <c:pt idx="1">
                  <c:v>2019</c:v>
                </c:pt>
                <c:pt idx="2">
                  <c:v>2020</c:v>
                </c:pt>
                <c:pt idx="3">
                  <c:v>2021</c:v>
                </c:pt>
                <c:pt idx="4">
                  <c:v>2022*</c:v>
                </c:pt>
                <c:pt idx="5">
                  <c:v>2023*</c:v>
                </c:pt>
              </c:strCache>
            </c:strRef>
          </c:cat>
          <c:val>
            <c:numRef>
              <c:f>Sheet1!$B$3:$H$3</c:f>
              <c:numCache>
                <c:formatCode>0.0</c:formatCode>
                <c:ptCount val="6"/>
                <c:pt idx="0">
                  <c:v>-14.154908222987975</c:v>
                </c:pt>
                <c:pt idx="1">
                  <c:v>-12.644612396588299</c:v>
                </c:pt>
                <c:pt idx="2">
                  <c:v>-10.933296134402209</c:v>
                </c:pt>
                <c:pt idx="3">
                  <c:v>-10.855815219969703</c:v>
                </c:pt>
                <c:pt idx="4">
                  <c:v>-11.992799140005751</c:v>
                </c:pt>
                <c:pt idx="5">
                  <c:v>-11.514028415776052</c:v>
                </c:pt>
              </c:numCache>
            </c:numRef>
          </c:val>
          <c:extLst>
            <c:ext xmlns:c16="http://schemas.microsoft.com/office/drawing/2014/chart" uri="{C3380CC4-5D6E-409C-BE32-E72D297353CC}">
              <c16:uniqueId val="{00000000-23A3-4C76-87F3-97DEEFDDCB67}"/>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Sheet1!$B$1:$H$1</c:f>
              <c:strCache>
                <c:ptCount val="6"/>
                <c:pt idx="0">
                  <c:v>2018</c:v>
                </c:pt>
                <c:pt idx="1">
                  <c:v>2019</c:v>
                </c:pt>
                <c:pt idx="2">
                  <c:v>2020</c:v>
                </c:pt>
                <c:pt idx="3">
                  <c:v>2021</c:v>
                </c:pt>
                <c:pt idx="4">
                  <c:v>2022*</c:v>
                </c:pt>
                <c:pt idx="5">
                  <c:v>2023*</c:v>
                </c:pt>
              </c:strCache>
            </c:strRef>
          </c:cat>
          <c:val>
            <c:numRef>
              <c:f>Sheet1!$B$4:$H$4</c:f>
              <c:numCache>
                <c:formatCode>0.0</c:formatCode>
                <c:ptCount val="6"/>
                <c:pt idx="0">
                  <c:v>9.1527801920170671</c:v>
                </c:pt>
                <c:pt idx="1">
                  <c:v>8.5356388401983665</c:v>
                </c:pt>
                <c:pt idx="2">
                  <c:v>8.2756807900344835</c:v>
                </c:pt>
                <c:pt idx="3">
                  <c:v>8.9683607586653959</c:v>
                </c:pt>
                <c:pt idx="4">
                  <c:v>7.1943455679786856</c:v>
                </c:pt>
                <c:pt idx="5">
                  <c:v>6.4199830149982127</c:v>
                </c:pt>
              </c:numCache>
            </c:numRef>
          </c:val>
          <c:extLst>
            <c:ext xmlns:c16="http://schemas.microsoft.com/office/drawing/2014/chart" uri="{C3380CC4-5D6E-409C-BE32-E72D297353CC}">
              <c16:uniqueId val="{00000001-23A3-4C76-87F3-97DEEFDDCB67}"/>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Sheet1!$B$1:$H$1</c:f>
              <c:strCache>
                <c:ptCount val="6"/>
                <c:pt idx="0">
                  <c:v>2018</c:v>
                </c:pt>
                <c:pt idx="1">
                  <c:v>2019</c:v>
                </c:pt>
                <c:pt idx="2">
                  <c:v>2020</c:v>
                </c:pt>
                <c:pt idx="3">
                  <c:v>2021</c:v>
                </c:pt>
                <c:pt idx="4">
                  <c:v>2022*</c:v>
                </c:pt>
                <c:pt idx="5">
                  <c:v>2023*</c:v>
                </c:pt>
              </c:strCache>
            </c:strRef>
          </c:cat>
          <c:val>
            <c:numRef>
              <c:f>Sheet1!$B$5:$H$5</c:f>
              <c:numCache>
                <c:formatCode>0.0</c:formatCode>
                <c:ptCount val="6"/>
                <c:pt idx="0">
                  <c:v>8.5642660008593552E-2</c:v>
                </c:pt>
                <c:pt idx="1">
                  <c:v>-0.63789499938145333</c:v>
                </c:pt>
                <c:pt idx="2">
                  <c:v>0.93379329835219949</c:v>
                </c:pt>
                <c:pt idx="3">
                  <c:v>2.8633929787633754</c:v>
                </c:pt>
                <c:pt idx="4">
                  <c:v>5.945220637362354</c:v>
                </c:pt>
                <c:pt idx="5">
                  <c:v>5.5559153161460895</c:v>
                </c:pt>
              </c:numCache>
            </c:numRef>
          </c:val>
          <c:extLst>
            <c:ext xmlns:c16="http://schemas.microsoft.com/office/drawing/2014/chart" uri="{C3380CC4-5D6E-409C-BE32-E72D297353CC}">
              <c16:uniqueId val="{00000002-23A3-4C76-87F3-97DEEFDDCB67}"/>
            </c:ext>
          </c:extLst>
        </c:ser>
        <c:dLbls>
          <c:showLegendKey val="0"/>
          <c:showVal val="0"/>
          <c:showCatName val="0"/>
          <c:showSerName val="0"/>
          <c:showPercent val="0"/>
          <c:showBubbleSize val="0"/>
        </c:dLbls>
        <c:gapWidth val="150"/>
        <c:axId val="299870464"/>
        <c:axId val="299868928"/>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Sheet1!$B$1:$H$1</c:f>
              <c:strCache>
                <c:ptCount val="6"/>
                <c:pt idx="0">
                  <c:v>2018</c:v>
                </c:pt>
                <c:pt idx="1">
                  <c:v>2019</c:v>
                </c:pt>
                <c:pt idx="2">
                  <c:v>2020</c:v>
                </c:pt>
                <c:pt idx="3">
                  <c:v>2021</c:v>
                </c:pt>
                <c:pt idx="4">
                  <c:v>2022*</c:v>
                </c:pt>
                <c:pt idx="5">
                  <c:v>2023*</c:v>
                </c:pt>
              </c:strCache>
            </c:strRef>
          </c:cat>
          <c:val>
            <c:numRef>
              <c:f>Sheet1!$B$2:$H$2</c:f>
              <c:numCache>
                <c:formatCode>0.0</c:formatCode>
                <c:ptCount val="6"/>
                <c:pt idx="0">
                  <c:v>-7.4196494237412498</c:v>
                </c:pt>
                <c:pt idx="1">
                  <c:v>-7.3203387073494151</c:v>
                </c:pt>
                <c:pt idx="2">
                  <c:v>-3.7796420088727403</c:v>
                </c:pt>
                <c:pt idx="3">
                  <c:v>-3.7162620881232686</c:v>
                </c:pt>
                <c:pt idx="4">
                  <c:v>-4.1780742758292631</c:v>
                </c:pt>
                <c:pt idx="5">
                  <c:v>-5.6826809887807856</c:v>
                </c:pt>
              </c:numCache>
            </c:numRef>
          </c:val>
          <c:smooth val="0"/>
          <c:extLst>
            <c:ext xmlns:c16="http://schemas.microsoft.com/office/drawing/2014/chart" uri="{C3380CC4-5D6E-409C-BE32-E72D297353CC}">
              <c16:uniqueId val="{00000003-23A3-4C76-87F3-97DEEFDDCB67}"/>
            </c:ext>
          </c:extLst>
        </c:ser>
        <c:dLbls>
          <c:showLegendKey val="0"/>
          <c:showVal val="0"/>
          <c:showCatName val="0"/>
          <c:showSerName val="0"/>
          <c:showPercent val="0"/>
          <c:showBubbleSize val="0"/>
        </c:dLbls>
        <c:marker val="1"/>
        <c:smooth val="0"/>
        <c:axId val="299881984"/>
        <c:axId val="299880448"/>
      </c:lineChart>
      <c:valAx>
        <c:axId val="299868928"/>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9870464"/>
        <c:crosses val="autoZero"/>
        <c:crossBetween val="between"/>
      </c:valAx>
      <c:catAx>
        <c:axId val="299870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99868928"/>
        <c:crosses val="autoZero"/>
        <c:auto val="1"/>
        <c:lblAlgn val="ctr"/>
        <c:lblOffset val="100"/>
        <c:noMultiLvlLbl val="0"/>
      </c:catAx>
      <c:valAx>
        <c:axId val="299880448"/>
        <c:scaling>
          <c:orientation val="minMax"/>
        </c:scaling>
        <c:delete val="1"/>
        <c:axPos val="r"/>
        <c:numFmt formatCode="0.0" sourceLinked="1"/>
        <c:majorTickMark val="out"/>
        <c:minorTickMark val="none"/>
        <c:tickLblPos val="none"/>
        <c:crossAx val="299881984"/>
        <c:crosses val="max"/>
        <c:crossBetween val="between"/>
      </c:valAx>
      <c:catAx>
        <c:axId val="299881984"/>
        <c:scaling>
          <c:orientation val="minMax"/>
        </c:scaling>
        <c:delete val="1"/>
        <c:axPos val="b"/>
        <c:numFmt formatCode="General" sourceLinked="1"/>
        <c:majorTickMark val="out"/>
        <c:minorTickMark val="none"/>
        <c:tickLblPos val="none"/>
        <c:crossAx val="299880448"/>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77E-3"/>
          <c:y val="0.7846087943437805"/>
          <c:w val="0.97570090670484499"/>
          <c:h val="0.21539120565621953"/>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6378599935282063"/>
          <c:h val="0.73564911528916299"/>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2018</c:v>
                </c:pt>
                <c:pt idx="1">
                  <c:v>2019</c:v>
                </c:pt>
                <c:pt idx="2">
                  <c:v>2020</c:v>
                </c:pt>
                <c:pt idx="3">
                  <c:v>2021</c:v>
                </c:pt>
                <c:pt idx="4">
                  <c:v>2022*</c:v>
                </c:pt>
                <c:pt idx="5">
                  <c:v>2023*</c:v>
                </c:pt>
              </c:strCache>
            </c:strRef>
          </c:cat>
          <c:val>
            <c:numRef>
              <c:f>Sheet1!$B$2:$G$2</c:f>
              <c:numCache>
                <c:formatCode>0.0</c:formatCode>
                <c:ptCount val="6"/>
                <c:pt idx="0">
                  <c:v>39.549255018918451</c:v>
                </c:pt>
                <c:pt idx="1">
                  <c:v>42.545710911812144</c:v>
                </c:pt>
                <c:pt idx="2">
                  <c:v>30.203163222394142</c:v>
                </c:pt>
                <c:pt idx="3">
                  <c:v>36.157026334028615</c:v>
                </c:pt>
                <c:pt idx="4">
                  <c:v>41.744587170487812</c:v>
                </c:pt>
                <c:pt idx="5">
                  <c:v>41.127615978354513</c:v>
                </c:pt>
              </c:numCache>
            </c:numRef>
          </c:val>
          <c:extLst>
            <c:ext xmlns:c16="http://schemas.microsoft.com/office/drawing/2014/chart" uri="{C3380CC4-5D6E-409C-BE32-E72D297353CC}">
              <c16:uniqueId val="{00000000-A30E-45B7-B9E9-B8CE705DCBF8}"/>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Sheet1!$B$1:$G$1</c:f>
              <c:strCache>
                <c:ptCount val="6"/>
                <c:pt idx="0">
                  <c:v>2018</c:v>
                </c:pt>
                <c:pt idx="1">
                  <c:v>2019</c:v>
                </c:pt>
                <c:pt idx="2">
                  <c:v>2020</c:v>
                </c:pt>
                <c:pt idx="3">
                  <c:v>2021</c:v>
                </c:pt>
                <c:pt idx="4">
                  <c:v>2022*</c:v>
                </c:pt>
                <c:pt idx="5">
                  <c:v>2023*</c:v>
                </c:pt>
              </c:strCache>
            </c:strRef>
          </c:cat>
          <c:val>
            <c:numRef>
              <c:f>Sheet1!$B$3:$G$3</c:f>
              <c:numCache>
                <c:formatCode>0.0</c:formatCode>
                <c:ptCount val="6"/>
                <c:pt idx="0">
                  <c:v>53.618520581897833</c:v>
                </c:pt>
                <c:pt idx="1">
                  <c:v>55.828218307781896</c:v>
                </c:pt>
                <c:pt idx="2">
                  <c:v>40.202666058444152</c:v>
                </c:pt>
                <c:pt idx="3">
                  <c:v>44.149448575234942</c:v>
                </c:pt>
                <c:pt idx="4">
                  <c:v>47.792165673131208</c:v>
                </c:pt>
                <c:pt idx="5">
                  <c:v>47.085729077984475</c:v>
                </c:pt>
              </c:numCache>
            </c:numRef>
          </c:val>
          <c:extLst>
            <c:ext xmlns:c16="http://schemas.microsoft.com/office/drawing/2014/chart" uri="{C3380CC4-5D6E-409C-BE32-E72D297353CC}">
              <c16:uniqueId val="{00000001-A30E-45B7-B9E9-B8CE705DCBF8}"/>
            </c:ext>
          </c:extLst>
        </c:ser>
        <c:dLbls>
          <c:showLegendKey val="0"/>
          <c:showVal val="0"/>
          <c:showCatName val="0"/>
          <c:showSerName val="0"/>
          <c:showPercent val="0"/>
          <c:showBubbleSize val="0"/>
        </c:dLbls>
        <c:gapWidth val="150"/>
        <c:axId val="306657920"/>
        <c:axId val="306656384"/>
      </c:barChart>
      <c:valAx>
        <c:axId val="306656384"/>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306657920"/>
        <c:crosses val="autoZero"/>
        <c:crossBetween val="between"/>
        <c:majorUnit val="10"/>
      </c:valAx>
      <c:catAx>
        <c:axId val="306657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6656384"/>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12E-2"/>
          <c:y val="0.85107968646776433"/>
          <c:w val="0.92111602488045008"/>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6"/>
          <c:y val="7.7192982456140605E-2"/>
          <c:w val="0.85358700104683449"/>
          <c:h val="0.53218566100289999"/>
        </c:manualLayout>
      </c:layout>
      <c:lineChart>
        <c:grouping val="standard"/>
        <c:varyColors val="0"/>
        <c:ser>
          <c:idx val="0"/>
          <c:order val="0"/>
          <c:tx>
            <c:strRef>
              <c:f>Sheet1!$A$2</c:f>
              <c:strCache>
                <c:ptCount val="1"/>
                <c:pt idx="0">
                  <c:v>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51.959505283291662</c:v>
                </c:pt>
                <c:pt idx="1">
                  <c:v>30.390248339945572</c:v>
                </c:pt>
                <c:pt idx="2">
                  <c:v>5.2719718635667192</c:v>
                </c:pt>
                <c:pt idx="3">
                  <c:v>21.866057093461961</c:v>
                </c:pt>
                <c:pt idx="4">
                  <c:v>33.94259541063721</c:v>
                </c:pt>
                <c:pt idx="5">
                  <c:v>69.656472631102702</c:v>
                </c:pt>
                <c:pt idx="6">
                  <c:v>84.31211421139443</c:v>
                </c:pt>
                <c:pt idx="7">
                  <c:v>107.41296424392038</c:v>
                </c:pt>
              </c:numCache>
            </c:numRef>
          </c:val>
          <c:smooth val="0"/>
          <c:extLst>
            <c:ext xmlns:c16="http://schemas.microsoft.com/office/drawing/2014/chart" uri="{C3380CC4-5D6E-409C-BE32-E72D297353CC}">
              <c16:uniqueId val="{00000000-47E3-4388-A8B9-55617379A391}"/>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0"/>
              <c:layout>
                <c:manualLayout>
                  <c:x val="-2.6974951830443159E-2"/>
                  <c:y val="5.00782472613457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7E3-4388-A8B9-55617379A391}"/>
                </c:ext>
              </c:extLst>
            </c:dLbl>
            <c:dLbl>
              <c:idx val="1"/>
              <c:layout>
                <c:manualLayout>
                  <c:x val="-1.1560693641618497E-2"/>
                  <c:y val="5.6338028169014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7E3-4388-A8B9-55617379A391}"/>
                </c:ext>
              </c:extLst>
            </c:dLbl>
            <c:dLbl>
              <c:idx val="2"/>
              <c:delete val="1"/>
              <c:extLst>
                <c:ext xmlns:c15="http://schemas.microsoft.com/office/drawing/2012/chart" uri="{CE6537A1-D6FC-4f65-9D91-7224C49458BB}"/>
                <c:ext xmlns:c16="http://schemas.microsoft.com/office/drawing/2014/chart" uri="{C3380CC4-5D6E-409C-BE32-E72D297353CC}">
                  <c16:uniqueId val="{00000003-47E3-4388-A8B9-55617379A391}"/>
                </c:ext>
              </c:extLst>
            </c:dLbl>
            <c:dLbl>
              <c:idx val="3"/>
              <c:layout>
                <c:manualLayout>
                  <c:x val="-4.6242774566474062E-2"/>
                  <c:y val="6.43111160400724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7E3-4388-A8B9-55617379A391}"/>
                </c:ext>
              </c:extLst>
            </c:dLbl>
            <c:dLbl>
              <c:idx val="4"/>
              <c:layout>
                <c:manualLayout>
                  <c:x val="-1.5414258188824592E-2"/>
                  <c:y val="4.91228070175438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7E3-4388-A8B9-55617379A391}"/>
                </c:ext>
              </c:extLst>
            </c:dLbl>
            <c:dLbl>
              <c:idx val="5"/>
              <c:layout>
                <c:manualLayout>
                  <c:x val="-2.6974951830443159E-2"/>
                  <c:y val="6.3157894736842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7E3-4388-A8B9-55617379A391}"/>
                </c:ext>
              </c:extLst>
            </c:dLbl>
            <c:dLbl>
              <c:idx val="6"/>
              <c:layout>
                <c:manualLayout>
                  <c:x val="-3.8535645472061654E-2"/>
                  <c:y val="5.6897958177762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7E3-4388-A8B9-55617379A391}"/>
                </c:ext>
              </c:extLst>
            </c:dLbl>
            <c:dLbl>
              <c:idx val="7"/>
              <c:layout>
                <c:manualLayout>
                  <c:x val="-2.6974951830443301E-2"/>
                  <c:y val="-6.12798048131307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7E3-4388-A8B9-55617379A391}"/>
                </c:ext>
              </c:extLst>
            </c:dLbl>
            <c:dLbl>
              <c:idx val="8"/>
              <c:layout>
                <c:manualLayout>
                  <c:x val="-4.238921001926782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E3-4388-A8B9-55617379A391}"/>
                </c:ext>
              </c:extLst>
            </c:dLbl>
            <c:dLbl>
              <c:idx val="9"/>
              <c:layout>
                <c:manualLayout>
                  <c:x val="-2.31213872832369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E3-4388-A8B9-55617379A391}"/>
                </c:ext>
              </c:extLst>
            </c:dLbl>
            <c:spPr>
              <a:noFill/>
              <a:ln>
                <a:noFill/>
              </a:ln>
              <a:effectLst/>
            </c:spPr>
            <c:txPr>
              <a:bodyPr/>
              <a:lstStyle/>
              <a:p>
                <a:pPr>
                  <a:defRPr b="1">
                    <a:solidFill>
                      <a:srgbClr val="9900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51.959505283291662</c:v>
                </c:pt>
                <c:pt idx="1">
                  <c:v>40.19369628119361</c:v>
                </c:pt>
                <c:pt idx="2">
                  <c:v>27.084053054494532</c:v>
                </c:pt>
                <c:pt idx="3">
                  <c:v>25.54079455669283</c:v>
                </c:pt>
                <c:pt idx="4">
                  <c:v>27.592486916957995</c:v>
                </c:pt>
                <c:pt idx="5">
                  <c:v>36.539705425385762</c:v>
                </c:pt>
                <c:pt idx="6">
                  <c:v>44.099971991301857</c:v>
                </c:pt>
                <c:pt idx="7">
                  <c:v>53.122800977591226</c:v>
                </c:pt>
              </c:numCache>
            </c:numRef>
          </c:val>
          <c:smooth val="0"/>
          <c:extLst>
            <c:ext xmlns:c16="http://schemas.microsoft.com/office/drawing/2014/chart" uri="{C3380CC4-5D6E-409C-BE32-E72D297353CC}">
              <c16:uniqueId val="{0000000B-47E3-4388-A8B9-55617379A391}"/>
            </c:ext>
          </c:extLst>
        </c:ser>
        <c:dLbls>
          <c:showLegendKey val="0"/>
          <c:showVal val="0"/>
          <c:showCatName val="0"/>
          <c:showSerName val="0"/>
          <c:showPercent val="0"/>
          <c:showBubbleSize val="0"/>
        </c:dLbls>
        <c:marker val="1"/>
        <c:smooth val="0"/>
        <c:axId val="306984448"/>
        <c:axId val="306985984"/>
      </c:lineChart>
      <c:catAx>
        <c:axId val="306984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6985984"/>
        <c:crosses val="autoZero"/>
        <c:auto val="1"/>
        <c:lblAlgn val="ctr"/>
        <c:lblOffset val="100"/>
        <c:noMultiLvlLbl val="0"/>
      </c:catAx>
      <c:valAx>
        <c:axId val="3069859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6984448"/>
        <c:crosses val="autoZero"/>
        <c:crossBetween val="between"/>
      </c:valAx>
      <c:spPr>
        <a:noFill/>
        <a:ln>
          <a:noFill/>
        </a:ln>
        <a:effectLst/>
      </c:spPr>
    </c:plotArea>
    <c:legend>
      <c:legendPos val="b"/>
      <c:layout>
        <c:manualLayout>
          <c:xMode val="edge"/>
          <c:yMode val="edge"/>
          <c:x val="1.7440690881381768E-2"/>
          <c:y val="0.80522613620665839"/>
          <c:w val="0.97802150537634414"/>
          <c:h val="0.15266860063544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5219217562778385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5.4262288421377688E-2"/>
                  <c:y val="-3.15183479423562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A7E-4FEE-9E56-4875B2FD5CB9}"/>
                </c:ext>
              </c:extLst>
            </c:dLbl>
            <c:dLbl>
              <c:idx val="1"/>
              <c:layout>
                <c:manualLayout>
                  <c:x val="-2.1651349308890587E-2"/>
                  <c:y val="-4.42186132983377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A7E-4FEE-9E56-4875B2FD5CB9}"/>
                </c:ext>
              </c:extLst>
            </c:dLbl>
            <c:dLbl>
              <c:idx val="2"/>
              <c:layout>
                <c:manualLayout>
                  <c:x val="-3.4272527079625893E-2"/>
                  <c:y val="-6.50519466316710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A7E-4FEE-9E56-4875B2FD5CB9}"/>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A7E-4FEE-9E56-4875B2FD5CB9}"/>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A7E-4FEE-9E56-4875B2FD5CB9}"/>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A7E-4FEE-9E56-4875B2FD5CB9}"/>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A7E-4FEE-9E56-4875B2FD5CB9}"/>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A7E-4FEE-9E56-4875B2FD5CB9}"/>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7E-4FEE-9E56-4875B2FD5CB9}"/>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35.090132495728113</c:v>
                </c:pt>
                <c:pt idx="1">
                  <c:v>27.650958076916226</c:v>
                </c:pt>
                <c:pt idx="2">
                  <c:v>17.300664601258703</c:v>
                </c:pt>
                <c:pt idx="3">
                  <c:v>14.869927047353812</c:v>
                </c:pt>
                <c:pt idx="4">
                  <c:v>17.466517544902814</c:v>
                </c:pt>
                <c:pt idx="5">
                  <c:v>26.433436333321225</c:v>
                </c:pt>
                <c:pt idx="6">
                  <c:v>32.793177632747529</c:v>
                </c:pt>
                <c:pt idx="7">
                  <c:v>40.9138891941098</c:v>
                </c:pt>
              </c:numCache>
            </c:numRef>
          </c:val>
          <c:smooth val="0"/>
          <c:extLst>
            <c:ext xmlns:c16="http://schemas.microsoft.com/office/drawing/2014/chart" uri="{C3380CC4-5D6E-409C-BE32-E72D297353CC}">
              <c16:uniqueId val="{00000009-3A7E-4FEE-9E56-4875B2FD5CB9}"/>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4.0250334732673281</c:v>
                </c:pt>
                <c:pt idx="1">
                  <c:v>1.1521405780693641</c:v>
                </c:pt>
                <c:pt idx="2">
                  <c:v>0.5394793918080012</c:v>
                </c:pt>
                <c:pt idx="3">
                  <c:v>0.5459646368703801</c:v>
                </c:pt>
                <c:pt idx="4">
                  <c:v>-1.0276291195431497</c:v>
                </c:pt>
                <c:pt idx="5">
                  <c:v>-3.1442912821501636</c:v>
                </c:pt>
                <c:pt idx="6">
                  <c:v>-3.5517711345587344</c:v>
                </c:pt>
                <c:pt idx="7">
                  <c:v>-4.2454561086719877</c:v>
                </c:pt>
              </c:numCache>
            </c:numRef>
          </c:val>
          <c:smooth val="0"/>
          <c:extLst>
            <c:ext xmlns:c16="http://schemas.microsoft.com/office/drawing/2014/chart" uri="{C3380CC4-5D6E-409C-BE32-E72D297353CC}">
              <c16:uniqueId val="{0000000A-3A7E-4FEE-9E56-4875B2FD5CB9}"/>
            </c:ext>
          </c:extLst>
        </c:ser>
        <c:dLbls>
          <c:showLegendKey val="0"/>
          <c:showVal val="0"/>
          <c:showCatName val="0"/>
          <c:showSerName val="0"/>
          <c:showPercent val="0"/>
          <c:showBubbleSize val="0"/>
        </c:dLbls>
        <c:marker val="1"/>
        <c:smooth val="0"/>
        <c:axId val="307020928"/>
        <c:axId val="307022848"/>
      </c:lineChart>
      <c:catAx>
        <c:axId val="3070209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022848"/>
        <c:crosses val="autoZero"/>
        <c:auto val="1"/>
        <c:lblAlgn val="ctr"/>
        <c:lblOffset val="100"/>
        <c:noMultiLvlLbl val="0"/>
      </c:catAx>
      <c:valAx>
        <c:axId val="3070228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020928"/>
        <c:crosses val="autoZero"/>
        <c:crossBetween val="between"/>
      </c:valAx>
      <c:spPr>
        <a:noFill/>
        <a:ln>
          <a:noFill/>
        </a:ln>
        <a:effectLst/>
      </c:spPr>
    </c:plotArea>
    <c:legend>
      <c:legendPos val="b"/>
      <c:layout>
        <c:manualLayout>
          <c:xMode val="edge"/>
          <c:yMode val="edge"/>
          <c:x val="1.290348140444713E-2"/>
          <c:y val="0.77859664093712422"/>
          <c:w val="0.95869985292086213"/>
          <c:h val="0.187681884592012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Sheet1!$B$2:$I$2</c:f>
              <c:numCache>
                <c:formatCode>0.0</c:formatCode>
                <c:ptCount val="8"/>
                <c:pt idx="0">
                  <c:v>38.305946538137817</c:v>
                </c:pt>
                <c:pt idx="1">
                  <c:v>36.293037535372633</c:v>
                </c:pt>
                <c:pt idx="2">
                  <c:v>24.0922896429677</c:v>
                </c:pt>
                <c:pt idx="3">
                  <c:v>16.43106797758351</c:v>
                </c:pt>
                <c:pt idx="4">
                  <c:v>18.921312660781766</c:v>
                </c:pt>
                <c:pt idx="5">
                  <c:v>22.210610685680351</c:v>
                </c:pt>
                <c:pt idx="6">
                  <c:v>23.183309352266463</c:v>
                </c:pt>
                <c:pt idx="7">
                  <c:v>29.319043839331783</c:v>
                </c:pt>
              </c:numCache>
            </c:numRef>
          </c:val>
          <c:smooth val="0"/>
          <c:extLst>
            <c:ext xmlns:c16="http://schemas.microsoft.com/office/drawing/2014/chart" uri="{C3380CC4-5D6E-409C-BE32-E72D297353CC}">
              <c16:uniqueId val="{00000000-AA1E-4916-BF9A-8C4DE66CCD22}"/>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Sheet1!$B$3:$I$3</c:f>
              <c:numCache>
                <c:formatCode>0.0</c:formatCode>
                <c:ptCount val="8"/>
                <c:pt idx="0">
                  <c:v>11.687863985777881</c:v>
                </c:pt>
                <c:pt idx="1">
                  <c:v>8.1741458029670184</c:v>
                </c:pt>
                <c:pt idx="2">
                  <c:v>8.7689970648203683</c:v>
                </c:pt>
                <c:pt idx="3">
                  <c:v>9.7285562496348206</c:v>
                </c:pt>
                <c:pt idx="4">
                  <c:v>9.3024867090385044</c:v>
                </c:pt>
                <c:pt idx="5">
                  <c:v>8.6951225814600406</c:v>
                </c:pt>
                <c:pt idx="6">
                  <c:v>8.5902435062092053</c:v>
                </c:pt>
                <c:pt idx="7">
                  <c:v>7.8632418285072845</c:v>
                </c:pt>
              </c:numCache>
            </c:numRef>
          </c:val>
          <c:smooth val="0"/>
          <c:extLst>
            <c:ext xmlns:c16="http://schemas.microsoft.com/office/drawing/2014/chart" uri="{C3380CC4-5D6E-409C-BE32-E72D297353CC}">
              <c16:uniqueId val="{00000001-AA1E-4916-BF9A-8C4DE66CCD22}"/>
            </c:ext>
          </c:extLst>
        </c:ser>
        <c:dLbls>
          <c:showLegendKey val="0"/>
          <c:showVal val="0"/>
          <c:showCatName val="0"/>
          <c:showSerName val="0"/>
          <c:showPercent val="0"/>
          <c:showBubbleSize val="0"/>
        </c:dLbls>
        <c:marker val="1"/>
        <c:smooth val="0"/>
        <c:axId val="307095040"/>
        <c:axId val="307096960"/>
      </c:lineChart>
      <c:catAx>
        <c:axId val="3070950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096960"/>
        <c:crosses val="autoZero"/>
        <c:auto val="1"/>
        <c:lblAlgn val="ctr"/>
        <c:lblOffset val="100"/>
        <c:noMultiLvlLbl val="0"/>
      </c:catAx>
      <c:valAx>
        <c:axId val="307096960"/>
        <c:scaling>
          <c:orientation val="minMax"/>
          <c:max val="4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095040"/>
        <c:crosses val="autoZero"/>
        <c:crossBetween val="between"/>
        <c:majorUnit val="5"/>
      </c:valAx>
      <c:spPr>
        <a:noFill/>
        <a:ln>
          <a:noFill/>
        </a:ln>
        <a:effectLst/>
      </c:spPr>
    </c:plotArea>
    <c:legend>
      <c:legendPos val="b"/>
      <c:layout>
        <c:manualLayout>
          <c:xMode val="edge"/>
          <c:yMode val="edge"/>
          <c:x val="3.9658303581617586E-2"/>
          <c:y val="0.84919510061242365"/>
          <c:w val="0.83083600954714498"/>
          <c:h val="0.1508048993875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83"/>
          <c:y val="6.636500754147813E-2"/>
          <c:w val="0.8241503387657938"/>
          <c:h val="0.59055021348137959"/>
        </c:manualLayout>
      </c:layout>
      <c:lineChart>
        <c:grouping val="standard"/>
        <c:varyColors val="0"/>
        <c:ser>
          <c:idx val="0"/>
          <c:order val="0"/>
          <c:tx>
            <c:strRef>
              <c:f>Sheet1!$A$2</c:f>
              <c:strCache>
                <c:ptCount val="1"/>
                <c:pt idx="0">
                  <c:v>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Sheet1!$B$2:$I$2</c:f>
              <c:numCache>
                <c:formatCode>0.0</c:formatCode>
                <c:ptCount val="8"/>
                <c:pt idx="0">
                  <c:v>67.037206217761138</c:v>
                </c:pt>
                <c:pt idx="1">
                  <c:v>54.606949552575742</c:v>
                </c:pt>
                <c:pt idx="2">
                  <c:v>22.561116552007348</c:v>
                </c:pt>
                <c:pt idx="3">
                  <c:v>23.966184426425613</c:v>
                </c:pt>
                <c:pt idx="4">
                  <c:v>54.728817892488394</c:v>
                </c:pt>
                <c:pt idx="5">
                  <c:v>71.114137465345067</c:v>
                </c:pt>
                <c:pt idx="6">
                  <c:v>61.774083627384869</c:v>
                </c:pt>
                <c:pt idx="7">
                  <c:v>106.33954899502226</c:v>
                </c:pt>
              </c:numCache>
            </c:numRef>
          </c:val>
          <c:smooth val="0"/>
          <c:extLst>
            <c:ext xmlns:c16="http://schemas.microsoft.com/office/drawing/2014/chart" uri="{C3380CC4-5D6E-409C-BE32-E72D297353CC}">
              <c16:uniqueId val="{00000000-B2AA-4BF3-BD7F-EF8214F696FD}"/>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b="1">
                    <a:solidFill>
                      <a:srgbClr val="990033"/>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Sheet1!$B$3:$I$3</c:f>
              <c:numCache>
                <c:formatCode>0.0</c:formatCode>
                <c:ptCount val="8"/>
                <c:pt idx="0">
                  <c:v>67.037206217761138</c:v>
                </c:pt>
                <c:pt idx="1">
                  <c:v>60.076092679147109</c:v>
                </c:pt>
                <c:pt idx="2">
                  <c:v>45.446700726705387</c:v>
                </c:pt>
                <c:pt idx="3">
                  <c:v>38.868079304267866</c:v>
                </c:pt>
                <c:pt idx="4">
                  <c:v>42.654925629640729</c:v>
                </c:pt>
                <c:pt idx="5">
                  <c:v>48.112177682359345</c:v>
                </c:pt>
                <c:pt idx="6">
                  <c:v>50.500017544815165</c:v>
                </c:pt>
                <c:pt idx="7">
                  <c:v>58.293333520943577</c:v>
                </c:pt>
              </c:numCache>
            </c:numRef>
          </c:val>
          <c:smooth val="0"/>
          <c:extLst>
            <c:ext xmlns:c16="http://schemas.microsoft.com/office/drawing/2014/chart" uri="{C3380CC4-5D6E-409C-BE32-E72D297353CC}">
              <c16:uniqueId val="{00000001-B2AA-4BF3-BD7F-EF8214F696FD}"/>
            </c:ext>
          </c:extLst>
        </c:ser>
        <c:dLbls>
          <c:showLegendKey val="0"/>
          <c:showVal val="0"/>
          <c:showCatName val="0"/>
          <c:showSerName val="0"/>
          <c:showPercent val="0"/>
          <c:showBubbleSize val="0"/>
        </c:dLbls>
        <c:marker val="1"/>
        <c:smooth val="0"/>
        <c:axId val="307354624"/>
        <c:axId val="307356416"/>
      </c:lineChart>
      <c:catAx>
        <c:axId val="3073546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356416"/>
        <c:crosses val="autoZero"/>
        <c:auto val="1"/>
        <c:lblAlgn val="ctr"/>
        <c:lblOffset val="100"/>
        <c:noMultiLvlLbl val="0"/>
      </c:catAx>
      <c:valAx>
        <c:axId val="307356416"/>
        <c:scaling>
          <c:orientation val="minMax"/>
          <c:max val="12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07354624"/>
        <c:crosses val="autoZero"/>
        <c:crossBetween val="between"/>
        <c:majorUnit val="10"/>
      </c:valAx>
      <c:spPr>
        <a:noFill/>
        <a:ln>
          <a:noFill/>
        </a:ln>
        <a:effectLst/>
      </c:spPr>
    </c:plotArea>
    <c:legend>
      <c:legendPos val="b"/>
      <c:layout>
        <c:manualLayout>
          <c:xMode val="edge"/>
          <c:yMode val="edge"/>
          <c:x val="0"/>
          <c:y val="0.82552036199094836"/>
          <c:w val="1"/>
          <c:h val="0.14604882354307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45733767572247186"/>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Sheet1!$C$2:$C$10</c:f>
              <c:numCache>
                <c:formatCode>0.0</c:formatCode>
                <c:ptCount val="8"/>
                <c:pt idx="0">
                  <c:v>3.7650000000000001</c:v>
                </c:pt>
                <c:pt idx="1">
                  <c:v>0.97099999999999997</c:v>
                </c:pt>
                <c:pt idx="2">
                  <c:v>-7.484</c:v>
                </c:pt>
                <c:pt idx="3">
                  <c:v>9.9670000000000005</c:v>
                </c:pt>
                <c:pt idx="4">
                  <c:v>4.6760000000000002</c:v>
                </c:pt>
                <c:pt idx="5">
                  <c:v>4.2590000000000003</c:v>
                </c:pt>
                <c:pt idx="6">
                  <c:v>3.9329999999999998</c:v>
                </c:pt>
                <c:pt idx="7">
                  <c:v>3.605</c:v>
                </c:pt>
              </c:numCache>
            </c:numRef>
          </c:val>
          <c:extLst>
            <c:ext xmlns:c16="http://schemas.microsoft.com/office/drawing/2014/chart" uri="{C3380CC4-5D6E-409C-BE32-E72D297353CC}">
              <c16:uniqueId val="{00000000-24ED-4DEA-9EAC-28E1488535B4}"/>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Sheet1!$D$2:$D$10</c:f>
              <c:numCache>
                <c:formatCode>0.0</c:formatCode>
                <c:ptCount val="8"/>
                <c:pt idx="0">
                  <c:v>4.258</c:v>
                </c:pt>
                <c:pt idx="1">
                  <c:v>0.92200000000000004</c:v>
                </c:pt>
                <c:pt idx="2">
                  <c:v>-8.3800000000000008</c:v>
                </c:pt>
                <c:pt idx="3">
                  <c:v>10.297000000000001</c:v>
                </c:pt>
                <c:pt idx="4">
                  <c:v>5.2759999999999998</c:v>
                </c:pt>
                <c:pt idx="5">
                  <c:v>4.5720000000000001</c:v>
                </c:pt>
                <c:pt idx="6">
                  <c:v>3.8820000000000001</c:v>
                </c:pt>
                <c:pt idx="7">
                  <c:v>3.754</c:v>
                </c:pt>
              </c:numCache>
            </c:numRef>
          </c:val>
          <c:extLst>
            <c:ext xmlns:c16="http://schemas.microsoft.com/office/drawing/2014/chart" uri="{C3380CC4-5D6E-409C-BE32-E72D297353CC}">
              <c16:uniqueId val="{00000001-24ED-4DEA-9EAC-28E1488535B4}"/>
            </c:ext>
          </c:extLst>
        </c:ser>
        <c:dLbls>
          <c:showLegendKey val="0"/>
          <c:showVal val="0"/>
          <c:showCatName val="0"/>
          <c:showSerName val="0"/>
          <c:showPercent val="0"/>
          <c:showBubbleSize val="0"/>
        </c:dLbls>
        <c:gapWidth val="150"/>
        <c:axId val="417028736"/>
        <c:axId val="422691200"/>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8"/>
                <c:pt idx="0">
                  <c:v>2018</c:v>
                </c:pt>
                <c:pt idx="1">
                  <c:v>2019</c:v>
                </c:pt>
                <c:pt idx="2">
                  <c:v>2020</c:v>
                </c:pt>
                <c:pt idx="3">
                  <c:v>2021</c:v>
                </c:pt>
                <c:pt idx="4">
                  <c:v>2022</c:v>
                </c:pt>
                <c:pt idx="5">
                  <c:v>2023</c:v>
                </c:pt>
                <c:pt idx="6">
                  <c:v>2024</c:v>
                </c:pt>
                <c:pt idx="7">
                  <c:v>2025</c:v>
                </c:pt>
              </c:numCache>
            </c:numRef>
          </c:cat>
          <c:val>
            <c:numRef>
              <c:f>Sheet1!$B$2:$B$10</c:f>
              <c:numCache>
                <c:formatCode>0.0</c:formatCode>
                <c:ptCount val="8"/>
                <c:pt idx="0">
                  <c:v>4.01</c:v>
                </c:pt>
                <c:pt idx="1">
                  <c:v>0.94699999999999995</c:v>
                </c:pt>
                <c:pt idx="2">
                  <c:v>-7.931</c:v>
                </c:pt>
                <c:pt idx="3">
                  <c:v>10.131</c:v>
                </c:pt>
                <c:pt idx="4">
                  <c:v>4.9740000000000002</c:v>
                </c:pt>
                <c:pt idx="5">
                  <c:v>4.415</c:v>
                </c:pt>
                <c:pt idx="6">
                  <c:v>3.9079999999999999</c:v>
                </c:pt>
                <c:pt idx="7">
                  <c:v>3.6789999999999998</c:v>
                </c:pt>
              </c:numCache>
            </c:numRef>
          </c:val>
          <c:smooth val="0"/>
          <c:extLst>
            <c:ext xmlns:c16="http://schemas.microsoft.com/office/drawing/2014/chart" uri="{C3380CC4-5D6E-409C-BE32-E72D297353CC}">
              <c16:uniqueId val="{00000002-24ED-4DEA-9EAC-28E1488535B4}"/>
            </c:ext>
          </c:extLst>
        </c:ser>
        <c:dLbls>
          <c:showLegendKey val="0"/>
          <c:showVal val="0"/>
          <c:showCatName val="0"/>
          <c:showSerName val="0"/>
          <c:showPercent val="0"/>
          <c:showBubbleSize val="0"/>
        </c:dLbls>
        <c:marker val="1"/>
        <c:smooth val="0"/>
        <c:axId val="417028736"/>
        <c:axId val="422691200"/>
      </c:lineChart>
      <c:catAx>
        <c:axId val="417028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691200"/>
        <c:crosses val="autoZero"/>
        <c:auto val="1"/>
        <c:lblAlgn val="ctr"/>
        <c:lblOffset val="100"/>
        <c:noMultiLvlLbl val="0"/>
      </c:catAx>
      <c:valAx>
        <c:axId val="422691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7028736"/>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92"/>
          <c:w val="0.9400150504156628"/>
          <c:h val="0.193829410067197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4"/>
          <c:y val="9.1389048471945289E-2"/>
          <c:w val="0.89352514220179968"/>
          <c:h val="0.74930440561882716"/>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Sheet1!$B$2:$I$2</c:f>
              <c:numCache>
                <c:formatCode>#,##0.0</c:formatCode>
                <c:ptCount val="8"/>
                <c:pt idx="0">
                  <c:v>16.907680246733062</c:v>
                </c:pt>
                <c:pt idx="1">
                  <c:v>22.385676251709363</c:v>
                </c:pt>
                <c:pt idx="3" formatCode="0.0">
                  <c:v>42.545710911812144</c:v>
                </c:pt>
                <c:pt idx="4" formatCode="0.0">
                  <c:v>30.203163222394142</c:v>
                </c:pt>
                <c:pt idx="5" formatCode="0.0">
                  <c:v>36.157026334028615</c:v>
                </c:pt>
                <c:pt idx="6" formatCode="0.0">
                  <c:v>41.744587170487812</c:v>
                </c:pt>
                <c:pt idx="7" formatCode="0.0">
                  <c:v>41.127615978354513</c:v>
                </c:pt>
              </c:numCache>
            </c:numRef>
          </c:val>
          <c:extLst>
            <c:ext xmlns:c16="http://schemas.microsoft.com/office/drawing/2014/chart" uri="{C3380CC4-5D6E-409C-BE32-E72D297353CC}">
              <c16:uniqueId val="{00000000-DDE2-41EE-8FE6-A7DA8296A059}"/>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Sheet1!$B$3:$I$3</c:f>
              <c:numCache>
                <c:formatCode>#,##0.0</c:formatCode>
                <c:ptCount val="8"/>
                <c:pt idx="0">
                  <c:v>-19.773709903356107</c:v>
                </c:pt>
                <c:pt idx="1">
                  <c:v>41.77337373770419</c:v>
                </c:pt>
                <c:pt idx="3" formatCode="0.0">
                  <c:v>17.604900267109173</c:v>
                </c:pt>
                <c:pt idx="4" formatCode="0.0">
                  <c:v>-34.105798225991492</c:v>
                </c:pt>
                <c:pt idx="5" formatCode="0.0">
                  <c:v>31.263060653814478</c:v>
                </c:pt>
                <c:pt idx="6" formatCode="0.0">
                  <c:v>53.292091702696496</c:v>
                </c:pt>
                <c:pt idx="7" formatCode="0.0">
                  <c:v>14.333878512653556</c:v>
                </c:pt>
              </c:numCache>
            </c:numRef>
          </c:val>
          <c:extLst>
            <c:ext xmlns:c16="http://schemas.microsoft.com/office/drawing/2014/chart" uri="{C3380CC4-5D6E-409C-BE32-E72D297353CC}">
              <c16:uniqueId val="{00000001-DDE2-41EE-8FE6-A7DA8296A059}"/>
            </c:ext>
          </c:extLst>
        </c:ser>
        <c:dLbls>
          <c:showLegendKey val="0"/>
          <c:showVal val="0"/>
          <c:showCatName val="0"/>
          <c:showSerName val="0"/>
          <c:showPercent val="0"/>
          <c:showBubbleSize val="0"/>
        </c:dLbls>
        <c:gapWidth val="150"/>
        <c:axId val="308890624"/>
        <c:axId val="308896512"/>
      </c:barChart>
      <c:catAx>
        <c:axId val="3088906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8896512"/>
        <c:crosses val="autoZero"/>
        <c:auto val="1"/>
        <c:lblAlgn val="ctr"/>
        <c:lblOffset val="100"/>
        <c:noMultiLvlLbl val="0"/>
      </c:catAx>
      <c:valAx>
        <c:axId val="308896512"/>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8890624"/>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623E-2"/>
          <c:w val="0.85282510140778012"/>
          <c:h val="0.74838039641596521"/>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Sheet1!$B$2:$I$2</c:f>
              <c:numCache>
                <c:formatCode>0.0</c:formatCode>
                <c:ptCount val="8"/>
                <c:pt idx="0">
                  <c:v>42.565558730307387</c:v>
                </c:pt>
                <c:pt idx="1">
                  <c:v>45.944135054288665</c:v>
                </c:pt>
                <c:pt idx="3">
                  <c:v>55.828218307781896</c:v>
                </c:pt>
                <c:pt idx="4">
                  <c:v>40.202666058444152</c:v>
                </c:pt>
                <c:pt idx="5">
                  <c:v>44.149448575234942</c:v>
                </c:pt>
                <c:pt idx="6">
                  <c:v>47.792165673131208</c:v>
                </c:pt>
                <c:pt idx="7">
                  <c:v>47.085729077984475</c:v>
                </c:pt>
              </c:numCache>
            </c:numRef>
          </c:val>
          <c:extLst>
            <c:ext xmlns:c16="http://schemas.microsoft.com/office/drawing/2014/chart" uri="{C3380CC4-5D6E-409C-BE32-E72D297353CC}">
              <c16:uniqueId val="{00000000-B44F-4C54-A1F9-0B3A08C65867}"/>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2009</c:v>
                </c:pt>
                <c:pt idx="1">
                  <c:v>2010</c:v>
                </c:pt>
                <c:pt idx="2">
                  <c:v>.</c:v>
                </c:pt>
                <c:pt idx="3">
                  <c:v>2019</c:v>
                </c:pt>
                <c:pt idx="4">
                  <c:v>2020</c:v>
                </c:pt>
                <c:pt idx="5">
                  <c:v>2021</c:v>
                </c:pt>
                <c:pt idx="6">
                  <c:v>2022*</c:v>
                </c:pt>
                <c:pt idx="7">
                  <c:v>2023*</c:v>
                </c:pt>
              </c:strCache>
            </c:strRef>
          </c:cat>
          <c:val>
            <c:numRef>
              <c:f>Sheet1!$B$3:$I$3</c:f>
              <c:numCache>
                <c:formatCode>0.0</c:formatCode>
                <c:ptCount val="8"/>
                <c:pt idx="0">
                  <c:v>-22.58933683177068</c:v>
                </c:pt>
                <c:pt idx="1">
                  <c:v>15.579343442577226</c:v>
                </c:pt>
                <c:pt idx="3">
                  <c:v>13.827417153139578</c:v>
                </c:pt>
                <c:pt idx="4">
                  <c:v>-33.157660330275164</c:v>
                </c:pt>
                <c:pt idx="5">
                  <c:v>20.412806765335361</c:v>
                </c:pt>
                <c:pt idx="6">
                  <c:v>43.72877115465775</c:v>
                </c:pt>
                <c:pt idx="7">
                  <c:v>14.333674075339232</c:v>
                </c:pt>
              </c:numCache>
            </c:numRef>
          </c:val>
          <c:extLst>
            <c:ext xmlns:c16="http://schemas.microsoft.com/office/drawing/2014/chart" uri="{C3380CC4-5D6E-409C-BE32-E72D297353CC}">
              <c16:uniqueId val="{00000001-B44F-4C54-A1F9-0B3A08C65867}"/>
            </c:ext>
          </c:extLst>
        </c:ser>
        <c:dLbls>
          <c:showLegendKey val="0"/>
          <c:showVal val="0"/>
          <c:showCatName val="0"/>
          <c:showSerName val="0"/>
          <c:showPercent val="0"/>
          <c:showBubbleSize val="0"/>
        </c:dLbls>
        <c:gapWidth val="150"/>
        <c:axId val="308964736"/>
        <c:axId val="308970624"/>
      </c:barChart>
      <c:catAx>
        <c:axId val="308964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8970624"/>
        <c:crosses val="autoZero"/>
        <c:auto val="1"/>
        <c:lblAlgn val="ctr"/>
        <c:lblOffset val="100"/>
        <c:noMultiLvlLbl val="0"/>
      </c:catAx>
      <c:valAx>
        <c:axId val="308970624"/>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08964736"/>
        <c:crosses val="autoZero"/>
        <c:crossBetween val="between"/>
        <c:majorUnit val="20"/>
      </c:valAx>
      <c:spPr>
        <a:noFill/>
        <a:ln>
          <a:noFill/>
        </a:ln>
        <a:effectLst/>
      </c:spPr>
    </c:plotArea>
    <c:legend>
      <c:legendPos val="b"/>
      <c:layout>
        <c:manualLayout>
          <c:xMode val="edge"/>
          <c:yMode val="edge"/>
          <c:x val="4.9999900955776971E-2"/>
          <c:y val="0.9160701503221188"/>
          <c:w val="0.92515703461595589"/>
          <c:h val="8.39298496778815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0622581751751"/>
          <c:y val="6.2146892655367263E-2"/>
          <c:w val="0.79139809651453141"/>
          <c:h val="0.61186351706036746"/>
        </c:manualLayout>
      </c:layout>
      <c:lineChart>
        <c:grouping val="standard"/>
        <c:varyColors val="0"/>
        <c:ser>
          <c:idx val="0"/>
          <c:order val="0"/>
          <c:tx>
            <c:strRef>
              <c:f>Sheet1!$B$1</c:f>
              <c:strCache>
                <c:ptCount val="1"/>
                <c:pt idx="0">
                  <c:v>USD</c:v>
                </c:pt>
              </c:strCache>
            </c:strRef>
          </c:tx>
          <c:spPr>
            <a:ln w="28575" cap="rnd">
              <a:solidFill>
                <a:srgbClr val="0070C0"/>
              </a:solidFill>
              <a:round/>
            </a:ln>
            <a:effectLst/>
          </c:spPr>
          <c:marker>
            <c:symbol val="none"/>
          </c:marker>
          <c:cat>
            <c:numRef>
              <c:f>Sheet1!$A$2:$A$439</c:f>
              <c:numCache>
                <c:formatCode>[$-2B]\ dd\/mmm\/yy</c:formatCode>
                <c:ptCount val="438"/>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44589</c:v>
                </c:pt>
                <c:pt idx="269">
                  <c:v>44592</c:v>
                </c:pt>
                <c:pt idx="270">
                  <c:v>44593</c:v>
                </c:pt>
                <c:pt idx="271">
                  <c:v>44594</c:v>
                </c:pt>
                <c:pt idx="272">
                  <c:v>44595</c:v>
                </c:pt>
                <c:pt idx="273">
                  <c:v>44596</c:v>
                </c:pt>
                <c:pt idx="274">
                  <c:v>44599</c:v>
                </c:pt>
                <c:pt idx="275">
                  <c:v>44600</c:v>
                </c:pt>
                <c:pt idx="276">
                  <c:v>44601</c:v>
                </c:pt>
                <c:pt idx="277">
                  <c:v>44602</c:v>
                </c:pt>
                <c:pt idx="278">
                  <c:v>44603</c:v>
                </c:pt>
                <c:pt idx="279">
                  <c:v>44606</c:v>
                </c:pt>
                <c:pt idx="280">
                  <c:v>44607</c:v>
                </c:pt>
                <c:pt idx="281">
                  <c:v>44608</c:v>
                </c:pt>
                <c:pt idx="282">
                  <c:v>44609</c:v>
                </c:pt>
                <c:pt idx="283">
                  <c:v>44610</c:v>
                </c:pt>
                <c:pt idx="284">
                  <c:v>44613</c:v>
                </c:pt>
                <c:pt idx="285">
                  <c:v>44614</c:v>
                </c:pt>
                <c:pt idx="286">
                  <c:v>44615</c:v>
                </c:pt>
                <c:pt idx="287">
                  <c:v>44616</c:v>
                </c:pt>
                <c:pt idx="288">
                  <c:v>44617</c:v>
                </c:pt>
                <c:pt idx="289">
                  <c:v>44620</c:v>
                </c:pt>
                <c:pt idx="290">
                  <c:v>44621</c:v>
                </c:pt>
                <c:pt idx="291">
                  <c:v>44622</c:v>
                </c:pt>
                <c:pt idx="292">
                  <c:v>44623</c:v>
                </c:pt>
                <c:pt idx="293">
                  <c:v>44624</c:v>
                </c:pt>
                <c:pt idx="294">
                  <c:v>44627</c:v>
                </c:pt>
                <c:pt idx="295">
                  <c:v>44628</c:v>
                </c:pt>
                <c:pt idx="296">
                  <c:v>44629</c:v>
                </c:pt>
                <c:pt idx="297">
                  <c:v>44630</c:v>
                </c:pt>
                <c:pt idx="298">
                  <c:v>44631</c:v>
                </c:pt>
                <c:pt idx="299">
                  <c:v>44634</c:v>
                </c:pt>
                <c:pt idx="300">
                  <c:v>44635</c:v>
                </c:pt>
                <c:pt idx="301">
                  <c:v>44636</c:v>
                </c:pt>
                <c:pt idx="302">
                  <c:v>44637</c:v>
                </c:pt>
                <c:pt idx="303">
                  <c:v>44638</c:v>
                </c:pt>
                <c:pt idx="304">
                  <c:v>44641</c:v>
                </c:pt>
                <c:pt idx="305">
                  <c:v>44642</c:v>
                </c:pt>
                <c:pt idx="306">
                  <c:v>44643</c:v>
                </c:pt>
                <c:pt idx="307">
                  <c:v>44644</c:v>
                </c:pt>
                <c:pt idx="308">
                  <c:v>44645</c:v>
                </c:pt>
                <c:pt idx="309">
                  <c:v>44648</c:v>
                </c:pt>
                <c:pt idx="310">
                  <c:v>44649</c:v>
                </c:pt>
                <c:pt idx="311">
                  <c:v>44650</c:v>
                </c:pt>
                <c:pt idx="312">
                  <c:v>44651</c:v>
                </c:pt>
                <c:pt idx="313">
                  <c:v>44652</c:v>
                </c:pt>
                <c:pt idx="314">
                  <c:v>44655</c:v>
                </c:pt>
                <c:pt idx="315">
                  <c:v>44656</c:v>
                </c:pt>
                <c:pt idx="316">
                  <c:v>44657</c:v>
                </c:pt>
                <c:pt idx="317">
                  <c:v>44658</c:v>
                </c:pt>
                <c:pt idx="318">
                  <c:v>44659</c:v>
                </c:pt>
                <c:pt idx="319">
                  <c:v>44662</c:v>
                </c:pt>
                <c:pt idx="320">
                  <c:v>44663</c:v>
                </c:pt>
                <c:pt idx="321">
                  <c:v>44664</c:v>
                </c:pt>
                <c:pt idx="322">
                  <c:v>44665</c:v>
                </c:pt>
                <c:pt idx="323">
                  <c:v>44666</c:v>
                </c:pt>
                <c:pt idx="324">
                  <c:v>44669</c:v>
                </c:pt>
                <c:pt idx="325">
                  <c:v>44670</c:v>
                </c:pt>
                <c:pt idx="326">
                  <c:v>44671</c:v>
                </c:pt>
                <c:pt idx="327">
                  <c:v>44672</c:v>
                </c:pt>
                <c:pt idx="328">
                  <c:v>44673</c:v>
                </c:pt>
                <c:pt idx="329">
                  <c:v>44676</c:v>
                </c:pt>
                <c:pt idx="330">
                  <c:v>44677</c:v>
                </c:pt>
                <c:pt idx="331">
                  <c:v>44678</c:v>
                </c:pt>
                <c:pt idx="332">
                  <c:v>44679</c:v>
                </c:pt>
                <c:pt idx="333">
                  <c:v>44680</c:v>
                </c:pt>
                <c:pt idx="334">
                  <c:v>44683</c:v>
                </c:pt>
                <c:pt idx="335">
                  <c:v>44684</c:v>
                </c:pt>
                <c:pt idx="336">
                  <c:v>44685</c:v>
                </c:pt>
                <c:pt idx="337">
                  <c:v>44686</c:v>
                </c:pt>
                <c:pt idx="338">
                  <c:v>44687</c:v>
                </c:pt>
                <c:pt idx="339">
                  <c:v>44690</c:v>
                </c:pt>
                <c:pt idx="340">
                  <c:v>44691</c:v>
                </c:pt>
                <c:pt idx="341">
                  <c:v>44692</c:v>
                </c:pt>
                <c:pt idx="342">
                  <c:v>44693</c:v>
                </c:pt>
                <c:pt idx="343">
                  <c:v>44694</c:v>
                </c:pt>
                <c:pt idx="344">
                  <c:v>44697</c:v>
                </c:pt>
                <c:pt idx="345">
                  <c:v>44698</c:v>
                </c:pt>
                <c:pt idx="346">
                  <c:v>44699</c:v>
                </c:pt>
                <c:pt idx="347">
                  <c:v>44700</c:v>
                </c:pt>
                <c:pt idx="348">
                  <c:v>44701</c:v>
                </c:pt>
                <c:pt idx="349">
                  <c:v>44704</c:v>
                </c:pt>
                <c:pt idx="350">
                  <c:v>44705</c:v>
                </c:pt>
                <c:pt idx="351">
                  <c:v>44706</c:v>
                </c:pt>
                <c:pt idx="352">
                  <c:v>44707</c:v>
                </c:pt>
                <c:pt idx="353">
                  <c:v>44708</c:v>
                </c:pt>
                <c:pt idx="354">
                  <c:v>44711</c:v>
                </c:pt>
                <c:pt idx="355">
                  <c:v>44712</c:v>
                </c:pt>
                <c:pt idx="356">
                  <c:v>44713</c:v>
                </c:pt>
                <c:pt idx="357">
                  <c:v>44714</c:v>
                </c:pt>
                <c:pt idx="358">
                  <c:v>44715</c:v>
                </c:pt>
                <c:pt idx="359">
                  <c:v>44718</c:v>
                </c:pt>
                <c:pt idx="360">
                  <c:v>44719</c:v>
                </c:pt>
                <c:pt idx="361">
                  <c:v>44720</c:v>
                </c:pt>
                <c:pt idx="362">
                  <c:v>44721</c:v>
                </c:pt>
                <c:pt idx="363">
                  <c:v>44722</c:v>
                </c:pt>
                <c:pt idx="364">
                  <c:v>44725</c:v>
                </c:pt>
                <c:pt idx="365">
                  <c:v>44726</c:v>
                </c:pt>
                <c:pt idx="366">
                  <c:v>44727</c:v>
                </c:pt>
                <c:pt idx="367">
                  <c:v>44728</c:v>
                </c:pt>
                <c:pt idx="368">
                  <c:v>44729</c:v>
                </c:pt>
                <c:pt idx="369">
                  <c:v>44732</c:v>
                </c:pt>
                <c:pt idx="370">
                  <c:v>44733</c:v>
                </c:pt>
                <c:pt idx="371">
                  <c:v>44734</c:v>
                </c:pt>
                <c:pt idx="372">
                  <c:v>44735</c:v>
                </c:pt>
                <c:pt idx="373">
                  <c:v>44736</c:v>
                </c:pt>
                <c:pt idx="374">
                  <c:v>44739</c:v>
                </c:pt>
                <c:pt idx="375">
                  <c:v>44740</c:v>
                </c:pt>
                <c:pt idx="376">
                  <c:v>44741</c:v>
                </c:pt>
                <c:pt idx="377">
                  <c:v>44742</c:v>
                </c:pt>
                <c:pt idx="378">
                  <c:v>44743</c:v>
                </c:pt>
                <c:pt idx="379">
                  <c:v>44746</c:v>
                </c:pt>
                <c:pt idx="380">
                  <c:v>44747</c:v>
                </c:pt>
                <c:pt idx="381">
                  <c:v>44748</c:v>
                </c:pt>
                <c:pt idx="382">
                  <c:v>44749</c:v>
                </c:pt>
                <c:pt idx="383">
                  <c:v>44750</c:v>
                </c:pt>
                <c:pt idx="384">
                  <c:v>44753</c:v>
                </c:pt>
                <c:pt idx="385">
                  <c:v>44754</c:v>
                </c:pt>
                <c:pt idx="386">
                  <c:v>44755</c:v>
                </c:pt>
                <c:pt idx="387">
                  <c:v>44756</c:v>
                </c:pt>
                <c:pt idx="388">
                  <c:v>44757</c:v>
                </c:pt>
                <c:pt idx="389">
                  <c:v>44760</c:v>
                </c:pt>
                <c:pt idx="390">
                  <c:v>44761</c:v>
                </c:pt>
                <c:pt idx="391">
                  <c:v>44762</c:v>
                </c:pt>
                <c:pt idx="392">
                  <c:v>44763</c:v>
                </c:pt>
                <c:pt idx="393">
                  <c:v>44764</c:v>
                </c:pt>
                <c:pt idx="394">
                  <c:v>44767</c:v>
                </c:pt>
                <c:pt idx="395">
                  <c:v>44768</c:v>
                </c:pt>
                <c:pt idx="396">
                  <c:v>44769</c:v>
                </c:pt>
                <c:pt idx="397">
                  <c:v>44770</c:v>
                </c:pt>
                <c:pt idx="398">
                  <c:v>44771</c:v>
                </c:pt>
                <c:pt idx="399">
                  <c:v>44774</c:v>
                </c:pt>
                <c:pt idx="400">
                  <c:v>44775</c:v>
                </c:pt>
                <c:pt idx="401">
                  <c:v>44776</c:v>
                </c:pt>
                <c:pt idx="402">
                  <c:v>44777</c:v>
                </c:pt>
                <c:pt idx="403">
                  <c:v>44778</c:v>
                </c:pt>
                <c:pt idx="404">
                  <c:v>44781</c:v>
                </c:pt>
                <c:pt idx="405">
                  <c:v>44782</c:v>
                </c:pt>
                <c:pt idx="406">
                  <c:v>44783</c:v>
                </c:pt>
                <c:pt idx="407">
                  <c:v>44784</c:v>
                </c:pt>
                <c:pt idx="408">
                  <c:v>44785</c:v>
                </c:pt>
                <c:pt idx="409">
                  <c:v>44788</c:v>
                </c:pt>
                <c:pt idx="410">
                  <c:v>44789</c:v>
                </c:pt>
                <c:pt idx="411">
                  <c:v>44790</c:v>
                </c:pt>
                <c:pt idx="412">
                  <c:v>44791</c:v>
                </c:pt>
                <c:pt idx="413">
                  <c:v>44792</c:v>
                </c:pt>
                <c:pt idx="414">
                  <c:v>44795</c:v>
                </c:pt>
                <c:pt idx="415">
                  <c:v>44796</c:v>
                </c:pt>
                <c:pt idx="416">
                  <c:v>44797</c:v>
                </c:pt>
                <c:pt idx="417">
                  <c:v>44798</c:v>
                </c:pt>
                <c:pt idx="418">
                  <c:v>44799</c:v>
                </c:pt>
                <c:pt idx="419">
                  <c:v>44802</c:v>
                </c:pt>
                <c:pt idx="420">
                  <c:v>44803</c:v>
                </c:pt>
                <c:pt idx="421">
                  <c:v>44804</c:v>
                </c:pt>
                <c:pt idx="422">
                  <c:v>44805</c:v>
                </c:pt>
                <c:pt idx="423">
                  <c:v>44806</c:v>
                </c:pt>
                <c:pt idx="424">
                  <c:v>44809</c:v>
                </c:pt>
                <c:pt idx="425">
                  <c:v>44810</c:v>
                </c:pt>
                <c:pt idx="426">
                  <c:v>44811</c:v>
                </c:pt>
                <c:pt idx="427">
                  <c:v>44812</c:v>
                </c:pt>
                <c:pt idx="428">
                  <c:v>44813</c:v>
                </c:pt>
                <c:pt idx="429">
                  <c:v>44816</c:v>
                </c:pt>
                <c:pt idx="430">
                  <c:v>44817</c:v>
                </c:pt>
                <c:pt idx="431">
                  <c:v>44818</c:v>
                </c:pt>
                <c:pt idx="432">
                  <c:v>44819</c:v>
                </c:pt>
                <c:pt idx="433">
                  <c:v>44820</c:v>
                </c:pt>
                <c:pt idx="434">
                  <c:v>44823</c:v>
                </c:pt>
                <c:pt idx="435">
                  <c:v>44824</c:v>
                </c:pt>
                <c:pt idx="436">
                  <c:v>44826</c:v>
                </c:pt>
                <c:pt idx="437">
                  <c:v>44827</c:v>
                </c:pt>
              </c:numCache>
            </c:numRef>
          </c:cat>
          <c:val>
            <c:numRef>
              <c:f>Sheet1!$B$2:$B$439</c:f>
              <c:numCache>
                <c:formatCode>0</c:formatCode>
                <c:ptCount val="438"/>
                <c:pt idx="0">
                  <c:v>100</c:v>
                </c:pt>
                <c:pt idx="1">
                  <c:v>99.814800672063527</c:v>
                </c:pt>
                <c:pt idx="2">
                  <c:v>99.495660779537133</c:v>
                </c:pt>
                <c:pt idx="3">
                  <c:v>99.221848962781607</c:v>
                </c:pt>
                <c:pt idx="4">
                  <c:v>99.493767247121497</c:v>
                </c:pt>
                <c:pt idx="5">
                  <c:v>100.04975790863681</c:v>
                </c:pt>
                <c:pt idx="6">
                  <c:v>100.1149007066393</c:v>
                </c:pt>
                <c:pt idx="7">
                  <c:v>100.67011996687911</c:v>
                </c:pt>
                <c:pt idx="8">
                  <c:v>100.69338777711432</c:v>
                </c:pt>
                <c:pt idx="9">
                  <c:v>100.75160438628609</c:v>
                </c:pt>
                <c:pt idx="10">
                  <c:v>100.83905562842369</c:v>
                </c:pt>
                <c:pt idx="11">
                  <c:v>100.85461841191447</c:v>
                </c:pt>
                <c:pt idx="12">
                  <c:v>100.87407864778295</c:v>
                </c:pt>
                <c:pt idx="13">
                  <c:v>100.89354639493592</c:v>
                </c:pt>
                <c:pt idx="14">
                  <c:v>100.87213228626005</c:v>
                </c:pt>
                <c:pt idx="15">
                  <c:v>100.75354609929077</c:v>
                </c:pt>
                <c:pt idx="16">
                  <c:v>100.69144838212634</c:v>
                </c:pt>
                <c:pt idx="17">
                  <c:v>100.50754590022109</c:v>
                </c:pt>
                <c:pt idx="18">
                  <c:v>100.42066845946982</c:v>
                </c:pt>
                <c:pt idx="19">
                  <c:v>100.31853856043595</c:v>
                </c:pt>
                <c:pt idx="20">
                  <c:v>100.18972786508239</c:v>
                </c:pt>
                <c:pt idx="21">
                  <c:v>100.03635667814768</c:v>
                </c:pt>
                <c:pt idx="22">
                  <c:v>99.935006594919003</c:v>
                </c:pt>
                <c:pt idx="23">
                  <c:v>99.755757818611968</c:v>
                </c:pt>
                <c:pt idx="24">
                  <c:v>99.715800717173991</c:v>
                </c:pt>
                <c:pt idx="25">
                  <c:v>99.654975219214592</c:v>
                </c:pt>
                <c:pt idx="26">
                  <c:v>99.594223881734322</c:v>
                </c:pt>
                <c:pt idx="27">
                  <c:v>99.7062918391089</c:v>
                </c:pt>
                <c:pt idx="28">
                  <c:v>99.704390281115252</c:v>
                </c:pt>
                <c:pt idx="29">
                  <c:v>99.677776082977374</c:v>
                </c:pt>
                <c:pt idx="30">
                  <c:v>99.560083793563081</c:v>
                </c:pt>
                <c:pt idx="31">
                  <c:v>99.435103469263495</c:v>
                </c:pt>
                <c:pt idx="32">
                  <c:v>99.304777281793093</c:v>
                </c:pt>
                <c:pt idx="33">
                  <c:v>99.206785965045398</c:v>
                </c:pt>
                <c:pt idx="34">
                  <c:v>99.020759148420282</c:v>
                </c:pt>
                <c:pt idx="35">
                  <c:v>98.94392187292992</c:v>
                </c:pt>
                <c:pt idx="36">
                  <c:v>99.133419296116472</c:v>
                </c:pt>
                <c:pt idx="37">
                  <c:v>99.391623414893786</c:v>
                </c:pt>
                <c:pt idx="38">
                  <c:v>99.582841251095232</c:v>
                </c:pt>
                <c:pt idx="39">
                  <c:v>99.491873786777248</c:v>
                </c:pt>
                <c:pt idx="40">
                  <c:v>99.524072417140985</c:v>
                </c:pt>
                <c:pt idx="41">
                  <c:v>99.402962371418226</c:v>
                </c:pt>
                <c:pt idx="42">
                  <c:v>99.317983206048837</c:v>
                </c:pt>
                <c:pt idx="43">
                  <c:v>99.22373215912539</c:v>
                </c:pt>
                <c:pt idx="44">
                  <c:v>99.191727540081573</c:v>
                </c:pt>
                <c:pt idx="45">
                  <c:v>99.071424510602782</c:v>
                </c:pt>
                <c:pt idx="46">
                  <c:v>99.071424510602782</c:v>
                </c:pt>
                <c:pt idx="47">
                  <c:v>99.122141746615583</c:v>
                </c:pt>
                <c:pt idx="48">
                  <c:v>99.037641843635726</c:v>
                </c:pt>
                <c:pt idx="49">
                  <c:v>99.058284068515974</c:v>
                </c:pt>
                <c:pt idx="50">
                  <c:v>98.990759675831228</c:v>
                </c:pt>
                <c:pt idx="51">
                  <c:v>98.953285887340968</c:v>
                </c:pt>
                <c:pt idx="52">
                  <c:v>98.885904516910017</c:v>
                </c:pt>
                <c:pt idx="53">
                  <c:v>98.734631437798612</c:v>
                </c:pt>
                <c:pt idx="54">
                  <c:v>98.624735888922402</c:v>
                </c:pt>
                <c:pt idx="55">
                  <c:v>98.509515733936283</c:v>
                </c:pt>
                <c:pt idx="56">
                  <c:v>98.422350659864051</c:v>
                </c:pt>
                <c:pt idx="57">
                  <c:v>98.242943586274265</c:v>
                </c:pt>
                <c:pt idx="58">
                  <c:v>98.053153778344594</c:v>
                </c:pt>
                <c:pt idx="59">
                  <c:v>97.930091413157456</c:v>
                </c:pt>
                <c:pt idx="60">
                  <c:v>97.697669638018311</c:v>
                </c:pt>
                <c:pt idx="61">
                  <c:v>97.430019754742958</c:v>
                </c:pt>
                <c:pt idx="62">
                  <c:v>97.288596099449123</c:v>
                </c:pt>
                <c:pt idx="63">
                  <c:v>98.124929614474979</c:v>
                </c:pt>
                <c:pt idx="64">
                  <c:v>98.994508615792427</c:v>
                </c:pt>
                <c:pt idx="65">
                  <c:v>100.64686290741773</c:v>
                </c:pt>
                <c:pt idx="66">
                  <c:v>100.66430469441981</c:v>
                </c:pt>
                <c:pt idx="67">
                  <c:v>100.30506523407517</c:v>
                </c:pt>
                <c:pt idx="68">
                  <c:v>100.11298353121406</c:v>
                </c:pt>
                <c:pt idx="69">
                  <c:v>100.11106642921426</c:v>
                </c:pt>
                <c:pt idx="70">
                  <c:v>100.17245013316979</c:v>
                </c:pt>
                <c:pt idx="71">
                  <c:v>100.10723244547417</c:v>
                </c:pt>
                <c:pt idx="72">
                  <c:v>100.10531556372544</c:v>
                </c:pt>
                <c:pt idx="73">
                  <c:v>100.17245013316978</c:v>
                </c:pt>
                <c:pt idx="74">
                  <c:v>100.44768089766738</c:v>
                </c:pt>
                <c:pt idx="75">
                  <c:v>100.48050125891325</c:v>
                </c:pt>
                <c:pt idx="76">
                  <c:v>100.57328639310514</c:v>
                </c:pt>
                <c:pt idx="77">
                  <c:v>100.41488196992101</c:v>
                </c:pt>
                <c:pt idx="78">
                  <c:v>100.40331099118471</c:v>
                </c:pt>
                <c:pt idx="79">
                  <c:v>100.414881969921</c:v>
                </c:pt>
                <c:pt idx="80">
                  <c:v>100.36668714483177</c:v>
                </c:pt>
                <c:pt idx="81">
                  <c:v>100.33586672808225</c:v>
                </c:pt>
                <c:pt idx="82">
                  <c:v>100.25697574072292</c:v>
                </c:pt>
                <c:pt idx="83">
                  <c:v>100.1340765002202</c:v>
                </c:pt>
                <c:pt idx="84">
                  <c:v>100.08040277963889</c:v>
                </c:pt>
                <c:pt idx="85">
                  <c:v>100.13215859030829</c:v>
                </c:pt>
                <c:pt idx="86">
                  <c:v>100.09956535891391</c:v>
                </c:pt>
                <c:pt idx="87">
                  <c:v>99.9407379086216</c:v>
                </c:pt>
                <c:pt idx="88">
                  <c:v>100.05933241463781</c:v>
                </c:pt>
                <c:pt idx="89">
                  <c:v>100.1686114464179</c:v>
                </c:pt>
                <c:pt idx="90">
                  <c:v>100.23775285207547</c:v>
                </c:pt>
                <c:pt idx="91">
                  <c:v>100.39752650176669</c:v>
                </c:pt>
                <c:pt idx="92">
                  <c:v>100.39367054576171</c:v>
                </c:pt>
                <c:pt idx="93">
                  <c:v>100.43224343950504</c:v>
                </c:pt>
                <c:pt idx="94">
                  <c:v>100.42452648968448</c:v>
                </c:pt>
                <c:pt idx="95">
                  <c:v>100.42645561595933</c:v>
                </c:pt>
                <c:pt idx="96">
                  <c:v>100.40523930245055</c:v>
                </c:pt>
                <c:pt idx="97">
                  <c:v>100.38595952225498</c:v>
                </c:pt>
                <c:pt idx="98">
                  <c:v>100.4187395555213</c:v>
                </c:pt>
                <c:pt idx="99">
                  <c:v>100.4071676877868</c:v>
                </c:pt>
                <c:pt idx="100">
                  <c:v>100.4071676877868</c:v>
                </c:pt>
                <c:pt idx="101">
                  <c:v>100.49402176002449</c:v>
                </c:pt>
                <c:pt idx="102">
                  <c:v>100.5288054765017</c:v>
                </c:pt>
                <c:pt idx="103">
                  <c:v>100.53073861123387</c:v>
                </c:pt>
                <c:pt idx="104">
                  <c:v>100.56941692476374</c:v>
                </c:pt>
                <c:pt idx="105">
                  <c:v>100.61974324922521</c:v>
                </c:pt>
                <c:pt idx="106">
                  <c:v>100.67593591126166</c:v>
                </c:pt>
                <c:pt idx="107">
                  <c:v>100.80600065559852</c:v>
                </c:pt>
                <c:pt idx="108">
                  <c:v>101.12187856631648</c:v>
                </c:pt>
                <c:pt idx="109">
                  <c:v>101.37876202295992</c:v>
                </c:pt>
                <c:pt idx="110">
                  <c:v>101.53825237438569</c:v>
                </c:pt>
                <c:pt idx="111">
                  <c:v>101.68835463227707</c:v>
                </c:pt>
                <c:pt idx="112">
                  <c:v>101.76357230451787</c:v>
                </c:pt>
                <c:pt idx="113">
                  <c:v>101.85080558748459</c:v>
                </c:pt>
                <c:pt idx="114">
                  <c:v>101.89447833628931</c:v>
                </c:pt>
                <c:pt idx="115">
                  <c:v>102.10542762836656</c:v>
                </c:pt>
                <c:pt idx="116">
                  <c:v>102.93167946446144</c:v>
                </c:pt>
                <c:pt idx="117">
                  <c:v>104.68781288798102</c:v>
                </c:pt>
                <c:pt idx="118">
                  <c:v>105.22512730712711</c:v>
                </c:pt>
                <c:pt idx="119">
                  <c:v>105.53525647495805</c:v>
                </c:pt>
                <c:pt idx="120">
                  <c:v>105.43096841850516</c:v>
                </c:pt>
                <c:pt idx="121">
                  <c:v>105.43522103904479</c:v>
                </c:pt>
                <c:pt idx="122">
                  <c:v>105.50969747119008</c:v>
                </c:pt>
                <c:pt idx="123">
                  <c:v>105.4884077564115</c:v>
                </c:pt>
                <c:pt idx="124">
                  <c:v>105.56935441529852</c:v>
                </c:pt>
                <c:pt idx="125">
                  <c:v>105.5331260850256</c:v>
                </c:pt>
                <c:pt idx="126">
                  <c:v>105.45010791294347</c:v>
                </c:pt>
                <c:pt idx="127">
                  <c:v>105.42671614100182</c:v>
                </c:pt>
                <c:pt idx="128">
                  <c:v>105.36722025153172</c:v>
                </c:pt>
                <c:pt idx="129">
                  <c:v>105.4841508444139</c:v>
                </c:pt>
                <c:pt idx="130">
                  <c:v>105.52034555142899</c:v>
                </c:pt>
                <c:pt idx="131">
                  <c:v>105.66110190387644</c:v>
                </c:pt>
                <c:pt idx="132">
                  <c:v>106.06195857255885</c:v>
                </c:pt>
                <c:pt idx="133">
                  <c:v>106.44202382164306</c:v>
                </c:pt>
                <c:pt idx="134">
                  <c:v>107.22357815288058</c:v>
                </c:pt>
                <c:pt idx="135">
                  <c:v>107.9208125180628</c:v>
                </c:pt>
                <c:pt idx="136">
                  <c:v>108.14405692772326</c:v>
                </c:pt>
                <c:pt idx="137">
                  <c:v>108.34576805106521</c:v>
                </c:pt>
                <c:pt idx="138">
                  <c:v>108.39968483038895</c:v>
                </c:pt>
                <c:pt idx="139">
                  <c:v>108.39069497429088</c:v>
                </c:pt>
                <c:pt idx="140">
                  <c:v>107.9341811875464</c:v>
                </c:pt>
                <c:pt idx="141">
                  <c:v>107.51686410003285</c:v>
                </c:pt>
                <c:pt idx="142">
                  <c:v>107.08740449415181</c:v>
                </c:pt>
                <c:pt idx="143">
                  <c:v>106.48972358584722</c:v>
                </c:pt>
                <c:pt idx="144">
                  <c:v>106.19337802153153</c:v>
                </c:pt>
                <c:pt idx="145">
                  <c:v>105.96736596736591</c:v>
                </c:pt>
                <c:pt idx="146">
                  <c:v>106.12439608623275</c:v>
                </c:pt>
                <c:pt idx="147">
                  <c:v>106.41169166887171</c:v>
                </c:pt>
                <c:pt idx="148">
                  <c:v>106.55266590575573</c:v>
                </c:pt>
                <c:pt idx="149">
                  <c:v>106.45936424542325</c:v>
                </c:pt>
                <c:pt idx="150">
                  <c:v>106.31215048296897</c:v>
                </c:pt>
                <c:pt idx="151">
                  <c:v>106.20200706943484</c:v>
                </c:pt>
                <c:pt idx="152">
                  <c:v>106.14594331194671</c:v>
                </c:pt>
                <c:pt idx="153">
                  <c:v>106.22790262933309</c:v>
                </c:pt>
                <c:pt idx="154">
                  <c:v>106.45719638348127</c:v>
                </c:pt>
                <c:pt idx="155">
                  <c:v>106.54180847378178</c:v>
                </c:pt>
                <c:pt idx="156">
                  <c:v>106.66789088163878</c:v>
                </c:pt>
                <c:pt idx="157">
                  <c:v>106.57004240052183</c:v>
                </c:pt>
                <c:pt idx="158">
                  <c:v>106.47887897674036</c:v>
                </c:pt>
                <c:pt idx="159">
                  <c:v>106.1976923701958</c:v>
                </c:pt>
                <c:pt idx="160">
                  <c:v>106.02969212671883</c:v>
                </c:pt>
                <c:pt idx="161">
                  <c:v>105.8900974256142</c:v>
                </c:pt>
                <c:pt idx="162">
                  <c:v>105.93730369409712</c:v>
                </c:pt>
                <c:pt idx="163">
                  <c:v>106.0167910447761</c:v>
                </c:pt>
                <c:pt idx="164">
                  <c:v>105.91369529983791</c:v>
                </c:pt>
                <c:pt idx="165">
                  <c:v>105.92657130121164</c:v>
                </c:pt>
                <c:pt idx="166">
                  <c:v>105.90296768965867</c:v>
                </c:pt>
                <c:pt idx="167">
                  <c:v>105.93945043365486</c:v>
                </c:pt>
                <c:pt idx="168">
                  <c:v>105.90296768965867</c:v>
                </c:pt>
                <c:pt idx="169">
                  <c:v>105.900822428392</c:v>
                </c:pt>
                <c:pt idx="170">
                  <c:v>106.0060425411116</c:v>
                </c:pt>
                <c:pt idx="171">
                  <c:v>106.07487065029929</c:v>
                </c:pt>
                <c:pt idx="172">
                  <c:v>106.28405302106206</c:v>
                </c:pt>
                <c:pt idx="173">
                  <c:v>106.65048246598259</c:v>
                </c:pt>
                <c:pt idx="174">
                  <c:v>107.34907597535937</c:v>
                </c:pt>
                <c:pt idx="175">
                  <c:v>107.48812632358083</c:v>
                </c:pt>
                <c:pt idx="176">
                  <c:v>107.8073123956035</c:v>
                </c:pt>
                <c:pt idx="177">
                  <c:v>107.96315800342813</c:v>
                </c:pt>
                <c:pt idx="178">
                  <c:v>108.07028423772611</c:v>
                </c:pt>
                <c:pt idx="179">
                  <c:v>108.40867617783677</c:v>
                </c:pt>
                <c:pt idx="180">
                  <c:v>108.72883823468243</c:v>
                </c:pt>
                <c:pt idx="181">
                  <c:v>108.62265993475867</c:v>
                </c:pt>
                <c:pt idx="182">
                  <c:v>108.32556308406375</c:v>
                </c:pt>
                <c:pt idx="183">
                  <c:v>108.12839976007777</c:v>
                </c:pt>
                <c:pt idx="184">
                  <c:v>107.96984717059067</c:v>
                </c:pt>
                <c:pt idx="185">
                  <c:v>107.72067913953681</c:v>
                </c:pt>
                <c:pt idx="186">
                  <c:v>107.73843871074109</c:v>
                </c:pt>
                <c:pt idx="187">
                  <c:v>107.86514535663443</c:v>
                </c:pt>
                <c:pt idx="188">
                  <c:v>108.23585433013811</c:v>
                </c:pt>
                <c:pt idx="189">
                  <c:v>108.71753280512407</c:v>
                </c:pt>
                <c:pt idx="190">
                  <c:v>109.07364907156273</c:v>
                </c:pt>
                <c:pt idx="191">
                  <c:v>109.20808004846361</c:v>
                </c:pt>
                <c:pt idx="192">
                  <c:v>109.19211328794022</c:v>
                </c:pt>
                <c:pt idx="193">
                  <c:v>109.10096414708462</c:v>
                </c:pt>
                <c:pt idx="194">
                  <c:v>109.19667474308633</c:v>
                </c:pt>
                <c:pt idx="195">
                  <c:v>109.27427783119438</c:v>
                </c:pt>
                <c:pt idx="196">
                  <c:v>109.30854956405383</c:v>
                </c:pt>
                <c:pt idx="197">
                  <c:v>109.52151506263884</c:v>
                </c:pt>
                <c:pt idx="198">
                  <c:v>109.70307417899491</c:v>
                </c:pt>
                <c:pt idx="199">
                  <c:v>109.72149348332535</c:v>
                </c:pt>
                <c:pt idx="200">
                  <c:v>109.71919073203499</c:v>
                </c:pt>
                <c:pt idx="201">
                  <c:v>109.6110703428033</c:v>
                </c:pt>
                <c:pt idx="202">
                  <c:v>109.61336855788994</c:v>
                </c:pt>
                <c:pt idx="203">
                  <c:v>109.52839873457508</c:v>
                </c:pt>
                <c:pt idx="204">
                  <c:v>109.41836371627709</c:v>
                </c:pt>
                <c:pt idx="205">
                  <c:v>109.41607367099211</c:v>
                </c:pt>
                <c:pt idx="206">
                  <c:v>109.49628233322866</c:v>
                </c:pt>
                <c:pt idx="207">
                  <c:v>109.5513505584544</c:v>
                </c:pt>
                <c:pt idx="208">
                  <c:v>109.6340568312887</c:v>
                </c:pt>
                <c:pt idx="209">
                  <c:v>109.77909369619087</c:v>
                </c:pt>
                <c:pt idx="210">
                  <c:v>109.85060200458072</c:v>
                </c:pt>
                <c:pt idx="211">
                  <c:v>109.84829383089598</c:v>
                </c:pt>
                <c:pt idx="212">
                  <c:v>109.88523625357327</c:v>
                </c:pt>
                <c:pt idx="213">
                  <c:v>109.90371678439291</c:v>
                </c:pt>
                <c:pt idx="214">
                  <c:v>109.92913766637933</c:v>
                </c:pt>
                <c:pt idx="215">
                  <c:v>110.01704581325369</c:v>
                </c:pt>
                <c:pt idx="216">
                  <c:v>109.91064858614531</c:v>
                </c:pt>
                <c:pt idx="217">
                  <c:v>109.98695615585294</c:v>
                </c:pt>
                <c:pt idx="218">
                  <c:v>109.83213933065824</c:v>
                </c:pt>
                <c:pt idx="219">
                  <c:v>109.77448345372085</c:v>
                </c:pt>
                <c:pt idx="220">
                  <c:v>109.76526413034354</c:v>
                </c:pt>
                <c:pt idx="221">
                  <c:v>109.70998069336024</c:v>
                </c:pt>
                <c:pt idx="222">
                  <c:v>109.56512627056486</c:v>
                </c:pt>
                <c:pt idx="223">
                  <c:v>109.34512978184941</c:v>
                </c:pt>
                <c:pt idx="224">
                  <c:v>108.86468701844993</c:v>
                </c:pt>
                <c:pt idx="225">
                  <c:v>108.22241083072852</c:v>
                </c:pt>
                <c:pt idx="226">
                  <c:v>107.60095500761541</c:v>
                </c:pt>
                <c:pt idx="227">
                  <c:v>107.5080200707412</c:v>
                </c:pt>
                <c:pt idx="228">
                  <c:v>107.13348907742126</c:v>
                </c:pt>
                <c:pt idx="229">
                  <c:v>107.01944728761521</c:v>
                </c:pt>
                <c:pt idx="230">
                  <c:v>106.69401416355441</c:v>
                </c:pt>
                <c:pt idx="231">
                  <c:v>106.46803657617667</c:v>
                </c:pt>
                <c:pt idx="232">
                  <c:v>106.16965536849379</c:v>
                </c:pt>
                <c:pt idx="233">
                  <c:v>105.86865393572432</c:v>
                </c:pt>
                <c:pt idx="234">
                  <c:v>105.56295937323324</c:v>
                </c:pt>
                <c:pt idx="235">
                  <c:v>105.54590971493182</c:v>
                </c:pt>
                <c:pt idx="236">
                  <c:v>105.68459781268326</c:v>
                </c:pt>
                <c:pt idx="237">
                  <c:v>107.03040229296762</c:v>
                </c:pt>
                <c:pt idx="238">
                  <c:v>108.45815526326714</c:v>
                </c:pt>
                <c:pt idx="239">
                  <c:v>108.91004541477446</c:v>
                </c:pt>
                <c:pt idx="240">
                  <c:v>108.64523369147329</c:v>
                </c:pt>
                <c:pt idx="241">
                  <c:v>108.77634672603573</c:v>
                </c:pt>
                <c:pt idx="242">
                  <c:v>108.66329945334753</c:v>
                </c:pt>
                <c:pt idx="243">
                  <c:v>109.11007221271451</c:v>
                </c:pt>
                <c:pt idx="244">
                  <c:v>109.31997825268711</c:v>
                </c:pt>
                <c:pt idx="245">
                  <c:v>109.37715756219016</c:v>
                </c:pt>
                <c:pt idx="246">
                  <c:v>109.26057515465648</c:v>
                </c:pt>
                <c:pt idx="247">
                  <c:v>109.34284280097054</c:v>
                </c:pt>
                <c:pt idx="248">
                  <c:v>109.22405147919112</c:v>
                </c:pt>
                <c:pt idx="249">
                  <c:v>108.88282584246269</c:v>
                </c:pt>
                <c:pt idx="250">
                  <c:v>108.55499491268515</c:v>
                </c:pt>
                <c:pt idx="251">
                  <c:v>108.41991745992252</c:v>
                </c:pt>
                <c:pt idx="252">
                  <c:v>108.33903222464001</c:v>
                </c:pt>
                <c:pt idx="253">
                  <c:v>108.28517574929064</c:v>
                </c:pt>
                <c:pt idx="254">
                  <c:v>108.24705979791294</c:v>
                </c:pt>
                <c:pt idx="255">
                  <c:v>108.39069497429098</c:v>
                </c:pt>
                <c:pt idx="256">
                  <c:v>108.57754055120569</c:v>
                </c:pt>
                <c:pt idx="257">
                  <c:v>108.72657696067223</c:v>
                </c:pt>
                <c:pt idx="258">
                  <c:v>108.71527200133094</c:v>
                </c:pt>
                <c:pt idx="259">
                  <c:v>108.57754055120569</c:v>
                </c:pt>
                <c:pt idx="260">
                  <c:v>108.57077587639149</c:v>
                </c:pt>
                <c:pt idx="261">
                  <c:v>108.54147202325348</c:v>
                </c:pt>
                <c:pt idx="262">
                  <c:v>108.53921853589677</c:v>
                </c:pt>
                <c:pt idx="263">
                  <c:v>108.43565917199047</c:v>
                </c:pt>
                <c:pt idx="264">
                  <c:v>108.54597927869951</c:v>
                </c:pt>
                <c:pt idx="265">
                  <c:v>108.40418031767105</c:v>
                </c:pt>
                <c:pt idx="266">
                  <c:v>108.35699628992484</c:v>
                </c:pt>
                <c:pt idx="267">
                  <c:v>108.33454213896438</c:v>
                </c:pt>
                <c:pt idx="268">
                  <c:v>108.28741870002909</c:v>
                </c:pt>
                <c:pt idx="269">
                  <c:v>108.1530059166702</c:v>
                </c:pt>
                <c:pt idx="270">
                  <c:v>108.34576805106532</c:v>
                </c:pt>
                <c:pt idx="271">
                  <c:v>108.3951897159445</c:v>
                </c:pt>
                <c:pt idx="272">
                  <c:v>108.54597927869949</c:v>
                </c:pt>
                <c:pt idx="273">
                  <c:v>108.62943107675693</c:v>
                </c:pt>
                <c:pt idx="274">
                  <c:v>108.84882050427873</c:v>
                </c:pt>
                <c:pt idx="275">
                  <c:v>109.11690425998212</c:v>
                </c:pt>
                <c:pt idx="276">
                  <c:v>109.13284903139619</c:v>
                </c:pt>
                <c:pt idx="277">
                  <c:v>109.15563536142322</c:v>
                </c:pt>
                <c:pt idx="278">
                  <c:v>109.17159145488345</c:v>
                </c:pt>
                <c:pt idx="279">
                  <c:v>109.07592480544146</c:v>
                </c:pt>
                <c:pt idx="280">
                  <c:v>109.11234946674188</c:v>
                </c:pt>
                <c:pt idx="281">
                  <c:v>109.28341485848077</c:v>
                </c:pt>
                <c:pt idx="282">
                  <c:v>109.14196242171195</c:v>
                </c:pt>
                <c:pt idx="283">
                  <c:v>109.21036139544606</c:v>
                </c:pt>
                <c:pt idx="284">
                  <c:v>109.27199381309705</c:v>
                </c:pt>
                <c:pt idx="285">
                  <c:v>109.19211328794023</c:v>
                </c:pt>
                <c:pt idx="286">
                  <c:v>108.96452540747848</c:v>
                </c:pt>
                <c:pt idx="287">
                  <c:v>108.43565917199042</c:v>
                </c:pt>
                <c:pt idx="288">
                  <c:v>108.03231939163503</c:v>
                </c:pt>
                <c:pt idx="289">
                  <c:v>107.82287670667827</c:v>
                </c:pt>
                <c:pt idx="290">
                  <c:v>106.83137158737949</c:v>
                </c:pt>
                <c:pt idx="291">
                  <c:v>105.29930712213992</c:v>
                </c:pt>
                <c:pt idx="292">
                  <c:v>103.9178659457741</c:v>
                </c:pt>
                <c:pt idx="293">
                  <c:v>102.47167666313855</c:v>
                </c:pt>
                <c:pt idx="294">
                  <c:v>102.02572159013296</c:v>
                </c:pt>
                <c:pt idx="295">
                  <c:v>101.31392802465074</c:v>
                </c:pt>
                <c:pt idx="296">
                  <c:v>100.87018599984569</c:v>
                </c:pt>
                <c:pt idx="297">
                  <c:v>101.51853506029481</c:v>
                </c:pt>
                <c:pt idx="298">
                  <c:v>102.92357365043118</c:v>
                </c:pt>
                <c:pt idx="299">
                  <c:v>104.75913754408468</c:v>
                </c:pt>
                <c:pt idx="300">
                  <c:v>106.58525148321071</c:v>
                </c:pt>
                <c:pt idx="301">
                  <c:v>106.99754400327471</c:v>
                </c:pt>
                <c:pt idx="302">
                  <c:v>106.96032898909513</c:v>
                </c:pt>
                <c:pt idx="303">
                  <c:v>106.94063740130103</c:v>
                </c:pt>
                <c:pt idx="304">
                  <c:v>106.8772360216703</c:v>
                </c:pt>
                <c:pt idx="305">
                  <c:v>106.73322308650297</c:v>
                </c:pt>
                <c:pt idx="306">
                  <c:v>106.62655517030393</c:v>
                </c:pt>
                <c:pt idx="307">
                  <c:v>106.6113342985909</c:v>
                </c:pt>
                <c:pt idx="308">
                  <c:v>106.60481239804247</c:v>
                </c:pt>
                <c:pt idx="309">
                  <c:v>107.17961334235405</c:v>
                </c:pt>
                <c:pt idx="310">
                  <c:v>107.5898829001256</c:v>
                </c:pt>
                <c:pt idx="311">
                  <c:v>107.84066999463683</c:v>
                </c:pt>
                <c:pt idx="312">
                  <c:v>108.20449135879134</c:v>
                </c:pt>
                <c:pt idx="313">
                  <c:v>108.55499491268515</c:v>
                </c:pt>
                <c:pt idx="314">
                  <c:v>109.05544661854903</c:v>
                </c:pt>
                <c:pt idx="315">
                  <c:v>109.6179652771954</c:v>
                </c:pt>
                <c:pt idx="316">
                  <c:v>109.90140637810346</c:v>
                </c:pt>
                <c:pt idx="317">
                  <c:v>110.09813832027638</c:v>
                </c:pt>
                <c:pt idx="318">
                  <c:v>110.49605816583187</c:v>
                </c:pt>
                <c:pt idx="319">
                  <c:v>110.65978028491</c:v>
                </c:pt>
                <c:pt idx="320">
                  <c:v>110.87569722805462</c:v>
                </c:pt>
                <c:pt idx="321">
                  <c:v>110.89216019005607</c:v>
                </c:pt>
                <c:pt idx="322">
                  <c:v>110.91333404052197</c:v>
                </c:pt>
                <c:pt idx="323">
                  <c:v>111.03583034216179</c:v>
                </c:pt>
                <c:pt idx="324">
                  <c:v>111.41919396432309</c:v>
                </c:pt>
                <c:pt idx="325">
                  <c:v>111.76219082027499</c:v>
                </c:pt>
                <c:pt idx="326">
                  <c:v>111.87938709125157</c:v>
                </c:pt>
                <c:pt idx="327">
                  <c:v>112.06164794649753</c:v>
                </c:pt>
                <c:pt idx="328">
                  <c:v>112.87947488880259</c:v>
                </c:pt>
                <c:pt idx="329">
                  <c:v>113.65494151919654</c:v>
                </c:pt>
                <c:pt idx="330">
                  <c:v>114.47872643265383</c:v>
                </c:pt>
                <c:pt idx="331">
                  <c:v>115.33998146759041</c:v>
                </c:pt>
                <c:pt idx="332">
                  <c:v>116.26598465473153</c:v>
                </c:pt>
                <c:pt idx="333">
                  <c:v>115.97196033629855</c:v>
                </c:pt>
                <c:pt idx="334">
                  <c:v>114.99241141147753</c:v>
                </c:pt>
                <c:pt idx="335">
                  <c:v>112.55140046072042</c:v>
                </c:pt>
                <c:pt idx="336">
                  <c:v>110.20489902609728</c:v>
                </c:pt>
                <c:pt idx="337">
                  <c:v>110.61061272850378</c:v>
                </c:pt>
                <c:pt idx="338">
                  <c:v>111.97763831473434</c:v>
                </c:pt>
                <c:pt idx="339">
                  <c:v>113.61789059613592</c:v>
                </c:pt>
                <c:pt idx="340">
                  <c:v>114.66201693205251</c:v>
                </c:pt>
                <c:pt idx="341">
                  <c:v>114.90142640497596</c:v>
                </c:pt>
                <c:pt idx="342">
                  <c:v>114.93426548828214</c:v>
                </c:pt>
                <c:pt idx="343">
                  <c:v>114.27353603357454</c:v>
                </c:pt>
                <c:pt idx="344">
                  <c:v>113.79843273835442</c:v>
                </c:pt>
                <c:pt idx="345">
                  <c:v>113.9025665606345</c:v>
                </c:pt>
                <c:pt idx="346">
                  <c:v>114.71485309284012</c:v>
                </c:pt>
                <c:pt idx="347">
                  <c:v>115.48265959796781</c:v>
                </c:pt>
                <c:pt idx="348">
                  <c:v>115.99254509551602</c:v>
                </c:pt>
                <c:pt idx="349">
                  <c:v>116.91079455240741</c:v>
                </c:pt>
                <c:pt idx="350">
                  <c:v>116.64732919809011</c:v>
                </c:pt>
                <c:pt idx="351">
                  <c:v>116.28926061037464</c:v>
                </c:pt>
                <c:pt idx="352">
                  <c:v>116.69680126788549</c:v>
                </c:pt>
                <c:pt idx="353">
                  <c:v>117.31218023516745</c:v>
                </c:pt>
                <c:pt idx="354">
                  <c:v>117.94206560483694</c:v>
                </c:pt>
                <c:pt idx="355">
                  <c:v>118.77541747131666</c:v>
                </c:pt>
                <c:pt idx="356">
                  <c:v>119.4620903980623</c:v>
                </c:pt>
                <c:pt idx="357">
                  <c:v>120.49461820360943</c:v>
                </c:pt>
                <c:pt idx="358">
                  <c:v>121.35611318739996</c:v>
                </c:pt>
                <c:pt idx="359">
                  <c:v>122.47627972355635</c:v>
                </c:pt>
                <c:pt idx="360">
                  <c:v>123.89856618082719</c:v>
                </c:pt>
                <c:pt idx="361">
                  <c:v>124.87817695394618</c:v>
                </c:pt>
                <c:pt idx="362">
                  <c:v>124.58356170912477</c:v>
                </c:pt>
                <c:pt idx="363">
                  <c:v>123.17751284105373</c:v>
                </c:pt>
                <c:pt idx="364">
                  <c:v>122.28147732322884</c:v>
                </c:pt>
                <c:pt idx="365">
                  <c:v>122.92264284034805</c:v>
                </c:pt>
                <c:pt idx="366">
                  <c:v>124.16929909982669</c:v>
                </c:pt>
                <c:pt idx="367">
                  <c:v>125.36629817030773</c:v>
                </c:pt>
                <c:pt idx="368">
                  <c:v>126.70011148272025</c:v>
                </c:pt>
                <c:pt idx="369">
                  <c:v>127.25524560634835</c:v>
                </c:pt>
                <c:pt idx="370">
                  <c:v>127.95917368318003</c:v>
                </c:pt>
                <c:pt idx="371">
                  <c:v>127.62181427594969</c:v>
                </c:pt>
                <c:pt idx="372">
                  <c:v>128.01243909008554</c:v>
                </c:pt>
                <c:pt idx="373">
                  <c:v>128.03752051137624</c:v>
                </c:pt>
                <c:pt idx="374">
                  <c:v>128.3833894059577</c:v>
                </c:pt>
                <c:pt idx="375">
                  <c:v>127.6218142759497</c:v>
                </c:pt>
                <c:pt idx="376">
                  <c:v>128.01243909008554</c:v>
                </c:pt>
                <c:pt idx="377">
                  <c:v>128.03752051137624</c:v>
                </c:pt>
                <c:pt idx="378">
                  <c:v>128.3833894059577</c:v>
                </c:pt>
                <c:pt idx="379">
                  <c:v>128.15050864076488</c:v>
                </c:pt>
                <c:pt idx="380">
                  <c:v>128.2857283078132</c:v>
                </c:pt>
                <c:pt idx="381">
                  <c:v>128.07202351788348</c:v>
                </c:pt>
                <c:pt idx="382">
                  <c:v>127.70286775123367</c:v>
                </c:pt>
                <c:pt idx="383">
                  <c:v>127.30172644702569</c:v>
                </c:pt>
                <c:pt idx="384">
                  <c:v>127.21189410161583</c:v>
                </c:pt>
                <c:pt idx="385">
                  <c:v>127.18713507201254</c:v>
                </c:pt>
                <c:pt idx="386">
                  <c:v>126.94007381507392</c:v>
                </c:pt>
                <c:pt idx="387">
                  <c:v>126.69704093255469</c:v>
                </c:pt>
                <c:pt idx="388">
                  <c:v>126.45493686807613</c:v>
                </c:pt>
                <c:pt idx="389">
                  <c:v>125.95831827490673</c:v>
                </c:pt>
                <c:pt idx="390">
                  <c:v>125.86734079691834</c:v>
                </c:pt>
                <c:pt idx="391">
                  <c:v>125.79162656400392</c:v>
                </c:pt>
                <c:pt idx="392">
                  <c:v>126.02208080223708</c:v>
                </c:pt>
                <c:pt idx="393">
                  <c:v>126.55289276204314</c:v>
                </c:pt>
                <c:pt idx="394">
                  <c:v>127.10055431294374</c:v>
                </c:pt>
                <c:pt idx="395">
                  <c:v>127.68727254964224</c:v>
                </c:pt>
                <c:pt idx="396">
                  <c:v>128.18192963099185</c:v>
                </c:pt>
                <c:pt idx="397">
                  <c:v>128.5475423541273</c:v>
                </c:pt>
                <c:pt idx="398">
                  <c:v>128.22594491182466</c:v>
                </c:pt>
                <c:pt idx="399">
                  <c:v>128.28258042352718</c:v>
                </c:pt>
                <c:pt idx="400">
                  <c:v>128.45910017937445</c:v>
                </c:pt>
                <c:pt idx="401">
                  <c:v>128.63294129225929</c:v>
                </c:pt>
                <c:pt idx="402">
                  <c:v>128.78186968838531</c:v>
                </c:pt>
                <c:pt idx="403">
                  <c:v>128.72162308563554</c:v>
                </c:pt>
                <c:pt idx="404">
                  <c:v>128.57283391948062</c:v>
                </c:pt>
                <c:pt idx="405">
                  <c:v>128.6772669095206</c:v>
                </c:pt>
                <c:pt idx="406">
                  <c:v>128.83582236679982</c:v>
                </c:pt>
                <c:pt idx="407">
                  <c:v>128.73747198896803</c:v>
                </c:pt>
                <c:pt idx="408">
                  <c:v>128.79456037052555</c:v>
                </c:pt>
                <c:pt idx="409">
                  <c:v>128.70577808414788</c:v>
                </c:pt>
                <c:pt idx="410">
                  <c:v>128.73747198896803</c:v>
                </c:pt>
                <c:pt idx="411">
                  <c:v>128.77869740861175</c:v>
                </c:pt>
                <c:pt idx="412">
                  <c:v>128.83264742847291</c:v>
                </c:pt>
                <c:pt idx="413">
                  <c:v>129.03615944711842</c:v>
                </c:pt>
                <c:pt idx="414">
                  <c:v>128.93750308291823</c:v>
                </c:pt>
                <c:pt idx="415">
                  <c:v>129.10626528041888</c:v>
                </c:pt>
                <c:pt idx="416">
                  <c:v>129.12539827598988</c:v>
                </c:pt>
                <c:pt idx="417">
                  <c:v>129.10307699906164</c:v>
                </c:pt>
                <c:pt idx="418">
                  <c:v>129.14134677140461</c:v>
                </c:pt>
                <c:pt idx="419">
                  <c:v>129.04571484992104</c:v>
                </c:pt>
                <c:pt idx="420">
                  <c:v>129.15729920695708</c:v>
                </c:pt>
                <c:pt idx="421">
                  <c:v>129.22434249555073</c:v>
                </c:pt>
                <c:pt idx="422">
                  <c:v>129.16687256016209</c:v>
                </c:pt>
                <c:pt idx="423">
                  <c:v>129.21476062186414</c:v>
                </c:pt>
                <c:pt idx="424">
                  <c:v>129.16687256016209</c:v>
                </c:pt>
                <c:pt idx="425">
                  <c:v>129.14772727272728</c:v>
                </c:pt>
                <c:pt idx="426">
                  <c:v>129.11583106939986</c:v>
                </c:pt>
                <c:pt idx="427">
                  <c:v>129.04890029868429</c:v>
                </c:pt>
                <c:pt idx="428">
                  <c:v>128.98203888285798</c:v>
                </c:pt>
                <c:pt idx="429">
                  <c:v>128.93432313118109</c:v>
                </c:pt>
                <c:pt idx="430">
                  <c:v>128.85805131744351</c:v>
                </c:pt>
                <c:pt idx="431">
                  <c:v>128.53490030241193</c:v>
                </c:pt>
                <c:pt idx="432">
                  <c:v>127.15619983460623</c:v>
                </c:pt>
                <c:pt idx="433">
                  <c:v>125.67973651946055</c:v>
                </c:pt>
                <c:pt idx="434">
                  <c:v>124.97967965574948</c:v>
                </c:pt>
                <c:pt idx="435">
                  <c:v>125.09331929555898</c:v>
                </c:pt>
                <c:pt idx="436">
                  <c:v>125.05741077408862</c:v>
                </c:pt>
                <c:pt idx="437">
                  <c:v>125.58916088115889</c:v>
                </c:pt>
              </c:numCache>
            </c:numRef>
          </c:val>
          <c:smooth val="0"/>
          <c:extLst>
            <c:ext xmlns:c16="http://schemas.microsoft.com/office/drawing/2014/chart" uri="{C3380CC4-5D6E-409C-BE32-E72D297353CC}">
              <c16:uniqueId val="{00000000-3F1F-43F1-8AAB-A7241745A478}"/>
            </c:ext>
          </c:extLst>
        </c:ser>
        <c:ser>
          <c:idx val="1"/>
          <c:order val="1"/>
          <c:tx>
            <c:strRef>
              <c:f>Sheet1!$C$1</c:f>
              <c:strCache>
                <c:ptCount val="1"/>
                <c:pt idx="0">
                  <c:v>EUR</c:v>
                </c:pt>
              </c:strCache>
            </c:strRef>
          </c:tx>
          <c:spPr>
            <a:ln w="28575" cap="rnd">
              <a:solidFill>
                <a:srgbClr val="FFC000"/>
              </a:solidFill>
              <a:round/>
            </a:ln>
            <a:effectLst/>
          </c:spPr>
          <c:marker>
            <c:symbol val="none"/>
          </c:marker>
          <c:cat>
            <c:numRef>
              <c:f>Sheet1!$A$2:$A$439</c:f>
              <c:numCache>
                <c:formatCode>[$-2B]\ dd\/mmm\/yy</c:formatCode>
                <c:ptCount val="438"/>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44589</c:v>
                </c:pt>
                <c:pt idx="269">
                  <c:v>44592</c:v>
                </c:pt>
                <c:pt idx="270">
                  <c:v>44593</c:v>
                </c:pt>
                <c:pt idx="271">
                  <c:v>44594</c:v>
                </c:pt>
                <c:pt idx="272">
                  <c:v>44595</c:v>
                </c:pt>
                <c:pt idx="273">
                  <c:v>44596</c:v>
                </c:pt>
                <c:pt idx="274">
                  <c:v>44599</c:v>
                </c:pt>
                <c:pt idx="275">
                  <c:v>44600</c:v>
                </c:pt>
                <c:pt idx="276">
                  <c:v>44601</c:v>
                </c:pt>
                <c:pt idx="277">
                  <c:v>44602</c:v>
                </c:pt>
                <c:pt idx="278">
                  <c:v>44603</c:v>
                </c:pt>
                <c:pt idx="279">
                  <c:v>44606</c:v>
                </c:pt>
                <c:pt idx="280">
                  <c:v>44607</c:v>
                </c:pt>
                <c:pt idx="281">
                  <c:v>44608</c:v>
                </c:pt>
                <c:pt idx="282">
                  <c:v>44609</c:v>
                </c:pt>
                <c:pt idx="283">
                  <c:v>44610</c:v>
                </c:pt>
                <c:pt idx="284">
                  <c:v>44613</c:v>
                </c:pt>
                <c:pt idx="285">
                  <c:v>44614</c:v>
                </c:pt>
                <c:pt idx="286">
                  <c:v>44615</c:v>
                </c:pt>
                <c:pt idx="287">
                  <c:v>44616</c:v>
                </c:pt>
                <c:pt idx="288">
                  <c:v>44617</c:v>
                </c:pt>
                <c:pt idx="289">
                  <c:v>44620</c:v>
                </c:pt>
                <c:pt idx="290">
                  <c:v>44621</c:v>
                </c:pt>
                <c:pt idx="291">
                  <c:v>44622</c:v>
                </c:pt>
                <c:pt idx="292">
                  <c:v>44623</c:v>
                </c:pt>
                <c:pt idx="293">
                  <c:v>44624</c:v>
                </c:pt>
                <c:pt idx="294">
                  <c:v>44627</c:v>
                </c:pt>
                <c:pt idx="295">
                  <c:v>44628</c:v>
                </c:pt>
                <c:pt idx="296">
                  <c:v>44629</c:v>
                </c:pt>
                <c:pt idx="297">
                  <c:v>44630</c:v>
                </c:pt>
                <c:pt idx="298">
                  <c:v>44631</c:v>
                </c:pt>
                <c:pt idx="299">
                  <c:v>44634</c:v>
                </c:pt>
                <c:pt idx="300">
                  <c:v>44635</c:v>
                </c:pt>
                <c:pt idx="301">
                  <c:v>44636</c:v>
                </c:pt>
                <c:pt idx="302">
                  <c:v>44637</c:v>
                </c:pt>
                <c:pt idx="303">
                  <c:v>44638</c:v>
                </c:pt>
                <c:pt idx="304">
                  <c:v>44641</c:v>
                </c:pt>
                <c:pt idx="305">
                  <c:v>44642</c:v>
                </c:pt>
                <c:pt idx="306">
                  <c:v>44643</c:v>
                </c:pt>
                <c:pt idx="307">
                  <c:v>44644</c:v>
                </c:pt>
                <c:pt idx="308">
                  <c:v>44645</c:v>
                </c:pt>
                <c:pt idx="309">
                  <c:v>44648</c:v>
                </c:pt>
                <c:pt idx="310">
                  <c:v>44649</c:v>
                </c:pt>
                <c:pt idx="311">
                  <c:v>44650</c:v>
                </c:pt>
                <c:pt idx="312">
                  <c:v>44651</c:v>
                </c:pt>
                <c:pt idx="313">
                  <c:v>44652</c:v>
                </c:pt>
                <c:pt idx="314">
                  <c:v>44655</c:v>
                </c:pt>
                <c:pt idx="315">
                  <c:v>44656</c:v>
                </c:pt>
                <c:pt idx="316">
                  <c:v>44657</c:v>
                </c:pt>
                <c:pt idx="317">
                  <c:v>44658</c:v>
                </c:pt>
                <c:pt idx="318">
                  <c:v>44659</c:v>
                </c:pt>
                <c:pt idx="319">
                  <c:v>44662</c:v>
                </c:pt>
                <c:pt idx="320">
                  <c:v>44663</c:v>
                </c:pt>
                <c:pt idx="321">
                  <c:v>44664</c:v>
                </c:pt>
                <c:pt idx="322">
                  <c:v>44665</c:v>
                </c:pt>
                <c:pt idx="323">
                  <c:v>44666</c:v>
                </c:pt>
                <c:pt idx="324">
                  <c:v>44669</c:v>
                </c:pt>
                <c:pt idx="325">
                  <c:v>44670</c:v>
                </c:pt>
                <c:pt idx="326">
                  <c:v>44671</c:v>
                </c:pt>
                <c:pt idx="327">
                  <c:v>44672</c:v>
                </c:pt>
                <c:pt idx="328">
                  <c:v>44673</c:v>
                </c:pt>
                <c:pt idx="329">
                  <c:v>44676</c:v>
                </c:pt>
                <c:pt idx="330">
                  <c:v>44677</c:v>
                </c:pt>
                <c:pt idx="331">
                  <c:v>44678</c:v>
                </c:pt>
                <c:pt idx="332">
                  <c:v>44679</c:v>
                </c:pt>
                <c:pt idx="333">
                  <c:v>44680</c:v>
                </c:pt>
                <c:pt idx="334">
                  <c:v>44683</c:v>
                </c:pt>
                <c:pt idx="335">
                  <c:v>44684</c:v>
                </c:pt>
                <c:pt idx="336">
                  <c:v>44685</c:v>
                </c:pt>
                <c:pt idx="337">
                  <c:v>44686</c:v>
                </c:pt>
                <c:pt idx="338">
                  <c:v>44687</c:v>
                </c:pt>
                <c:pt idx="339">
                  <c:v>44690</c:v>
                </c:pt>
                <c:pt idx="340">
                  <c:v>44691</c:v>
                </c:pt>
                <c:pt idx="341">
                  <c:v>44692</c:v>
                </c:pt>
                <c:pt idx="342">
                  <c:v>44693</c:v>
                </c:pt>
                <c:pt idx="343">
                  <c:v>44694</c:v>
                </c:pt>
                <c:pt idx="344">
                  <c:v>44697</c:v>
                </c:pt>
                <c:pt idx="345">
                  <c:v>44698</c:v>
                </c:pt>
                <c:pt idx="346">
                  <c:v>44699</c:v>
                </c:pt>
                <c:pt idx="347">
                  <c:v>44700</c:v>
                </c:pt>
                <c:pt idx="348">
                  <c:v>44701</c:v>
                </c:pt>
                <c:pt idx="349">
                  <c:v>44704</c:v>
                </c:pt>
                <c:pt idx="350">
                  <c:v>44705</c:v>
                </c:pt>
                <c:pt idx="351">
                  <c:v>44706</c:v>
                </c:pt>
                <c:pt idx="352">
                  <c:v>44707</c:v>
                </c:pt>
                <c:pt idx="353">
                  <c:v>44708</c:v>
                </c:pt>
                <c:pt idx="354">
                  <c:v>44711</c:v>
                </c:pt>
                <c:pt idx="355">
                  <c:v>44712</c:v>
                </c:pt>
                <c:pt idx="356">
                  <c:v>44713</c:v>
                </c:pt>
                <c:pt idx="357">
                  <c:v>44714</c:v>
                </c:pt>
                <c:pt idx="358">
                  <c:v>44715</c:v>
                </c:pt>
                <c:pt idx="359">
                  <c:v>44718</c:v>
                </c:pt>
                <c:pt idx="360">
                  <c:v>44719</c:v>
                </c:pt>
                <c:pt idx="361">
                  <c:v>44720</c:v>
                </c:pt>
                <c:pt idx="362">
                  <c:v>44721</c:v>
                </c:pt>
                <c:pt idx="363">
                  <c:v>44722</c:v>
                </c:pt>
                <c:pt idx="364">
                  <c:v>44725</c:v>
                </c:pt>
                <c:pt idx="365">
                  <c:v>44726</c:v>
                </c:pt>
                <c:pt idx="366">
                  <c:v>44727</c:v>
                </c:pt>
                <c:pt idx="367">
                  <c:v>44728</c:v>
                </c:pt>
                <c:pt idx="368">
                  <c:v>44729</c:v>
                </c:pt>
                <c:pt idx="369">
                  <c:v>44732</c:v>
                </c:pt>
                <c:pt idx="370">
                  <c:v>44733</c:v>
                </c:pt>
                <c:pt idx="371">
                  <c:v>44734</c:v>
                </c:pt>
                <c:pt idx="372">
                  <c:v>44735</c:v>
                </c:pt>
                <c:pt idx="373">
                  <c:v>44736</c:v>
                </c:pt>
                <c:pt idx="374">
                  <c:v>44739</c:v>
                </c:pt>
                <c:pt idx="375">
                  <c:v>44740</c:v>
                </c:pt>
                <c:pt idx="376">
                  <c:v>44741</c:v>
                </c:pt>
                <c:pt idx="377">
                  <c:v>44742</c:v>
                </c:pt>
                <c:pt idx="378">
                  <c:v>44743</c:v>
                </c:pt>
                <c:pt idx="379">
                  <c:v>44746</c:v>
                </c:pt>
                <c:pt idx="380">
                  <c:v>44747</c:v>
                </c:pt>
                <c:pt idx="381">
                  <c:v>44748</c:v>
                </c:pt>
                <c:pt idx="382">
                  <c:v>44749</c:v>
                </c:pt>
                <c:pt idx="383">
                  <c:v>44750</c:v>
                </c:pt>
                <c:pt idx="384">
                  <c:v>44753</c:v>
                </c:pt>
                <c:pt idx="385">
                  <c:v>44754</c:v>
                </c:pt>
                <c:pt idx="386">
                  <c:v>44755</c:v>
                </c:pt>
                <c:pt idx="387">
                  <c:v>44756</c:v>
                </c:pt>
                <c:pt idx="388">
                  <c:v>44757</c:v>
                </c:pt>
                <c:pt idx="389">
                  <c:v>44760</c:v>
                </c:pt>
                <c:pt idx="390">
                  <c:v>44761</c:v>
                </c:pt>
                <c:pt idx="391">
                  <c:v>44762</c:v>
                </c:pt>
                <c:pt idx="392">
                  <c:v>44763</c:v>
                </c:pt>
                <c:pt idx="393">
                  <c:v>44764</c:v>
                </c:pt>
                <c:pt idx="394">
                  <c:v>44767</c:v>
                </c:pt>
                <c:pt idx="395">
                  <c:v>44768</c:v>
                </c:pt>
                <c:pt idx="396">
                  <c:v>44769</c:v>
                </c:pt>
                <c:pt idx="397">
                  <c:v>44770</c:v>
                </c:pt>
                <c:pt idx="398">
                  <c:v>44771</c:v>
                </c:pt>
                <c:pt idx="399">
                  <c:v>44774</c:v>
                </c:pt>
                <c:pt idx="400">
                  <c:v>44775</c:v>
                </c:pt>
                <c:pt idx="401">
                  <c:v>44776</c:v>
                </c:pt>
                <c:pt idx="402">
                  <c:v>44777</c:v>
                </c:pt>
                <c:pt idx="403">
                  <c:v>44778</c:v>
                </c:pt>
                <c:pt idx="404">
                  <c:v>44781</c:v>
                </c:pt>
                <c:pt idx="405">
                  <c:v>44782</c:v>
                </c:pt>
                <c:pt idx="406">
                  <c:v>44783</c:v>
                </c:pt>
                <c:pt idx="407">
                  <c:v>44784</c:v>
                </c:pt>
                <c:pt idx="408">
                  <c:v>44785</c:v>
                </c:pt>
                <c:pt idx="409">
                  <c:v>44788</c:v>
                </c:pt>
                <c:pt idx="410">
                  <c:v>44789</c:v>
                </c:pt>
                <c:pt idx="411">
                  <c:v>44790</c:v>
                </c:pt>
                <c:pt idx="412">
                  <c:v>44791</c:v>
                </c:pt>
                <c:pt idx="413">
                  <c:v>44792</c:v>
                </c:pt>
                <c:pt idx="414">
                  <c:v>44795</c:v>
                </c:pt>
                <c:pt idx="415">
                  <c:v>44796</c:v>
                </c:pt>
                <c:pt idx="416">
                  <c:v>44797</c:v>
                </c:pt>
                <c:pt idx="417">
                  <c:v>44798</c:v>
                </c:pt>
                <c:pt idx="418">
                  <c:v>44799</c:v>
                </c:pt>
                <c:pt idx="419">
                  <c:v>44802</c:v>
                </c:pt>
                <c:pt idx="420">
                  <c:v>44803</c:v>
                </c:pt>
                <c:pt idx="421">
                  <c:v>44804</c:v>
                </c:pt>
                <c:pt idx="422">
                  <c:v>44805</c:v>
                </c:pt>
                <c:pt idx="423">
                  <c:v>44806</c:v>
                </c:pt>
                <c:pt idx="424">
                  <c:v>44809</c:v>
                </c:pt>
                <c:pt idx="425">
                  <c:v>44810</c:v>
                </c:pt>
                <c:pt idx="426">
                  <c:v>44811</c:v>
                </c:pt>
                <c:pt idx="427">
                  <c:v>44812</c:v>
                </c:pt>
                <c:pt idx="428">
                  <c:v>44813</c:v>
                </c:pt>
                <c:pt idx="429">
                  <c:v>44816</c:v>
                </c:pt>
                <c:pt idx="430">
                  <c:v>44817</c:v>
                </c:pt>
                <c:pt idx="431">
                  <c:v>44818</c:v>
                </c:pt>
                <c:pt idx="432">
                  <c:v>44819</c:v>
                </c:pt>
                <c:pt idx="433">
                  <c:v>44820</c:v>
                </c:pt>
                <c:pt idx="434">
                  <c:v>44823</c:v>
                </c:pt>
                <c:pt idx="435">
                  <c:v>44824</c:v>
                </c:pt>
                <c:pt idx="436">
                  <c:v>44826</c:v>
                </c:pt>
                <c:pt idx="437">
                  <c:v>44827</c:v>
                </c:pt>
              </c:numCache>
            </c:numRef>
          </c:cat>
          <c:val>
            <c:numRef>
              <c:f>Sheet1!$C$2:$C$439</c:f>
              <c:numCache>
                <c:formatCode>0</c:formatCode>
                <c:ptCount val="438"/>
                <c:pt idx="0">
                  <c:v>100</c:v>
                </c:pt>
                <c:pt idx="1">
                  <c:v>100.45537340619308</c:v>
                </c:pt>
                <c:pt idx="2">
                  <c:v>100.10953930896345</c:v>
                </c:pt>
                <c:pt idx="3">
                  <c:v>99.596780471097404</c:v>
                </c:pt>
                <c:pt idx="4">
                  <c:v>100.06569480072575</c:v>
                </c:pt>
                <c:pt idx="5">
                  <c:v>100.84968865768109</c:v>
                </c:pt>
                <c:pt idx="6">
                  <c:v>101.55892811785624</c:v>
                </c:pt>
                <c:pt idx="7">
                  <c:v>101.64283444550367</c:v>
                </c:pt>
                <c:pt idx="8">
                  <c:v>101.61538828089013</c:v>
                </c:pt>
                <c:pt idx="9">
                  <c:v>101.54925553192165</c:v>
                </c:pt>
                <c:pt idx="10">
                  <c:v>101.36903818729203</c:v>
                </c:pt>
                <c:pt idx="11">
                  <c:v>101.64444938750219</c:v>
                </c:pt>
                <c:pt idx="12">
                  <c:v>101.79000461423412</c:v>
                </c:pt>
                <c:pt idx="13">
                  <c:v>101.85969493360508</c:v>
                </c:pt>
                <c:pt idx="14">
                  <c:v>101.89701033719319</c:v>
                </c:pt>
                <c:pt idx="15">
                  <c:v>101.95384713457003</c:v>
                </c:pt>
                <c:pt idx="16">
                  <c:v>102.11006831386068</c:v>
                </c:pt>
                <c:pt idx="17">
                  <c:v>102.2634994724895</c:v>
                </c:pt>
                <c:pt idx="18">
                  <c:v>102.53229477193315</c:v>
                </c:pt>
                <c:pt idx="19">
                  <c:v>102.48794476217934</c:v>
                </c:pt>
                <c:pt idx="20">
                  <c:v>101.92298500804559</c:v>
                </c:pt>
                <c:pt idx="21">
                  <c:v>101.10310386244385</c:v>
                </c:pt>
                <c:pt idx="22">
                  <c:v>100.89104070400094</c:v>
                </c:pt>
                <c:pt idx="23">
                  <c:v>100.65293664154559</c:v>
                </c:pt>
                <c:pt idx="24">
                  <c:v>100.7781978575929</c:v>
                </c:pt>
                <c:pt idx="25">
                  <c:v>100.49324536600686</c:v>
                </c:pt>
                <c:pt idx="26">
                  <c:v>100.25858421225841</c:v>
                </c:pt>
                <c:pt idx="27">
                  <c:v>101.12867530825162</c:v>
                </c:pt>
                <c:pt idx="28">
                  <c:v>101.07594836711797</c:v>
                </c:pt>
                <c:pt idx="29">
                  <c:v>100.52482715273409</c:v>
                </c:pt>
                <c:pt idx="30">
                  <c:v>100.62127432013712</c:v>
                </c:pt>
                <c:pt idx="31">
                  <c:v>100.15499021526415</c:v>
                </c:pt>
                <c:pt idx="32">
                  <c:v>99.901619376298029</c:v>
                </c:pt>
                <c:pt idx="33">
                  <c:v>99.344679793775967</c:v>
                </c:pt>
                <c:pt idx="34">
                  <c:v>99.928147453920602</c:v>
                </c:pt>
                <c:pt idx="35">
                  <c:v>100.57223706964309</c:v>
                </c:pt>
                <c:pt idx="36">
                  <c:v>101.03284902084644</c:v>
                </c:pt>
                <c:pt idx="37">
                  <c:v>100.51692984523524</c:v>
                </c:pt>
                <c:pt idx="38">
                  <c:v>101.27115290243935</c:v>
                </c:pt>
                <c:pt idx="39">
                  <c:v>102.06119779202956</c:v>
                </c:pt>
                <c:pt idx="40">
                  <c:v>102.29947550211074</c:v>
                </c:pt>
                <c:pt idx="41">
                  <c:v>102.20958284737418</c:v>
                </c:pt>
                <c:pt idx="42">
                  <c:v>101.60086395832668</c:v>
                </c:pt>
                <c:pt idx="43">
                  <c:v>101.9229850080456</c:v>
                </c:pt>
                <c:pt idx="44">
                  <c:v>101.78676552481261</c:v>
                </c:pt>
                <c:pt idx="45">
                  <c:v>101.62184486839384</c:v>
                </c:pt>
                <c:pt idx="46">
                  <c:v>101.80944348075174</c:v>
                </c:pt>
                <c:pt idx="47">
                  <c:v>101.57989170993503</c:v>
                </c:pt>
                <c:pt idx="48">
                  <c:v>101.90187957948389</c:v>
                </c:pt>
                <c:pt idx="49">
                  <c:v>101.87267110417525</c:v>
                </c:pt>
                <c:pt idx="50">
                  <c:v>101.88078288981252</c:v>
                </c:pt>
                <c:pt idx="51">
                  <c:v>102.3322029560432</c:v>
                </c:pt>
                <c:pt idx="52">
                  <c:v>102.46168137482577</c:v>
                </c:pt>
                <c:pt idx="53">
                  <c:v>102.46168137482577</c:v>
                </c:pt>
                <c:pt idx="54">
                  <c:v>102.50272383515984</c:v>
                </c:pt>
                <c:pt idx="55">
                  <c:v>102.69688894596584</c:v>
                </c:pt>
                <c:pt idx="56">
                  <c:v>102.69359188390901</c:v>
                </c:pt>
                <c:pt idx="57">
                  <c:v>102.41903206698359</c:v>
                </c:pt>
                <c:pt idx="58">
                  <c:v>101.86618260564944</c:v>
                </c:pt>
                <c:pt idx="59">
                  <c:v>102.0758540360282</c:v>
                </c:pt>
                <c:pt idx="60">
                  <c:v>101.21347319126039</c:v>
                </c:pt>
                <c:pt idx="61">
                  <c:v>100.32461931720164</c:v>
                </c:pt>
                <c:pt idx="62">
                  <c:v>100.33878101571561</c:v>
                </c:pt>
                <c:pt idx="63">
                  <c:v>100.97225291202366</c:v>
                </c:pt>
                <c:pt idx="64">
                  <c:v>101.79000461423404</c:v>
                </c:pt>
                <c:pt idx="65">
                  <c:v>103.53287695619096</c:v>
                </c:pt>
                <c:pt idx="66">
                  <c:v>103.03098627842549</c:v>
                </c:pt>
                <c:pt idx="67">
                  <c:v>102.47481138573411</c:v>
                </c:pt>
                <c:pt idx="68">
                  <c:v>102.27821388031774</c:v>
                </c:pt>
                <c:pt idx="69">
                  <c:v>101.75762299384424</c:v>
                </c:pt>
                <c:pt idx="70">
                  <c:v>101.66060163040878</c:v>
                </c:pt>
                <c:pt idx="71">
                  <c:v>102.04166267904412</c:v>
                </c:pt>
                <c:pt idx="72">
                  <c:v>101.70908917470855</c:v>
                </c:pt>
                <c:pt idx="73">
                  <c:v>101.66867967707064</c:v>
                </c:pt>
                <c:pt idx="74">
                  <c:v>101.610546378653</c:v>
                </c:pt>
                <c:pt idx="75">
                  <c:v>101.90512599955387</c:v>
                </c:pt>
                <c:pt idx="76">
                  <c:v>101.99936224489784</c:v>
                </c:pt>
                <c:pt idx="77">
                  <c:v>101.39313733259358</c:v>
                </c:pt>
                <c:pt idx="78">
                  <c:v>101.60731870016824</c:v>
                </c:pt>
                <c:pt idx="79">
                  <c:v>101.96522210356852</c:v>
                </c:pt>
                <c:pt idx="80">
                  <c:v>102.3158366119693</c:v>
                </c:pt>
                <c:pt idx="81">
                  <c:v>102.28311962395665</c:v>
                </c:pt>
                <c:pt idx="82">
                  <c:v>101.83861570543931</c:v>
                </c:pt>
                <c:pt idx="83">
                  <c:v>101.43654468193051</c:v>
                </c:pt>
                <c:pt idx="84">
                  <c:v>100.69729738238016</c:v>
                </c:pt>
                <c:pt idx="85">
                  <c:v>100.73376582477786</c:v>
                </c:pt>
                <c:pt idx="86">
                  <c:v>100.94198210707344</c:v>
                </c:pt>
                <c:pt idx="87">
                  <c:v>101.35779583947262</c:v>
                </c:pt>
                <c:pt idx="88">
                  <c:v>101.1174862092401</c:v>
                </c:pt>
                <c:pt idx="89">
                  <c:v>100.8369717699351</c:v>
                </c:pt>
                <c:pt idx="90">
                  <c:v>100.3938923151765</c:v>
                </c:pt>
                <c:pt idx="91">
                  <c:v>100.61177950774541</c:v>
                </c:pt>
                <c:pt idx="92">
                  <c:v>100.81472493184349</c:v>
                </c:pt>
                <c:pt idx="93">
                  <c:v>100.51535053263351</c:v>
                </c:pt>
                <c:pt idx="94">
                  <c:v>100.63077092476354</c:v>
                </c:pt>
                <c:pt idx="95">
                  <c:v>100.27115562451988</c:v>
                </c:pt>
                <c:pt idx="96">
                  <c:v>100.36396724294802</c:v>
                </c:pt>
                <c:pt idx="97">
                  <c:v>100.74011085915836</c:v>
                </c:pt>
                <c:pt idx="98">
                  <c:v>100.82266910420465</c:v>
                </c:pt>
                <c:pt idx="99">
                  <c:v>100.47272784382695</c:v>
                </c:pt>
                <c:pt idx="100">
                  <c:v>100.88626758342259</c:v>
                </c:pt>
                <c:pt idx="101">
                  <c:v>100.81631366616229</c:v>
                </c:pt>
                <c:pt idx="102">
                  <c:v>101.52508212591042</c:v>
                </c:pt>
                <c:pt idx="103">
                  <c:v>101.17665665032411</c:v>
                </c:pt>
                <c:pt idx="104">
                  <c:v>101.09831065598371</c:v>
                </c:pt>
                <c:pt idx="105">
                  <c:v>101.01689562608547</c:v>
                </c:pt>
                <c:pt idx="106">
                  <c:v>101.28077257975134</c:v>
                </c:pt>
                <c:pt idx="107">
                  <c:v>101.52024882569498</c:v>
                </c:pt>
                <c:pt idx="108">
                  <c:v>102.165511514261</c:v>
                </c:pt>
                <c:pt idx="109">
                  <c:v>102.33220295604318</c:v>
                </c:pt>
                <c:pt idx="110">
                  <c:v>102.49287064628786</c:v>
                </c:pt>
                <c:pt idx="111">
                  <c:v>104.13112832866715</c:v>
                </c:pt>
                <c:pt idx="112">
                  <c:v>104.50535807631982</c:v>
                </c:pt>
                <c:pt idx="113">
                  <c:v>104.75348365017757</c:v>
                </c:pt>
                <c:pt idx="114">
                  <c:v>104.92185065520796</c:v>
                </c:pt>
                <c:pt idx="115">
                  <c:v>104.64553276409191</c:v>
                </c:pt>
                <c:pt idx="116">
                  <c:v>105.45628379269409</c:v>
                </c:pt>
                <c:pt idx="117">
                  <c:v>107.27412972030307</c:v>
                </c:pt>
                <c:pt idx="118">
                  <c:v>107.86922285733546</c:v>
                </c:pt>
                <c:pt idx="119">
                  <c:v>108.45072810184941</c:v>
                </c:pt>
                <c:pt idx="120">
                  <c:v>108.48935015601676</c:v>
                </c:pt>
                <c:pt idx="121">
                  <c:v>108.86967768285618</c:v>
                </c:pt>
                <c:pt idx="122">
                  <c:v>109.23216145611001</c:v>
                </c:pt>
                <c:pt idx="123">
                  <c:v>109.04411263380369</c:v>
                </c:pt>
                <c:pt idx="124">
                  <c:v>109.22097212026009</c:v>
                </c:pt>
                <c:pt idx="125">
                  <c:v>109.15574665574655</c:v>
                </c:pt>
                <c:pt idx="126">
                  <c:v>108.84744955252313</c:v>
                </c:pt>
                <c:pt idx="127">
                  <c:v>108.85115361056275</c:v>
                </c:pt>
                <c:pt idx="128">
                  <c:v>108.88264828525223</c:v>
                </c:pt>
                <c:pt idx="129">
                  <c:v>109.43770634825587</c:v>
                </c:pt>
                <c:pt idx="130">
                  <c:v>109.0403954320776</c:v>
                </c:pt>
                <c:pt idx="131">
                  <c:v>109.39840623824334</c:v>
                </c:pt>
                <c:pt idx="132">
                  <c:v>110.18601446779182</c:v>
                </c:pt>
                <c:pt idx="133">
                  <c:v>110.3932632741453</c:v>
                </c:pt>
                <c:pt idx="134">
                  <c:v>111.44907842932292</c:v>
                </c:pt>
                <c:pt idx="135">
                  <c:v>111.96597651259243</c:v>
                </c:pt>
                <c:pt idx="136">
                  <c:v>112.45407723813028</c:v>
                </c:pt>
                <c:pt idx="137">
                  <c:v>112.37703766160753</c:v>
                </c:pt>
                <c:pt idx="138">
                  <c:v>112.60450953126913</c:v>
                </c:pt>
                <c:pt idx="139">
                  <c:v>112.23311871721538</c:v>
                </c:pt>
                <c:pt idx="140">
                  <c:v>111.24365305696587</c:v>
                </c:pt>
                <c:pt idx="141">
                  <c:v>110.61850500579243</c:v>
                </c:pt>
                <c:pt idx="142">
                  <c:v>110.16703977957626</c:v>
                </c:pt>
                <c:pt idx="143">
                  <c:v>109.67222107933884</c:v>
                </c:pt>
                <c:pt idx="144">
                  <c:v>109.58768007948325</c:v>
                </c:pt>
                <c:pt idx="145">
                  <c:v>109.58580287094442</c:v>
                </c:pt>
                <c:pt idx="146">
                  <c:v>109.97198012823807</c:v>
                </c:pt>
                <c:pt idx="147">
                  <c:v>110.71805610840923</c:v>
                </c:pt>
                <c:pt idx="148">
                  <c:v>111.23398188235691</c:v>
                </c:pt>
                <c:pt idx="149">
                  <c:v>111.24171868750965</c:v>
                </c:pt>
                <c:pt idx="150">
                  <c:v>110.81394744591282</c:v>
                </c:pt>
                <c:pt idx="151">
                  <c:v>110.62233058394274</c:v>
                </c:pt>
                <c:pt idx="152">
                  <c:v>110.24487756121925</c:v>
                </c:pt>
                <c:pt idx="153">
                  <c:v>110.43328154669415</c:v>
                </c:pt>
                <c:pt idx="154">
                  <c:v>111.19144868340993</c:v>
                </c:pt>
                <c:pt idx="155">
                  <c:v>111.48015195343797</c:v>
                </c:pt>
                <c:pt idx="156">
                  <c:v>111.81333566372442</c:v>
                </c:pt>
                <c:pt idx="157">
                  <c:v>111.22431238916501</c:v>
                </c:pt>
                <c:pt idx="158">
                  <c:v>111.07175720957676</c:v>
                </c:pt>
                <c:pt idx="159">
                  <c:v>110.59938108327702</c:v>
                </c:pt>
                <c:pt idx="160">
                  <c:v>110.21828644280951</c:v>
                </c:pt>
                <c:pt idx="161">
                  <c:v>110.21448875872153</c:v>
                </c:pt>
                <c:pt idx="162">
                  <c:v>109.8699915846599</c:v>
                </c:pt>
                <c:pt idx="163">
                  <c:v>109.71171820068241</c:v>
                </c:pt>
                <c:pt idx="164">
                  <c:v>109.66846093187492</c:v>
                </c:pt>
                <c:pt idx="165">
                  <c:v>109.37783172904292</c:v>
                </c:pt>
                <c:pt idx="166">
                  <c:v>109.15947172644425</c:v>
                </c:pt>
                <c:pt idx="167">
                  <c:v>109.30681565773047</c:v>
                </c:pt>
                <c:pt idx="168">
                  <c:v>109.19673642167054</c:v>
                </c:pt>
                <c:pt idx="169">
                  <c:v>109.69290650023129</c:v>
                </c:pt>
                <c:pt idx="170">
                  <c:v>109.63463120372892</c:v>
                </c:pt>
                <c:pt idx="171">
                  <c:v>109.65906169114982</c:v>
                </c:pt>
                <c:pt idx="172">
                  <c:v>110.30380357943358</c:v>
                </c:pt>
                <c:pt idx="173">
                  <c:v>110.45997651771512</c:v>
                </c:pt>
                <c:pt idx="174">
                  <c:v>111.10840946194708</c:v>
                </c:pt>
                <c:pt idx="175">
                  <c:v>111.75278622087113</c:v>
                </c:pt>
                <c:pt idx="176">
                  <c:v>111.96205743887693</c:v>
                </c:pt>
                <c:pt idx="177">
                  <c:v>112.64019720045759</c:v>
                </c:pt>
                <c:pt idx="178">
                  <c:v>112.81897539899462</c:v>
                </c:pt>
                <c:pt idx="179">
                  <c:v>113.06622364397926</c:v>
                </c:pt>
                <c:pt idx="180">
                  <c:v>113.39891872728865</c:v>
                </c:pt>
                <c:pt idx="181">
                  <c:v>113.6466993533715</c:v>
                </c:pt>
                <c:pt idx="182">
                  <c:v>113.52166660751656</c:v>
                </c:pt>
                <c:pt idx="183">
                  <c:v>113.43108920370908</c:v>
                </c:pt>
                <c:pt idx="184">
                  <c:v>113.94831056409507</c:v>
                </c:pt>
                <c:pt idx="185">
                  <c:v>113.8428685826139</c:v>
                </c:pt>
                <c:pt idx="186">
                  <c:v>113.57608251815273</c:v>
                </c:pt>
                <c:pt idx="187">
                  <c:v>113.77807814750901</c:v>
                </c:pt>
                <c:pt idx="188">
                  <c:v>114.76392078071163</c:v>
                </c:pt>
                <c:pt idx="189">
                  <c:v>115.09427173287258</c:v>
                </c:pt>
                <c:pt idx="190">
                  <c:v>115.39113652351131</c:v>
                </c:pt>
                <c:pt idx="191">
                  <c:v>115.64352856109888</c:v>
                </c:pt>
                <c:pt idx="192">
                  <c:v>115.60800187939336</c:v>
                </c:pt>
                <c:pt idx="193">
                  <c:v>115.50155268289141</c:v>
                </c:pt>
                <c:pt idx="194">
                  <c:v>115.08391948047257</c:v>
                </c:pt>
                <c:pt idx="195">
                  <c:v>115.25600835945647</c:v>
                </c:pt>
                <c:pt idx="196">
                  <c:v>115.50155268289143</c:v>
                </c:pt>
                <c:pt idx="197">
                  <c:v>114.89170647606031</c:v>
                </c:pt>
                <c:pt idx="198">
                  <c:v>115.48904213452704</c:v>
                </c:pt>
                <c:pt idx="199">
                  <c:v>115.34952489136495</c:v>
                </c:pt>
                <c:pt idx="200">
                  <c:v>115.31625718766321</c:v>
                </c:pt>
                <c:pt idx="201">
                  <c:v>115.37240757439119</c:v>
                </c:pt>
                <c:pt idx="202">
                  <c:v>115.4744499196764</c:v>
                </c:pt>
                <c:pt idx="203">
                  <c:v>115.61218035601323</c:v>
                </c:pt>
                <c:pt idx="204">
                  <c:v>115.49738219895274</c:v>
                </c:pt>
                <c:pt idx="205">
                  <c:v>114.91027966878003</c:v>
                </c:pt>
                <c:pt idx="206">
                  <c:v>115.85924624662678</c:v>
                </c:pt>
                <c:pt idx="207">
                  <c:v>115.59755700914299</c:v>
                </c:pt>
                <c:pt idx="208">
                  <c:v>115.76490174079822</c:v>
                </c:pt>
                <c:pt idx="209">
                  <c:v>116.29944735311211</c:v>
                </c:pt>
                <c:pt idx="210">
                  <c:v>116.47519344560749</c:v>
                </c:pt>
                <c:pt idx="211">
                  <c:v>116.29099105649661</c:v>
                </c:pt>
                <c:pt idx="212">
                  <c:v>115.9705605104777</c:v>
                </c:pt>
                <c:pt idx="213">
                  <c:v>116.16007553473491</c:v>
                </c:pt>
                <c:pt idx="214">
                  <c:v>117.35118774649163</c:v>
                </c:pt>
                <c:pt idx="215">
                  <c:v>117.67281021226486</c:v>
                </c:pt>
                <c:pt idx="216">
                  <c:v>117.48696099316813</c:v>
                </c:pt>
                <c:pt idx="217">
                  <c:v>118.487924136909</c:v>
                </c:pt>
                <c:pt idx="218">
                  <c:v>118.81360968724442</c:v>
                </c:pt>
                <c:pt idx="219">
                  <c:v>118.55160017048698</c:v>
                </c:pt>
                <c:pt idx="220">
                  <c:v>118.866592344853</c:v>
                </c:pt>
                <c:pt idx="221">
                  <c:v>119.02803877425697</c:v>
                </c:pt>
                <c:pt idx="222">
                  <c:v>119.092296809263</c:v>
                </c:pt>
                <c:pt idx="223">
                  <c:v>119.41685955349789</c:v>
                </c:pt>
                <c:pt idx="224">
                  <c:v>118.70117821690302</c:v>
                </c:pt>
                <c:pt idx="225">
                  <c:v>117.56036605534914</c:v>
                </c:pt>
                <c:pt idx="226">
                  <c:v>116.66849035270066</c:v>
                </c:pt>
                <c:pt idx="227">
                  <c:v>115.79842884552706</c:v>
                </c:pt>
                <c:pt idx="228">
                  <c:v>115.75023973656096</c:v>
                </c:pt>
                <c:pt idx="229">
                  <c:v>115.65816354202425</c:v>
                </c:pt>
                <c:pt idx="230">
                  <c:v>115.5933795894765</c:v>
                </c:pt>
                <c:pt idx="231">
                  <c:v>115.31625718766314</c:v>
                </c:pt>
                <c:pt idx="232">
                  <c:v>115.23939907050452</c:v>
                </c:pt>
                <c:pt idx="233">
                  <c:v>114.80923154229905</c:v>
                </c:pt>
                <c:pt idx="234">
                  <c:v>114.12516055373177</c:v>
                </c:pt>
                <c:pt idx="235">
                  <c:v>114.48051250849983</c:v>
                </c:pt>
                <c:pt idx="236">
                  <c:v>114.7639207807116</c:v>
                </c:pt>
                <c:pt idx="237">
                  <c:v>115.89492753623168</c:v>
                </c:pt>
                <c:pt idx="238">
                  <c:v>117.75511706670572</c:v>
                </c:pt>
                <c:pt idx="239">
                  <c:v>117.80499033238171</c:v>
                </c:pt>
                <c:pt idx="240">
                  <c:v>117.34257781690764</c:v>
                </c:pt>
                <c:pt idx="241">
                  <c:v>118.24701489778545</c:v>
                </c:pt>
                <c:pt idx="242">
                  <c:v>117.73561293409625</c:v>
                </c:pt>
                <c:pt idx="243">
                  <c:v>118.33669373485485</c:v>
                </c:pt>
                <c:pt idx="244">
                  <c:v>118.1749330377757</c:v>
                </c:pt>
                <c:pt idx="245">
                  <c:v>118.01796815909361</c:v>
                </c:pt>
                <c:pt idx="246">
                  <c:v>118.22734748941967</c:v>
                </c:pt>
                <c:pt idx="247">
                  <c:v>118.07460179767794</c:v>
                </c:pt>
                <c:pt idx="248">
                  <c:v>118.49011872349072</c:v>
                </c:pt>
                <c:pt idx="249">
                  <c:v>117.90051786734463</c:v>
                </c:pt>
                <c:pt idx="250">
                  <c:v>116.99707388441821</c:v>
                </c:pt>
                <c:pt idx="251">
                  <c:v>117.40071937165067</c:v>
                </c:pt>
                <c:pt idx="252">
                  <c:v>117.27159407537739</c:v>
                </c:pt>
                <c:pt idx="253">
                  <c:v>117.10844255693029</c:v>
                </c:pt>
                <c:pt idx="254">
                  <c:v>116.97568111172038</c:v>
                </c:pt>
                <c:pt idx="255">
                  <c:v>117.03774171712898</c:v>
                </c:pt>
                <c:pt idx="256">
                  <c:v>116.90941320516779</c:v>
                </c:pt>
                <c:pt idx="257">
                  <c:v>116.00841402821578</c:v>
                </c:pt>
                <c:pt idx="258">
                  <c:v>116.11790757614237</c:v>
                </c:pt>
                <c:pt idx="259">
                  <c:v>116.31424883183922</c:v>
                </c:pt>
                <c:pt idx="260">
                  <c:v>116.58344571199456</c:v>
                </c:pt>
                <c:pt idx="261">
                  <c:v>117.13846266525047</c:v>
                </c:pt>
                <c:pt idx="262">
                  <c:v>117.05273173052274</c:v>
                </c:pt>
                <c:pt idx="263">
                  <c:v>117.02275554254756</c:v>
                </c:pt>
                <c:pt idx="264">
                  <c:v>117.27804359383286</c:v>
                </c:pt>
                <c:pt idx="265">
                  <c:v>117.53876681119993</c:v>
                </c:pt>
                <c:pt idx="266">
                  <c:v>117.48696099316811</c:v>
                </c:pt>
                <c:pt idx="267">
                  <c:v>118.41774026358637</c:v>
                </c:pt>
                <c:pt idx="268">
                  <c:v>118.56917801871914</c:v>
                </c:pt>
                <c:pt idx="269">
                  <c:v>117.53660732330175</c:v>
                </c:pt>
                <c:pt idx="270">
                  <c:v>117.31030183005079</c:v>
                </c:pt>
                <c:pt idx="271">
                  <c:v>117.53876681119995</c:v>
                </c:pt>
                <c:pt idx="272">
                  <c:v>115.85504989224705</c:v>
                </c:pt>
                <c:pt idx="273">
                  <c:v>116.39043027381044</c:v>
                </c:pt>
                <c:pt idx="274">
                  <c:v>116.78989356846834</c:v>
                </c:pt>
                <c:pt idx="275">
                  <c:v>116.86242989971305</c:v>
                </c:pt>
                <c:pt idx="276">
                  <c:v>116.69615658233141</c:v>
                </c:pt>
                <c:pt idx="277">
                  <c:v>117.32536174739104</c:v>
                </c:pt>
                <c:pt idx="278">
                  <c:v>118.12038404726719</c:v>
                </c:pt>
                <c:pt idx="279">
                  <c:v>117.64251563074644</c:v>
                </c:pt>
                <c:pt idx="280">
                  <c:v>117.3705647084723</c:v>
                </c:pt>
                <c:pt idx="281">
                  <c:v>117.7204475195052</c:v>
                </c:pt>
                <c:pt idx="282">
                  <c:v>117.46538871139494</c:v>
                </c:pt>
                <c:pt idx="283">
                  <c:v>117.64251563074644</c:v>
                </c:pt>
                <c:pt idx="284">
                  <c:v>118.10293900457819</c:v>
                </c:pt>
                <c:pt idx="285">
                  <c:v>117.71611526147261</c:v>
                </c:pt>
                <c:pt idx="286">
                  <c:v>119.01032462096533</c:v>
                </c:pt>
                <c:pt idx="287">
                  <c:v>118.67695618298504</c:v>
                </c:pt>
                <c:pt idx="288">
                  <c:v>118.25794406344141</c:v>
                </c:pt>
                <c:pt idx="289">
                  <c:v>118.03756596184343</c:v>
                </c:pt>
                <c:pt idx="290">
                  <c:v>117.774627662512</c:v>
                </c:pt>
                <c:pt idx="291">
                  <c:v>116.23183139534866</c:v>
                </c:pt>
                <c:pt idx="292">
                  <c:v>115.58293736110842</c:v>
                </c:pt>
                <c:pt idx="293">
                  <c:v>115.72092686721035</c:v>
                </c:pt>
                <c:pt idx="294">
                  <c:v>113.94425149167317</c:v>
                </c:pt>
                <c:pt idx="295">
                  <c:v>112.3494081697164</c:v>
                </c:pt>
                <c:pt idx="296">
                  <c:v>112.41850738924894</c:v>
                </c:pt>
                <c:pt idx="297">
                  <c:v>113.31656511265395</c:v>
                </c:pt>
                <c:pt idx="298">
                  <c:v>114.53995309114983</c:v>
                </c:pt>
                <c:pt idx="299">
                  <c:v>116.55158592796354</c:v>
                </c:pt>
                <c:pt idx="300">
                  <c:v>118.05717027440978</c:v>
                </c:pt>
                <c:pt idx="301">
                  <c:v>118.61974338055312</c:v>
                </c:pt>
                <c:pt idx="302">
                  <c:v>118.52524316813323</c:v>
                </c:pt>
                <c:pt idx="303">
                  <c:v>118.92404357363256</c:v>
                </c:pt>
                <c:pt idx="304">
                  <c:v>118.87542738219101</c:v>
                </c:pt>
                <c:pt idx="305">
                  <c:v>118.86659234485303</c:v>
                </c:pt>
                <c:pt idx="306">
                  <c:v>118.45501509063622</c:v>
                </c:pt>
                <c:pt idx="307">
                  <c:v>118.70778594225472</c:v>
                </c:pt>
                <c:pt idx="308">
                  <c:v>118.12038404726718</c:v>
                </c:pt>
                <c:pt idx="309">
                  <c:v>117.87227770203026</c:v>
                </c:pt>
                <c:pt idx="310">
                  <c:v>118.64394206338883</c:v>
                </c:pt>
                <c:pt idx="311">
                  <c:v>119.2966098534291</c:v>
                </c:pt>
                <c:pt idx="312">
                  <c:v>120.34009894471491</c:v>
                </c:pt>
                <c:pt idx="313">
                  <c:v>121.10324461439424</c:v>
                </c:pt>
                <c:pt idx="314">
                  <c:v>122.27446483180407</c:v>
                </c:pt>
                <c:pt idx="315">
                  <c:v>123.1429616369269</c:v>
                </c:pt>
                <c:pt idx="316">
                  <c:v>123.55201915834586</c:v>
                </c:pt>
                <c:pt idx="317">
                  <c:v>123.46617774775625</c:v>
                </c:pt>
                <c:pt idx="318">
                  <c:v>124.41462465966528</c:v>
                </c:pt>
                <c:pt idx="319">
                  <c:v>125.08358588327283</c:v>
                </c:pt>
                <c:pt idx="320">
                  <c:v>124.41946400093332</c:v>
                </c:pt>
                <c:pt idx="321">
                  <c:v>125.55492316448469</c:v>
                </c:pt>
                <c:pt idx="322">
                  <c:v>125.65850209188562</c:v>
                </c:pt>
                <c:pt idx="323">
                  <c:v>125.91572027476506</c:v>
                </c:pt>
                <c:pt idx="324">
                  <c:v>125.60422515854138</c:v>
                </c:pt>
                <c:pt idx="325">
                  <c:v>125.48350398179726</c:v>
                </c:pt>
                <c:pt idx="326">
                  <c:v>126.59094506886156</c:v>
                </c:pt>
                <c:pt idx="327">
                  <c:v>127.81251873014581</c:v>
                </c:pt>
                <c:pt idx="328">
                  <c:v>129.227350772649</c:v>
                </c:pt>
                <c:pt idx="329">
                  <c:v>131.12113137938081</c:v>
                </c:pt>
                <c:pt idx="330">
                  <c:v>133.46824668280041</c:v>
                </c:pt>
                <c:pt idx="331">
                  <c:v>133.58251028376915</c:v>
                </c:pt>
                <c:pt idx="332">
                  <c:v>135.17728098719496</c:v>
                </c:pt>
                <c:pt idx="333">
                  <c:v>135.10591117399821</c:v>
                </c:pt>
                <c:pt idx="334">
                  <c:v>133.67182766041893</c:v>
                </c:pt>
                <c:pt idx="335">
                  <c:v>129.94657837541365</c:v>
                </c:pt>
                <c:pt idx="336">
                  <c:v>127.41794136392586</c:v>
                </c:pt>
                <c:pt idx="337">
                  <c:v>128.25067158494025</c:v>
                </c:pt>
                <c:pt idx="338">
                  <c:v>129.97033846653912</c:v>
                </c:pt>
                <c:pt idx="339">
                  <c:v>133.2125603864732</c:v>
                </c:pt>
                <c:pt idx="340">
                  <c:v>135.0574227326463</c:v>
                </c:pt>
                <c:pt idx="341">
                  <c:v>134.74451324824111</c:v>
                </c:pt>
                <c:pt idx="342">
                  <c:v>133.75567124547848</c:v>
                </c:pt>
                <c:pt idx="343">
                  <c:v>132.94956254286228</c:v>
                </c:pt>
                <c:pt idx="344">
                  <c:v>132.15857210733964</c:v>
                </c:pt>
                <c:pt idx="345">
                  <c:v>131.70420389508769</c:v>
                </c:pt>
                <c:pt idx="346">
                  <c:v>131.47683834107423</c:v>
                </c:pt>
                <c:pt idx="347">
                  <c:v>131.98407295083638</c:v>
                </c:pt>
                <c:pt idx="348">
                  <c:v>133.06570709486846</c:v>
                </c:pt>
                <c:pt idx="349">
                  <c:v>133.5044554352134</c:v>
                </c:pt>
                <c:pt idx="350">
                  <c:v>133.42927460059215</c:v>
                </c:pt>
                <c:pt idx="351">
                  <c:v>132.06853839801801</c:v>
                </c:pt>
                <c:pt idx="352">
                  <c:v>133.58529964501969</c:v>
                </c:pt>
                <c:pt idx="353">
                  <c:v>133.95171590694932</c:v>
                </c:pt>
                <c:pt idx="354">
                  <c:v>134.97193974429283</c:v>
                </c:pt>
                <c:pt idx="355">
                  <c:v>135.36892443767309</c:v>
                </c:pt>
                <c:pt idx="356">
                  <c:v>136.29178295234223</c:v>
                </c:pt>
                <c:pt idx="357">
                  <c:v>138.1399667465611</c:v>
                </c:pt>
                <c:pt idx="358">
                  <c:v>138.58284773519901</c:v>
                </c:pt>
                <c:pt idx="359">
                  <c:v>139.84610676343269</c:v>
                </c:pt>
                <c:pt idx="360">
                  <c:v>143.15379623621004</c:v>
                </c:pt>
                <c:pt idx="361">
                  <c:v>145.99602911978801</c:v>
                </c:pt>
                <c:pt idx="362">
                  <c:v>146.08270728198548</c:v>
                </c:pt>
                <c:pt idx="363">
                  <c:v>143.84260820685756</c:v>
                </c:pt>
                <c:pt idx="364">
                  <c:v>143.86848674297769</c:v>
                </c:pt>
                <c:pt idx="365">
                  <c:v>143.0257774598133</c:v>
                </c:pt>
                <c:pt idx="366">
                  <c:v>144.25778519403769</c:v>
                </c:pt>
                <c:pt idx="367">
                  <c:v>145.37232712977459</c:v>
                </c:pt>
                <c:pt idx="368">
                  <c:v>147.37836343531123</c:v>
                </c:pt>
                <c:pt idx="369">
                  <c:v>148.26643181607466</c:v>
                </c:pt>
                <c:pt idx="370">
                  <c:v>148.5901426116038</c:v>
                </c:pt>
                <c:pt idx="371">
                  <c:v>147.56873961985585</c:v>
                </c:pt>
                <c:pt idx="372">
                  <c:v>148.10510475749487</c:v>
                </c:pt>
                <c:pt idx="373">
                  <c:v>148.8632926119835</c:v>
                </c:pt>
                <c:pt idx="374">
                  <c:v>151.04594607357018</c:v>
                </c:pt>
                <c:pt idx="375">
                  <c:v>147.56873961985588</c:v>
                </c:pt>
                <c:pt idx="376">
                  <c:v>148.1051047574949</c:v>
                </c:pt>
                <c:pt idx="377">
                  <c:v>148.86329261198352</c:v>
                </c:pt>
                <c:pt idx="378">
                  <c:v>151.04594607357021</c:v>
                </c:pt>
                <c:pt idx="379">
                  <c:v>150.05042805206972</c:v>
                </c:pt>
                <c:pt idx="380">
                  <c:v>150.20896924160584</c:v>
                </c:pt>
                <c:pt idx="381">
                  <c:v>153.66544965411205</c:v>
                </c:pt>
                <c:pt idx="382">
                  <c:v>153.35602646466566</c:v>
                </c:pt>
                <c:pt idx="383">
                  <c:v>153.59903961584618</c:v>
                </c:pt>
                <c:pt idx="384">
                  <c:v>153.93166506256</c:v>
                </c:pt>
                <c:pt idx="385">
                  <c:v>155.31439669822757</c:v>
                </c:pt>
                <c:pt idx="386">
                  <c:v>154.44076962074195</c:v>
                </c:pt>
                <c:pt idx="387">
                  <c:v>154.8369920371758</c:v>
                </c:pt>
                <c:pt idx="388">
                  <c:v>153.83542538354237</c:v>
                </c:pt>
                <c:pt idx="389">
                  <c:v>151.78418904811599</c:v>
                </c:pt>
                <c:pt idx="390">
                  <c:v>150.19486312626177</c:v>
                </c:pt>
                <c:pt idx="391">
                  <c:v>151.00316291365701</c:v>
                </c:pt>
                <c:pt idx="392">
                  <c:v>151.32462863090151</c:v>
                </c:pt>
                <c:pt idx="393">
                  <c:v>152.29003999238225</c:v>
                </c:pt>
                <c:pt idx="394">
                  <c:v>152.00779356555609</c:v>
                </c:pt>
                <c:pt idx="395">
                  <c:v>153.94277739009058</c:v>
                </c:pt>
                <c:pt idx="396">
                  <c:v>154.46314315377728</c:v>
                </c:pt>
                <c:pt idx="397">
                  <c:v>155.22395302567074</c:v>
                </c:pt>
                <c:pt idx="398">
                  <c:v>153.24949095700069</c:v>
                </c:pt>
                <c:pt idx="399">
                  <c:v>153.12111057922436</c:v>
                </c:pt>
                <c:pt idx="400">
                  <c:v>153.72083523560067</c:v>
                </c:pt>
                <c:pt idx="401">
                  <c:v>154.48925380342897</c:v>
                </c:pt>
                <c:pt idx="402">
                  <c:v>154.65358023497544</c:v>
                </c:pt>
                <c:pt idx="403">
                  <c:v>153.91685112116241</c:v>
                </c:pt>
                <c:pt idx="404">
                  <c:v>154.38486413436931</c:v>
                </c:pt>
                <c:pt idx="405">
                  <c:v>153.96871239470508</c:v>
                </c:pt>
                <c:pt idx="406">
                  <c:v>153.9761240011552</c:v>
                </c:pt>
                <c:pt idx="407">
                  <c:v>152.39887560150547</c:v>
                </c:pt>
                <c:pt idx="408">
                  <c:v>153.20911964747572</c:v>
                </c:pt>
                <c:pt idx="409">
                  <c:v>154.41094832371888</c:v>
                </c:pt>
                <c:pt idx="410">
                  <c:v>155.49938018035527</c:v>
                </c:pt>
                <c:pt idx="411">
                  <c:v>154.92323339952529</c:v>
                </c:pt>
                <c:pt idx="412">
                  <c:v>154.97202102662234</c:v>
                </c:pt>
                <c:pt idx="413">
                  <c:v>156.99141104294472</c:v>
                </c:pt>
                <c:pt idx="414">
                  <c:v>157.59083630989031</c:v>
                </c:pt>
                <c:pt idx="415">
                  <c:v>159.19870598482012</c:v>
                </c:pt>
                <c:pt idx="416">
                  <c:v>159.28590991708779</c:v>
                </c:pt>
                <c:pt idx="417">
                  <c:v>158.36324479540551</c:v>
                </c:pt>
                <c:pt idx="418">
                  <c:v>157.83967827095302</c:v>
                </c:pt>
                <c:pt idx="419">
                  <c:v>158.10493537305678</c:v>
                </c:pt>
                <c:pt idx="420">
                  <c:v>157.52874836866849</c:v>
                </c:pt>
                <c:pt idx="421">
                  <c:v>158.4966429650917</c:v>
                </c:pt>
                <c:pt idx="422">
                  <c:v>157.82410262735897</c:v>
                </c:pt>
                <c:pt idx="423">
                  <c:v>158.16747842856074</c:v>
                </c:pt>
                <c:pt idx="424">
                  <c:v>159.14326227020564</c:v>
                </c:pt>
                <c:pt idx="425">
                  <c:v>159.15118043635087</c:v>
                </c:pt>
                <c:pt idx="426">
                  <c:v>159.56401366822129</c:v>
                </c:pt>
                <c:pt idx="427">
                  <c:v>157.77739413520101</c:v>
                </c:pt>
                <c:pt idx="428">
                  <c:v>156.67613636363626</c:v>
                </c:pt>
                <c:pt idx="429">
                  <c:v>155.61285300771073</c:v>
                </c:pt>
                <c:pt idx="430">
                  <c:v>154.92698520330313</c:v>
                </c:pt>
                <c:pt idx="431">
                  <c:v>157.18041325765944</c:v>
                </c:pt>
                <c:pt idx="432">
                  <c:v>155.88206627680304</c:v>
                </c:pt>
                <c:pt idx="433">
                  <c:v>154.02431684121817</c:v>
                </c:pt>
                <c:pt idx="434">
                  <c:v>153.01490109784967</c:v>
                </c:pt>
                <c:pt idx="435">
                  <c:v>153.00026307607675</c:v>
                </c:pt>
                <c:pt idx="436">
                  <c:v>155.06592980414962</c:v>
                </c:pt>
                <c:pt idx="437">
                  <c:v>157.55978622269285</c:v>
                </c:pt>
              </c:numCache>
            </c:numRef>
          </c:val>
          <c:smooth val="0"/>
          <c:extLst>
            <c:ext xmlns:c16="http://schemas.microsoft.com/office/drawing/2014/chart" uri="{C3380CC4-5D6E-409C-BE32-E72D297353CC}">
              <c16:uniqueId val="{00000001-3F1F-43F1-8AAB-A7241745A478}"/>
            </c:ext>
          </c:extLst>
        </c:ser>
        <c:ser>
          <c:idx val="2"/>
          <c:order val="2"/>
          <c:tx>
            <c:strRef>
              <c:f>Sheet1!$D$1</c:f>
              <c:strCache>
                <c:ptCount val="1"/>
                <c:pt idx="0">
                  <c:v>RUB</c:v>
                </c:pt>
              </c:strCache>
            </c:strRef>
          </c:tx>
          <c:spPr>
            <a:ln w="28575" cap="rnd">
              <a:solidFill>
                <a:srgbClr val="C00000"/>
              </a:solidFill>
              <a:round/>
            </a:ln>
            <a:effectLst/>
          </c:spPr>
          <c:marker>
            <c:symbol val="none"/>
          </c:marker>
          <c:cat>
            <c:numRef>
              <c:f>Sheet1!$A$2:$A$439</c:f>
              <c:numCache>
                <c:formatCode>[$-2B]\ dd\/mmm\/yy</c:formatCode>
                <c:ptCount val="438"/>
                <c:pt idx="0">
                  <c:v>44204</c:v>
                </c:pt>
                <c:pt idx="1">
                  <c:v>44207</c:v>
                </c:pt>
                <c:pt idx="2">
                  <c:v>44208</c:v>
                </c:pt>
                <c:pt idx="3">
                  <c:v>44209</c:v>
                </c:pt>
                <c:pt idx="4">
                  <c:v>44210</c:v>
                </c:pt>
                <c:pt idx="5">
                  <c:v>44211</c:v>
                </c:pt>
                <c:pt idx="6">
                  <c:v>44214</c:v>
                </c:pt>
                <c:pt idx="7">
                  <c:v>44215</c:v>
                </c:pt>
                <c:pt idx="8">
                  <c:v>44216</c:v>
                </c:pt>
                <c:pt idx="9">
                  <c:v>44217</c:v>
                </c:pt>
                <c:pt idx="10">
                  <c:v>44218</c:v>
                </c:pt>
                <c:pt idx="11">
                  <c:v>44221</c:v>
                </c:pt>
                <c:pt idx="12">
                  <c:v>44222</c:v>
                </c:pt>
                <c:pt idx="13">
                  <c:v>44223</c:v>
                </c:pt>
                <c:pt idx="14">
                  <c:v>44225</c:v>
                </c:pt>
                <c:pt idx="15">
                  <c:v>44228</c:v>
                </c:pt>
                <c:pt idx="16">
                  <c:v>44229</c:v>
                </c:pt>
                <c:pt idx="17">
                  <c:v>44230</c:v>
                </c:pt>
                <c:pt idx="18">
                  <c:v>44231</c:v>
                </c:pt>
                <c:pt idx="19">
                  <c:v>44232</c:v>
                </c:pt>
                <c:pt idx="20">
                  <c:v>44235</c:v>
                </c:pt>
                <c:pt idx="21">
                  <c:v>44236</c:v>
                </c:pt>
                <c:pt idx="22">
                  <c:v>44237</c:v>
                </c:pt>
                <c:pt idx="23">
                  <c:v>44238</c:v>
                </c:pt>
                <c:pt idx="24">
                  <c:v>44239</c:v>
                </c:pt>
                <c:pt idx="25">
                  <c:v>44242</c:v>
                </c:pt>
                <c:pt idx="26">
                  <c:v>44243</c:v>
                </c:pt>
                <c:pt idx="27">
                  <c:v>44244</c:v>
                </c:pt>
                <c:pt idx="28">
                  <c:v>44245</c:v>
                </c:pt>
                <c:pt idx="29">
                  <c:v>44246</c:v>
                </c:pt>
                <c:pt idx="30">
                  <c:v>44249</c:v>
                </c:pt>
                <c:pt idx="31">
                  <c:v>44250</c:v>
                </c:pt>
                <c:pt idx="32">
                  <c:v>44251</c:v>
                </c:pt>
                <c:pt idx="33">
                  <c:v>44252</c:v>
                </c:pt>
                <c:pt idx="34">
                  <c:v>44253</c:v>
                </c:pt>
                <c:pt idx="35">
                  <c:v>44256</c:v>
                </c:pt>
                <c:pt idx="36">
                  <c:v>44257</c:v>
                </c:pt>
                <c:pt idx="37">
                  <c:v>44258</c:v>
                </c:pt>
                <c:pt idx="38">
                  <c:v>44259</c:v>
                </c:pt>
                <c:pt idx="39">
                  <c:v>44260</c:v>
                </c:pt>
                <c:pt idx="40">
                  <c:v>44264</c:v>
                </c:pt>
                <c:pt idx="41">
                  <c:v>44265</c:v>
                </c:pt>
                <c:pt idx="42">
                  <c:v>44266</c:v>
                </c:pt>
                <c:pt idx="43">
                  <c:v>44267</c:v>
                </c:pt>
                <c:pt idx="44">
                  <c:v>44270</c:v>
                </c:pt>
                <c:pt idx="45">
                  <c:v>44271</c:v>
                </c:pt>
                <c:pt idx="46">
                  <c:v>44272</c:v>
                </c:pt>
                <c:pt idx="47">
                  <c:v>44273</c:v>
                </c:pt>
                <c:pt idx="48">
                  <c:v>44274</c:v>
                </c:pt>
                <c:pt idx="49">
                  <c:v>44277</c:v>
                </c:pt>
                <c:pt idx="50">
                  <c:v>44278</c:v>
                </c:pt>
                <c:pt idx="51">
                  <c:v>44279</c:v>
                </c:pt>
                <c:pt idx="52">
                  <c:v>44280</c:v>
                </c:pt>
                <c:pt idx="53">
                  <c:v>44281</c:v>
                </c:pt>
                <c:pt idx="54">
                  <c:v>44284</c:v>
                </c:pt>
                <c:pt idx="55">
                  <c:v>44285</c:v>
                </c:pt>
                <c:pt idx="56">
                  <c:v>44286</c:v>
                </c:pt>
                <c:pt idx="57">
                  <c:v>44287</c:v>
                </c:pt>
                <c:pt idx="58">
                  <c:v>44288</c:v>
                </c:pt>
                <c:pt idx="59">
                  <c:v>44291</c:v>
                </c:pt>
                <c:pt idx="60">
                  <c:v>44292</c:v>
                </c:pt>
                <c:pt idx="61">
                  <c:v>44293</c:v>
                </c:pt>
                <c:pt idx="62">
                  <c:v>44294</c:v>
                </c:pt>
                <c:pt idx="63">
                  <c:v>44295</c:v>
                </c:pt>
                <c:pt idx="64">
                  <c:v>44298</c:v>
                </c:pt>
                <c:pt idx="65">
                  <c:v>44299</c:v>
                </c:pt>
                <c:pt idx="66">
                  <c:v>44300</c:v>
                </c:pt>
                <c:pt idx="67">
                  <c:v>44301</c:v>
                </c:pt>
                <c:pt idx="68">
                  <c:v>44302</c:v>
                </c:pt>
                <c:pt idx="69">
                  <c:v>44305</c:v>
                </c:pt>
                <c:pt idx="70">
                  <c:v>44306</c:v>
                </c:pt>
                <c:pt idx="71">
                  <c:v>44307</c:v>
                </c:pt>
                <c:pt idx="72">
                  <c:v>44308</c:v>
                </c:pt>
                <c:pt idx="73">
                  <c:v>44309</c:v>
                </c:pt>
                <c:pt idx="74">
                  <c:v>44312</c:v>
                </c:pt>
                <c:pt idx="75">
                  <c:v>44313</c:v>
                </c:pt>
                <c:pt idx="76">
                  <c:v>44314</c:v>
                </c:pt>
                <c:pt idx="77">
                  <c:v>44315</c:v>
                </c:pt>
                <c:pt idx="78">
                  <c:v>44316</c:v>
                </c:pt>
                <c:pt idx="79">
                  <c:v>44319</c:v>
                </c:pt>
                <c:pt idx="80">
                  <c:v>44320</c:v>
                </c:pt>
                <c:pt idx="81">
                  <c:v>44321</c:v>
                </c:pt>
                <c:pt idx="82">
                  <c:v>44322</c:v>
                </c:pt>
                <c:pt idx="83">
                  <c:v>44323</c:v>
                </c:pt>
                <c:pt idx="84">
                  <c:v>44326</c:v>
                </c:pt>
                <c:pt idx="85">
                  <c:v>44327</c:v>
                </c:pt>
                <c:pt idx="86">
                  <c:v>44328</c:v>
                </c:pt>
                <c:pt idx="87">
                  <c:v>44329</c:v>
                </c:pt>
                <c:pt idx="88">
                  <c:v>44330</c:v>
                </c:pt>
                <c:pt idx="89">
                  <c:v>44333</c:v>
                </c:pt>
                <c:pt idx="90">
                  <c:v>44334</c:v>
                </c:pt>
                <c:pt idx="91">
                  <c:v>44335</c:v>
                </c:pt>
                <c:pt idx="92">
                  <c:v>44336</c:v>
                </c:pt>
                <c:pt idx="93">
                  <c:v>44337</c:v>
                </c:pt>
                <c:pt idx="94">
                  <c:v>44340</c:v>
                </c:pt>
                <c:pt idx="95">
                  <c:v>44341</c:v>
                </c:pt>
                <c:pt idx="96">
                  <c:v>44342</c:v>
                </c:pt>
                <c:pt idx="97">
                  <c:v>44343</c:v>
                </c:pt>
                <c:pt idx="98">
                  <c:v>44347</c:v>
                </c:pt>
                <c:pt idx="99">
                  <c:v>44348</c:v>
                </c:pt>
                <c:pt idx="100">
                  <c:v>44349</c:v>
                </c:pt>
                <c:pt idx="101">
                  <c:v>44350</c:v>
                </c:pt>
                <c:pt idx="102">
                  <c:v>44351</c:v>
                </c:pt>
                <c:pt idx="103">
                  <c:v>44354</c:v>
                </c:pt>
                <c:pt idx="104">
                  <c:v>44355</c:v>
                </c:pt>
                <c:pt idx="105">
                  <c:v>44356</c:v>
                </c:pt>
                <c:pt idx="106">
                  <c:v>44357</c:v>
                </c:pt>
                <c:pt idx="107">
                  <c:v>44358</c:v>
                </c:pt>
                <c:pt idx="108">
                  <c:v>44361</c:v>
                </c:pt>
                <c:pt idx="109">
                  <c:v>44362</c:v>
                </c:pt>
                <c:pt idx="110">
                  <c:v>44363</c:v>
                </c:pt>
                <c:pt idx="111">
                  <c:v>44364</c:v>
                </c:pt>
                <c:pt idx="112">
                  <c:v>44365</c:v>
                </c:pt>
                <c:pt idx="113">
                  <c:v>44368</c:v>
                </c:pt>
                <c:pt idx="114">
                  <c:v>44369</c:v>
                </c:pt>
                <c:pt idx="115">
                  <c:v>44370</c:v>
                </c:pt>
                <c:pt idx="116">
                  <c:v>44371</c:v>
                </c:pt>
                <c:pt idx="117">
                  <c:v>44372</c:v>
                </c:pt>
                <c:pt idx="118">
                  <c:v>44375</c:v>
                </c:pt>
                <c:pt idx="119">
                  <c:v>44376</c:v>
                </c:pt>
                <c:pt idx="120">
                  <c:v>44377</c:v>
                </c:pt>
                <c:pt idx="121">
                  <c:v>44378</c:v>
                </c:pt>
                <c:pt idx="122">
                  <c:v>44379</c:v>
                </c:pt>
                <c:pt idx="123">
                  <c:v>44383</c:v>
                </c:pt>
                <c:pt idx="124">
                  <c:v>44384</c:v>
                </c:pt>
                <c:pt idx="125">
                  <c:v>44385</c:v>
                </c:pt>
                <c:pt idx="126">
                  <c:v>44386</c:v>
                </c:pt>
                <c:pt idx="127">
                  <c:v>44389</c:v>
                </c:pt>
                <c:pt idx="128">
                  <c:v>44390</c:v>
                </c:pt>
                <c:pt idx="129">
                  <c:v>44391</c:v>
                </c:pt>
                <c:pt idx="130">
                  <c:v>44392</c:v>
                </c:pt>
                <c:pt idx="131">
                  <c:v>44393</c:v>
                </c:pt>
                <c:pt idx="132">
                  <c:v>44396</c:v>
                </c:pt>
                <c:pt idx="133">
                  <c:v>44397</c:v>
                </c:pt>
                <c:pt idx="134">
                  <c:v>44398</c:v>
                </c:pt>
                <c:pt idx="135">
                  <c:v>44399</c:v>
                </c:pt>
                <c:pt idx="136">
                  <c:v>44400</c:v>
                </c:pt>
                <c:pt idx="137">
                  <c:v>44403</c:v>
                </c:pt>
                <c:pt idx="138">
                  <c:v>44404</c:v>
                </c:pt>
                <c:pt idx="139">
                  <c:v>44405</c:v>
                </c:pt>
                <c:pt idx="140">
                  <c:v>44406</c:v>
                </c:pt>
                <c:pt idx="141">
                  <c:v>44407</c:v>
                </c:pt>
                <c:pt idx="142">
                  <c:v>44410</c:v>
                </c:pt>
                <c:pt idx="143">
                  <c:v>44411</c:v>
                </c:pt>
                <c:pt idx="144">
                  <c:v>44412</c:v>
                </c:pt>
                <c:pt idx="145">
                  <c:v>44413</c:v>
                </c:pt>
                <c:pt idx="146">
                  <c:v>44414</c:v>
                </c:pt>
                <c:pt idx="147">
                  <c:v>44417</c:v>
                </c:pt>
                <c:pt idx="148">
                  <c:v>44418</c:v>
                </c:pt>
                <c:pt idx="149">
                  <c:v>44419</c:v>
                </c:pt>
                <c:pt idx="150">
                  <c:v>44420</c:v>
                </c:pt>
                <c:pt idx="151">
                  <c:v>44421</c:v>
                </c:pt>
                <c:pt idx="152">
                  <c:v>44424</c:v>
                </c:pt>
                <c:pt idx="153">
                  <c:v>44425</c:v>
                </c:pt>
                <c:pt idx="154">
                  <c:v>44426</c:v>
                </c:pt>
                <c:pt idx="155">
                  <c:v>44427</c:v>
                </c:pt>
                <c:pt idx="156">
                  <c:v>44428</c:v>
                </c:pt>
                <c:pt idx="157">
                  <c:v>44431</c:v>
                </c:pt>
                <c:pt idx="158">
                  <c:v>44432</c:v>
                </c:pt>
                <c:pt idx="159">
                  <c:v>44433</c:v>
                </c:pt>
                <c:pt idx="160">
                  <c:v>44434</c:v>
                </c:pt>
                <c:pt idx="161">
                  <c:v>44435</c:v>
                </c:pt>
                <c:pt idx="162">
                  <c:v>44438</c:v>
                </c:pt>
                <c:pt idx="163">
                  <c:v>44439</c:v>
                </c:pt>
                <c:pt idx="164">
                  <c:v>44440</c:v>
                </c:pt>
                <c:pt idx="165">
                  <c:v>44441</c:v>
                </c:pt>
                <c:pt idx="166">
                  <c:v>44442</c:v>
                </c:pt>
                <c:pt idx="167">
                  <c:v>44445</c:v>
                </c:pt>
                <c:pt idx="168">
                  <c:v>44446</c:v>
                </c:pt>
                <c:pt idx="169">
                  <c:v>44447</c:v>
                </c:pt>
                <c:pt idx="170">
                  <c:v>44448</c:v>
                </c:pt>
                <c:pt idx="171">
                  <c:v>44449</c:v>
                </c:pt>
                <c:pt idx="172">
                  <c:v>44452</c:v>
                </c:pt>
                <c:pt idx="173">
                  <c:v>44453</c:v>
                </c:pt>
                <c:pt idx="174">
                  <c:v>44454</c:v>
                </c:pt>
                <c:pt idx="175">
                  <c:v>44455</c:v>
                </c:pt>
                <c:pt idx="176">
                  <c:v>44456</c:v>
                </c:pt>
                <c:pt idx="177">
                  <c:v>44461</c:v>
                </c:pt>
                <c:pt idx="178">
                  <c:v>44462</c:v>
                </c:pt>
                <c:pt idx="179">
                  <c:v>44463</c:v>
                </c:pt>
                <c:pt idx="180">
                  <c:v>44464</c:v>
                </c:pt>
                <c:pt idx="181">
                  <c:v>44466</c:v>
                </c:pt>
                <c:pt idx="182">
                  <c:v>44467</c:v>
                </c:pt>
                <c:pt idx="183">
                  <c:v>44468</c:v>
                </c:pt>
                <c:pt idx="184">
                  <c:v>44469</c:v>
                </c:pt>
                <c:pt idx="185">
                  <c:v>44470</c:v>
                </c:pt>
                <c:pt idx="186">
                  <c:v>44473</c:v>
                </c:pt>
                <c:pt idx="187">
                  <c:v>44474</c:v>
                </c:pt>
                <c:pt idx="188">
                  <c:v>44475</c:v>
                </c:pt>
                <c:pt idx="189">
                  <c:v>44476</c:v>
                </c:pt>
                <c:pt idx="190">
                  <c:v>44477</c:v>
                </c:pt>
                <c:pt idx="191">
                  <c:v>44480</c:v>
                </c:pt>
                <c:pt idx="192">
                  <c:v>44481</c:v>
                </c:pt>
                <c:pt idx="193">
                  <c:v>44482</c:v>
                </c:pt>
                <c:pt idx="194">
                  <c:v>44483</c:v>
                </c:pt>
                <c:pt idx="195">
                  <c:v>44484</c:v>
                </c:pt>
                <c:pt idx="196">
                  <c:v>44487</c:v>
                </c:pt>
                <c:pt idx="197">
                  <c:v>44488</c:v>
                </c:pt>
                <c:pt idx="198">
                  <c:v>44489</c:v>
                </c:pt>
                <c:pt idx="199">
                  <c:v>44490</c:v>
                </c:pt>
                <c:pt idx="200">
                  <c:v>44491</c:v>
                </c:pt>
                <c:pt idx="201">
                  <c:v>44494</c:v>
                </c:pt>
                <c:pt idx="202">
                  <c:v>44495</c:v>
                </c:pt>
                <c:pt idx="203">
                  <c:v>44496</c:v>
                </c:pt>
                <c:pt idx="204">
                  <c:v>44497</c:v>
                </c:pt>
                <c:pt idx="205">
                  <c:v>44498</c:v>
                </c:pt>
                <c:pt idx="206">
                  <c:v>44501</c:v>
                </c:pt>
                <c:pt idx="207">
                  <c:v>44502</c:v>
                </c:pt>
                <c:pt idx="208">
                  <c:v>44503</c:v>
                </c:pt>
                <c:pt idx="209">
                  <c:v>44504</c:v>
                </c:pt>
                <c:pt idx="210">
                  <c:v>44505</c:v>
                </c:pt>
                <c:pt idx="211">
                  <c:v>44508</c:v>
                </c:pt>
                <c:pt idx="212">
                  <c:v>44509</c:v>
                </c:pt>
                <c:pt idx="213">
                  <c:v>44510</c:v>
                </c:pt>
                <c:pt idx="214">
                  <c:v>44511</c:v>
                </c:pt>
                <c:pt idx="215">
                  <c:v>44512</c:v>
                </c:pt>
                <c:pt idx="216">
                  <c:v>44515</c:v>
                </c:pt>
                <c:pt idx="217">
                  <c:v>44516</c:v>
                </c:pt>
                <c:pt idx="218">
                  <c:v>44517</c:v>
                </c:pt>
                <c:pt idx="219">
                  <c:v>44518</c:v>
                </c:pt>
                <c:pt idx="220">
                  <c:v>44519</c:v>
                </c:pt>
                <c:pt idx="221">
                  <c:v>44522</c:v>
                </c:pt>
                <c:pt idx="222">
                  <c:v>44523</c:v>
                </c:pt>
                <c:pt idx="223">
                  <c:v>44524</c:v>
                </c:pt>
                <c:pt idx="224">
                  <c:v>44525</c:v>
                </c:pt>
                <c:pt idx="225">
                  <c:v>44526</c:v>
                </c:pt>
                <c:pt idx="226">
                  <c:v>44529</c:v>
                </c:pt>
                <c:pt idx="227">
                  <c:v>44530</c:v>
                </c:pt>
                <c:pt idx="228">
                  <c:v>44531</c:v>
                </c:pt>
                <c:pt idx="229">
                  <c:v>44532</c:v>
                </c:pt>
                <c:pt idx="230">
                  <c:v>44533</c:v>
                </c:pt>
                <c:pt idx="231">
                  <c:v>44536</c:v>
                </c:pt>
                <c:pt idx="232">
                  <c:v>44537</c:v>
                </c:pt>
                <c:pt idx="233">
                  <c:v>44538</c:v>
                </c:pt>
                <c:pt idx="234">
                  <c:v>44539</c:v>
                </c:pt>
                <c:pt idx="235">
                  <c:v>44540</c:v>
                </c:pt>
                <c:pt idx="236">
                  <c:v>44543</c:v>
                </c:pt>
                <c:pt idx="237">
                  <c:v>44544</c:v>
                </c:pt>
                <c:pt idx="238">
                  <c:v>44545</c:v>
                </c:pt>
                <c:pt idx="239">
                  <c:v>44546</c:v>
                </c:pt>
                <c:pt idx="240">
                  <c:v>44547</c:v>
                </c:pt>
                <c:pt idx="241">
                  <c:v>44550</c:v>
                </c:pt>
                <c:pt idx="242">
                  <c:v>44551</c:v>
                </c:pt>
                <c:pt idx="243">
                  <c:v>44552</c:v>
                </c:pt>
                <c:pt idx="244">
                  <c:v>44553</c:v>
                </c:pt>
                <c:pt idx="245">
                  <c:v>44554</c:v>
                </c:pt>
                <c:pt idx="246">
                  <c:v>44557</c:v>
                </c:pt>
                <c:pt idx="247">
                  <c:v>44558</c:v>
                </c:pt>
                <c:pt idx="248">
                  <c:v>44559</c:v>
                </c:pt>
                <c:pt idx="249">
                  <c:v>44560</c:v>
                </c:pt>
                <c:pt idx="250">
                  <c:v>44564</c:v>
                </c:pt>
                <c:pt idx="251">
                  <c:v>44565</c:v>
                </c:pt>
                <c:pt idx="252">
                  <c:v>44566</c:v>
                </c:pt>
                <c:pt idx="253">
                  <c:v>44568</c:v>
                </c:pt>
                <c:pt idx="254">
                  <c:v>44571</c:v>
                </c:pt>
                <c:pt idx="255">
                  <c:v>44572</c:v>
                </c:pt>
                <c:pt idx="256">
                  <c:v>44573</c:v>
                </c:pt>
                <c:pt idx="257">
                  <c:v>44574</c:v>
                </c:pt>
                <c:pt idx="258">
                  <c:v>44575</c:v>
                </c:pt>
                <c:pt idx="259">
                  <c:v>44578</c:v>
                </c:pt>
                <c:pt idx="260">
                  <c:v>44579</c:v>
                </c:pt>
                <c:pt idx="261">
                  <c:v>44580</c:v>
                </c:pt>
                <c:pt idx="262">
                  <c:v>44581</c:v>
                </c:pt>
                <c:pt idx="263">
                  <c:v>44582</c:v>
                </c:pt>
                <c:pt idx="264">
                  <c:v>44585</c:v>
                </c:pt>
                <c:pt idx="265">
                  <c:v>44586</c:v>
                </c:pt>
                <c:pt idx="266">
                  <c:v>44587</c:v>
                </c:pt>
                <c:pt idx="267">
                  <c:v>44588</c:v>
                </c:pt>
                <c:pt idx="268">
                  <c:v>44589</c:v>
                </c:pt>
                <c:pt idx="269">
                  <c:v>44592</c:v>
                </c:pt>
                <c:pt idx="270">
                  <c:v>44593</c:v>
                </c:pt>
                <c:pt idx="271">
                  <c:v>44594</c:v>
                </c:pt>
                <c:pt idx="272">
                  <c:v>44595</c:v>
                </c:pt>
                <c:pt idx="273">
                  <c:v>44596</c:v>
                </c:pt>
                <c:pt idx="274">
                  <c:v>44599</c:v>
                </c:pt>
                <c:pt idx="275">
                  <c:v>44600</c:v>
                </c:pt>
                <c:pt idx="276">
                  <c:v>44601</c:v>
                </c:pt>
                <c:pt idx="277">
                  <c:v>44602</c:v>
                </c:pt>
                <c:pt idx="278">
                  <c:v>44603</c:v>
                </c:pt>
                <c:pt idx="279">
                  <c:v>44606</c:v>
                </c:pt>
                <c:pt idx="280">
                  <c:v>44607</c:v>
                </c:pt>
                <c:pt idx="281">
                  <c:v>44608</c:v>
                </c:pt>
                <c:pt idx="282">
                  <c:v>44609</c:v>
                </c:pt>
                <c:pt idx="283">
                  <c:v>44610</c:v>
                </c:pt>
                <c:pt idx="284">
                  <c:v>44613</c:v>
                </c:pt>
                <c:pt idx="285">
                  <c:v>44614</c:v>
                </c:pt>
                <c:pt idx="286">
                  <c:v>44615</c:v>
                </c:pt>
                <c:pt idx="287">
                  <c:v>44616</c:v>
                </c:pt>
                <c:pt idx="288">
                  <c:v>44617</c:v>
                </c:pt>
                <c:pt idx="289">
                  <c:v>44620</c:v>
                </c:pt>
                <c:pt idx="290">
                  <c:v>44621</c:v>
                </c:pt>
                <c:pt idx="291">
                  <c:v>44622</c:v>
                </c:pt>
                <c:pt idx="292">
                  <c:v>44623</c:v>
                </c:pt>
                <c:pt idx="293">
                  <c:v>44624</c:v>
                </c:pt>
                <c:pt idx="294">
                  <c:v>44627</c:v>
                </c:pt>
                <c:pt idx="295">
                  <c:v>44628</c:v>
                </c:pt>
                <c:pt idx="296">
                  <c:v>44629</c:v>
                </c:pt>
                <c:pt idx="297">
                  <c:v>44630</c:v>
                </c:pt>
                <c:pt idx="298">
                  <c:v>44631</c:v>
                </c:pt>
                <c:pt idx="299">
                  <c:v>44634</c:v>
                </c:pt>
                <c:pt idx="300">
                  <c:v>44635</c:v>
                </c:pt>
                <c:pt idx="301">
                  <c:v>44636</c:v>
                </c:pt>
                <c:pt idx="302">
                  <c:v>44637</c:v>
                </c:pt>
                <c:pt idx="303">
                  <c:v>44638</c:v>
                </c:pt>
                <c:pt idx="304">
                  <c:v>44641</c:v>
                </c:pt>
                <c:pt idx="305">
                  <c:v>44642</c:v>
                </c:pt>
                <c:pt idx="306">
                  <c:v>44643</c:v>
                </c:pt>
                <c:pt idx="307">
                  <c:v>44644</c:v>
                </c:pt>
                <c:pt idx="308">
                  <c:v>44645</c:v>
                </c:pt>
                <c:pt idx="309">
                  <c:v>44648</c:v>
                </c:pt>
                <c:pt idx="310">
                  <c:v>44649</c:v>
                </c:pt>
                <c:pt idx="311">
                  <c:v>44650</c:v>
                </c:pt>
                <c:pt idx="312">
                  <c:v>44651</c:v>
                </c:pt>
                <c:pt idx="313">
                  <c:v>44652</c:v>
                </c:pt>
                <c:pt idx="314">
                  <c:v>44655</c:v>
                </c:pt>
                <c:pt idx="315">
                  <c:v>44656</c:v>
                </c:pt>
                <c:pt idx="316">
                  <c:v>44657</c:v>
                </c:pt>
                <c:pt idx="317">
                  <c:v>44658</c:v>
                </c:pt>
                <c:pt idx="318">
                  <c:v>44659</c:v>
                </c:pt>
                <c:pt idx="319">
                  <c:v>44662</c:v>
                </c:pt>
                <c:pt idx="320">
                  <c:v>44663</c:v>
                </c:pt>
                <c:pt idx="321">
                  <c:v>44664</c:v>
                </c:pt>
                <c:pt idx="322">
                  <c:v>44665</c:v>
                </c:pt>
                <c:pt idx="323">
                  <c:v>44666</c:v>
                </c:pt>
                <c:pt idx="324">
                  <c:v>44669</c:v>
                </c:pt>
                <c:pt idx="325">
                  <c:v>44670</c:v>
                </c:pt>
                <c:pt idx="326">
                  <c:v>44671</c:v>
                </c:pt>
                <c:pt idx="327">
                  <c:v>44672</c:v>
                </c:pt>
                <c:pt idx="328">
                  <c:v>44673</c:v>
                </c:pt>
                <c:pt idx="329">
                  <c:v>44676</c:v>
                </c:pt>
                <c:pt idx="330">
                  <c:v>44677</c:v>
                </c:pt>
                <c:pt idx="331">
                  <c:v>44678</c:v>
                </c:pt>
                <c:pt idx="332">
                  <c:v>44679</c:v>
                </c:pt>
                <c:pt idx="333">
                  <c:v>44680</c:v>
                </c:pt>
                <c:pt idx="334">
                  <c:v>44683</c:v>
                </c:pt>
                <c:pt idx="335">
                  <c:v>44684</c:v>
                </c:pt>
                <c:pt idx="336">
                  <c:v>44685</c:v>
                </c:pt>
                <c:pt idx="337">
                  <c:v>44686</c:v>
                </c:pt>
                <c:pt idx="338">
                  <c:v>44687</c:v>
                </c:pt>
                <c:pt idx="339">
                  <c:v>44690</c:v>
                </c:pt>
                <c:pt idx="340">
                  <c:v>44691</c:v>
                </c:pt>
                <c:pt idx="341">
                  <c:v>44692</c:v>
                </c:pt>
                <c:pt idx="342">
                  <c:v>44693</c:v>
                </c:pt>
                <c:pt idx="343">
                  <c:v>44694</c:v>
                </c:pt>
                <c:pt idx="344">
                  <c:v>44697</c:v>
                </c:pt>
                <c:pt idx="345">
                  <c:v>44698</c:v>
                </c:pt>
                <c:pt idx="346">
                  <c:v>44699</c:v>
                </c:pt>
                <c:pt idx="347">
                  <c:v>44700</c:v>
                </c:pt>
                <c:pt idx="348">
                  <c:v>44701</c:v>
                </c:pt>
                <c:pt idx="349">
                  <c:v>44704</c:v>
                </c:pt>
                <c:pt idx="350">
                  <c:v>44705</c:v>
                </c:pt>
                <c:pt idx="351">
                  <c:v>44706</c:v>
                </c:pt>
                <c:pt idx="352">
                  <c:v>44707</c:v>
                </c:pt>
                <c:pt idx="353">
                  <c:v>44708</c:v>
                </c:pt>
                <c:pt idx="354">
                  <c:v>44711</c:v>
                </c:pt>
                <c:pt idx="355">
                  <c:v>44712</c:v>
                </c:pt>
                <c:pt idx="356">
                  <c:v>44713</c:v>
                </c:pt>
                <c:pt idx="357">
                  <c:v>44714</c:v>
                </c:pt>
                <c:pt idx="358">
                  <c:v>44715</c:v>
                </c:pt>
                <c:pt idx="359">
                  <c:v>44718</c:v>
                </c:pt>
                <c:pt idx="360">
                  <c:v>44719</c:v>
                </c:pt>
                <c:pt idx="361">
                  <c:v>44720</c:v>
                </c:pt>
                <c:pt idx="362">
                  <c:v>44721</c:v>
                </c:pt>
                <c:pt idx="363">
                  <c:v>44722</c:v>
                </c:pt>
                <c:pt idx="364">
                  <c:v>44725</c:v>
                </c:pt>
                <c:pt idx="365">
                  <c:v>44726</c:v>
                </c:pt>
                <c:pt idx="366">
                  <c:v>44727</c:v>
                </c:pt>
                <c:pt idx="367">
                  <c:v>44728</c:v>
                </c:pt>
                <c:pt idx="368">
                  <c:v>44729</c:v>
                </c:pt>
                <c:pt idx="369">
                  <c:v>44732</c:v>
                </c:pt>
                <c:pt idx="370">
                  <c:v>44733</c:v>
                </c:pt>
                <c:pt idx="371">
                  <c:v>44734</c:v>
                </c:pt>
                <c:pt idx="372">
                  <c:v>44735</c:v>
                </c:pt>
                <c:pt idx="373">
                  <c:v>44736</c:v>
                </c:pt>
                <c:pt idx="374">
                  <c:v>44739</c:v>
                </c:pt>
                <c:pt idx="375">
                  <c:v>44740</c:v>
                </c:pt>
                <c:pt idx="376">
                  <c:v>44741</c:v>
                </c:pt>
                <c:pt idx="377">
                  <c:v>44742</c:v>
                </c:pt>
                <c:pt idx="378">
                  <c:v>44743</c:v>
                </c:pt>
                <c:pt idx="379">
                  <c:v>44746</c:v>
                </c:pt>
                <c:pt idx="380">
                  <c:v>44747</c:v>
                </c:pt>
                <c:pt idx="381">
                  <c:v>44748</c:v>
                </c:pt>
                <c:pt idx="382">
                  <c:v>44749</c:v>
                </c:pt>
                <c:pt idx="383">
                  <c:v>44750</c:v>
                </c:pt>
                <c:pt idx="384">
                  <c:v>44753</c:v>
                </c:pt>
                <c:pt idx="385">
                  <c:v>44754</c:v>
                </c:pt>
                <c:pt idx="386">
                  <c:v>44755</c:v>
                </c:pt>
                <c:pt idx="387">
                  <c:v>44756</c:v>
                </c:pt>
                <c:pt idx="388">
                  <c:v>44757</c:v>
                </c:pt>
                <c:pt idx="389">
                  <c:v>44760</c:v>
                </c:pt>
                <c:pt idx="390">
                  <c:v>44761</c:v>
                </c:pt>
                <c:pt idx="391">
                  <c:v>44762</c:v>
                </c:pt>
                <c:pt idx="392">
                  <c:v>44763</c:v>
                </c:pt>
                <c:pt idx="393">
                  <c:v>44764</c:v>
                </c:pt>
                <c:pt idx="394">
                  <c:v>44767</c:v>
                </c:pt>
                <c:pt idx="395">
                  <c:v>44768</c:v>
                </c:pt>
                <c:pt idx="396">
                  <c:v>44769</c:v>
                </c:pt>
                <c:pt idx="397">
                  <c:v>44770</c:v>
                </c:pt>
                <c:pt idx="398">
                  <c:v>44771</c:v>
                </c:pt>
                <c:pt idx="399">
                  <c:v>44774</c:v>
                </c:pt>
                <c:pt idx="400">
                  <c:v>44775</c:v>
                </c:pt>
                <c:pt idx="401">
                  <c:v>44776</c:v>
                </c:pt>
                <c:pt idx="402">
                  <c:v>44777</c:v>
                </c:pt>
                <c:pt idx="403">
                  <c:v>44778</c:v>
                </c:pt>
                <c:pt idx="404">
                  <c:v>44781</c:v>
                </c:pt>
                <c:pt idx="405">
                  <c:v>44782</c:v>
                </c:pt>
                <c:pt idx="406">
                  <c:v>44783</c:v>
                </c:pt>
                <c:pt idx="407">
                  <c:v>44784</c:v>
                </c:pt>
                <c:pt idx="408">
                  <c:v>44785</c:v>
                </c:pt>
                <c:pt idx="409">
                  <c:v>44788</c:v>
                </c:pt>
                <c:pt idx="410">
                  <c:v>44789</c:v>
                </c:pt>
                <c:pt idx="411">
                  <c:v>44790</c:v>
                </c:pt>
                <c:pt idx="412">
                  <c:v>44791</c:v>
                </c:pt>
                <c:pt idx="413">
                  <c:v>44792</c:v>
                </c:pt>
                <c:pt idx="414">
                  <c:v>44795</c:v>
                </c:pt>
                <c:pt idx="415">
                  <c:v>44796</c:v>
                </c:pt>
                <c:pt idx="416">
                  <c:v>44797</c:v>
                </c:pt>
                <c:pt idx="417">
                  <c:v>44798</c:v>
                </c:pt>
                <c:pt idx="418">
                  <c:v>44799</c:v>
                </c:pt>
                <c:pt idx="419">
                  <c:v>44802</c:v>
                </c:pt>
                <c:pt idx="420">
                  <c:v>44803</c:v>
                </c:pt>
                <c:pt idx="421">
                  <c:v>44804</c:v>
                </c:pt>
                <c:pt idx="422">
                  <c:v>44805</c:v>
                </c:pt>
                <c:pt idx="423">
                  <c:v>44806</c:v>
                </c:pt>
                <c:pt idx="424">
                  <c:v>44809</c:v>
                </c:pt>
                <c:pt idx="425">
                  <c:v>44810</c:v>
                </c:pt>
                <c:pt idx="426">
                  <c:v>44811</c:v>
                </c:pt>
                <c:pt idx="427">
                  <c:v>44812</c:v>
                </c:pt>
                <c:pt idx="428">
                  <c:v>44813</c:v>
                </c:pt>
                <c:pt idx="429">
                  <c:v>44816</c:v>
                </c:pt>
                <c:pt idx="430">
                  <c:v>44817</c:v>
                </c:pt>
                <c:pt idx="431">
                  <c:v>44818</c:v>
                </c:pt>
                <c:pt idx="432">
                  <c:v>44819</c:v>
                </c:pt>
                <c:pt idx="433">
                  <c:v>44820</c:v>
                </c:pt>
                <c:pt idx="434">
                  <c:v>44823</c:v>
                </c:pt>
                <c:pt idx="435">
                  <c:v>44824</c:v>
                </c:pt>
                <c:pt idx="436">
                  <c:v>44826</c:v>
                </c:pt>
                <c:pt idx="437">
                  <c:v>44827</c:v>
                </c:pt>
              </c:numCache>
            </c:numRef>
          </c:cat>
          <c:val>
            <c:numRef>
              <c:f>Sheet1!$D$2:$D$439</c:f>
              <c:numCache>
                <c:formatCode>0</c:formatCode>
                <c:ptCount val="438"/>
                <c:pt idx="0">
                  <c:v>100</c:v>
                </c:pt>
                <c:pt idx="1">
                  <c:v>99.857752489331432</c:v>
                </c:pt>
                <c:pt idx="2">
                  <c:v>99.012693935119884</c:v>
                </c:pt>
                <c:pt idx="3">
                  <c:v>98.319327731092443</c:v>
                </c:pt>
                <c:pt idx="4">
                  <c:v>98.044692737430168</c:v>
                </c:pt>
                <c:pt idx="5">
                  <c:v>98.457223001402539</c:v>
                </c:pt>
                <c:pt idx="6">
                  <c:v>99.857752489331446</c:v>
                </c:pt>
                <c:pt idx="7">
                  <c:v>99.715909090909108</c:v>
                </c:pt>
                <c:pt idx="8">
                  <c:v>99.152542372881371</c:v>
                </c:pt>
                <c:pt idx="9">
                  <c:v>99.574468085106403</c:v>
                </c:pt>
                <c:pt idx="10">
                  <c:v>101.00719424460434</c:v>
                </c:pt>
                <c:pt idx="11">
                  <c:v>102.03488372093027</c:v>
                </c:pt>
                <c:pt idx="12">
                  <c:v>102.33236151603501</c:v>
                </c:pt>
                <c:pt idx="13">
                  <c:v>101.88679245283022</c:v>
                </c:pt>
                <c:pt idx="14">
                  <c:v>103.23529411764709</c:v>
                </c:pt>
                <c:pt idx="15">
                  <c:v>102.18340611353715</c:v>
                </c:pt>
                <c:pt idx="16">
                  <c:v>102.63157894736847</c:v>
                </c:pt>
                <c:pt idx="17">
                  <c:v>102.63157894736847</c:v>
                </c:pt>
                <c:pt idx="18">
                  <c:v>101.73913043478265</c:v>
                </c:pt>
                <c:pt idx="19">
                  <c:v>101.00719424460436</c:v>
                </c:pt>
                <c:pt idx="20">
                  <c:v>100.14265335235383</c:v>
                </c:pt>
                <c:pt idx="21">
                  <c:v>99.433427762039713</c:v>
                </c:pt>
                <c:pt idx="22">
                  <c:v>99.012693935119941</c:v>
                </c:pt>
                <c:pt idx="23">
                  <c:v>98.734177215189916</c:v>
                </c:pt>
                <c:pt idx="24">
                  <c:v>99.433427762039727</c:v>
                </c:pt>
                <c:pt idx="25">
                  <c:v>98.044692737430225</c:v>
                </c:pt>
                <c:pt idx="26">
                  <c:v>98.044692737430225</c:v>
                </c:pt>
                <c:pt idx="27">
                  <c:v>98.734177215189931</c:v>
                </c:pt>
                <c:pt idx="28">
                  <c:v>98.595505617977594</c:v>
                </c:pt>
                <c:pt idx="29">
                  <c:v>98.873239436619784</c:v>
                </c:pt>
                <c:pt idx="30">
                  <c:v>99.857752489331489</c:v>
                </c:pt>
                <c:pt idx="31">
                  <c:v>99.152542372881399</c:v>
                </c:pt>
                <c:pt idx="32">
                  <c:v>98.044692737430211</c:v>
                </c:pt>
                <c:pt idx="33">
                  <c:v>98.044692737430211</c:v>
                </c:pt>
                <c:pt idx="34">
                  <c:v>99.152542372881413</c:v>
                </c:pt>
                <c:pt idx="35">
                  <c:v>98.457223001402582</c:v>
                </c:pt>
                <c:pt idx="36">
                  <c:v>99.292786421499329</c:v>
                </c:pt>
                <c:pt idx="37">
                  <c:v>98.319327731092471</c:v>
                </c:pt>
                <c:pt idx="38">
                  <c:v>98.734177215189902</c:v>
                </c:pt>
                <c:pt idx="39">
                  <c:v>99.857752489331475</c:v>
                </c:pt>
                <c:pt idx="40">
                  <c:v>98.87323943661977</c:v>
                </c:pt>
                <c:pt idx="41">
                  <c:v>98.734177215189916</c:v>
                </c:pt>
                <c:pt idx="42">
                  <c:v>98.044692737430211</c:v>
                </c:pt>
                <c:pt idx="43">
                  <c:v>98.181818181818215</c:v>
                </c:pt>
                <c:pt idx="44">
                  <c:v>97.364771151178957</c:v>
                </c:pt>
                <c:pt idx="45">
                  <c:v>96.961325966850865</c:v>
                </c:pt>
                <c:pt idx="46">
                  <c:v>97.229916897506953</c:v>
                </c:pt>
                <c:pt idx="47">
                  <c:v>98.044692737430182</c:v>
                </c:pt>
                <c:pt idx="48">
                  <c:v>98.595505617977537</c:v>
                </c:pt>
                <c:pt idx="49">
                  <c:v>99.012693935119898</c:v>
                </c:pt>
                <c:pt idx="50">
                  <c:v>101.2987012987013</c:v>
                </c:pt>
                <c:pt idx="51">
                  <c:v>100.71736011477762</c:v>
                </c:pt>
                <c:pt idx="52">
                  <c:v>100.86206896551724</c:v>
                </c:pt>
                <c:pt idx="53">
                  <c:v>100.57306590257879</c:v>
                </c:pt>
                <c:pt idx="54">
                  <c:v>100.57306590257879</c:v>
                </c:pt>
                <c:pt idx="55">
                  <c:v>100.42918454935622</c:v>
                </c:pt>
                <c:pt idx="56">
                  <c:v>100.00000000000001</c:v>
                </c:pt>
                <c:pt idx="57">
                  <c:v>100.14265335235379</c:v>
                </c:pt>
                <c:pt idx="58">
                  <c:v>100.28571428571429</c:v>
                </c:pt>
                <c:pt idx="59">
                  <c:v>100.42918454935622</c:v>
                </c:pt>
                <c:pt idx="60">
                  <c:v>100.28571428571428</c:v>
                </c:pt>
                <c:pt idx="61">
                  <c:v>101.44508670520231</c:v>
                </c:pt>
                <c:pt idx="62">
                  <c:v>100.71736011477762</c:v>
                </c:pt>
                <c:pt idx="63">
                  <c:v>101.7391304347826</c:v>
                </c:pt>
                <c:pt idx="64">
                  <c:v>102.7818448023426</c:v>
                </c:pt>
                <c:pt idx="65">
                  <c:v>104.30906389301634</c:v>
                </c:pt>
                <c:pt idx="66">
                  <c:v>102.33236151603499</c:v>
                </c:pt>
                <c:pt idx="67">
                  <c:v>103.38733431516937</c:v>
                </c:pt>
                <c:pt idx="68">
                  <c:v>101.88679245283019</c:v>
                </c:pt>
                <c:pt idx="69">
                  <c:v>102.1834061135371</c:v>
                </c:pt>
                <c:pt idx="70">
                  <c:v>102.48175182481751</c:v>
                </c:pt>
                <c:pt idx="71">
                  <c:v>103.38733431516935</c:v>
                </c:pt>
                <c:pt idx="72">
                  <c:v>102.33236151603498</c:v>
                </c:pt>
                <c:pt idx="73">
                  <c:v>101.15273775216139</c:v>
                </c:pt>
                <c:pt idx="74">
                  <c:v>101.00719424460432</c:v>
                </c:pt>
                <c:pt idx="75">
                  <c:v>101.15273775216139</c:v>
                </c:pt>
                <c:pt idx="76">
                  <c:v>101.00719424460432</c:v>
                </c:pt>
                <c:pt idx="77">
                  <c:v>100.14265335235379</c:v>
                </c:pt>
                <c:pt idx="78">
                  <c:v>101.00719424460431</c:v>
                </c:pt>
                <c:pt idx="79">
                  <c:v>102.18340611353712</c:v>
                </c:pt>
                <c:pt idx="80">
                  <c:v>101.2987012987013</c:v>
                </c:pt>
                <c:pt idx="81">
                  <c:v>100.71736011477762</c:v>
                </c:pt>
                <c:pt idx="82">
                  <c:v>100.42918454935622</c:v>
                </c:pt>
                <c:pt idx="83">
                  <c:v>99.574468085106389</c:v>
                </c:pt>
                <c:pt idx="84">
                  <c:v>99.43342776203967</c:v>
                </c:pt>
                <c:pt idx="85">
                  <c:v>99.43342776203967</c:v>
                </c:pt>
                <c:pt idx="86">
                  <c:v>99.857752489331432</c:v>
                </c:pt>
                <c:pt idx="87">
                  <c:v>99.857752489331432</c:v>
                </c:pt>
                <c:pt idx="88">
                  <c:v>99.43342776203967</c:v>
                </c:pt>
                <c:pt idx="89">
                  <c:v>99.43342776203967</c:v>
                </c:pt>
                <c:pt idx="90">
                  <c:v>99.152542372881356</c:v>
                </c:pt>
                <c:pt idx="91">
                  <c:v>99.292786421499287</c:v>
                </c:pt>
                <c:pt idx="92">
                  <c:v>99.292786421499287</c:v>
                </c:pt>
                <c:pt idx="93">
                  <c:v>99.012693935119898</c:v>
                </c:pt>
                <c:pt idx="94">
                  <c:v>99.292786421499287</c:v>
                </c:pt>
                <c:pt idx="95">
                  <c:v>98.873239436619727</c:v>
                </c:pt>
                <c:pt idx="96">
                  <c:v>99.152542372881356</c:v>
                </c:pt>
                <c:pt idx="97">
                  <c:v>99.012693935119884</c:v>
                </c:pt>
                <c:pt idx="98">
                  <c:v>99.012693935119884</c:v>
                </c:pt>
                <c:pt idx="99">
                  <c:v>99.152542372881356</c:v>
                </c:pt>
                <c:pt idx="100">
                  <c:v>99.152542372881356</c:v>
                </c:pt>
                <c:pt idx="101">
                  <c:v>98.734177215189874</c:v>
                </c:pt>
                <c:pt idx="102">
                  <c:v>98.873239436619713</c:v>
                </c:pt>
                <c:pt idx="103">
                  <c:v>98.319327731092429</c:v>
                </c:pt>
                <c:pt idx="104">
                  <c:v>98.181818181818159</c:v>
                </c:pt>
                <c:pt idx="105">
                  <c:v>97.499999999999986</c:v>
                </c:pt>
                <c:pt idx="106">
                  <c:v>97.635605006954094</c:v>
                </c:pt>
                <c:pt idx="107">
                  <c:v>96.961325966850822</c:v>
                </c:pt>
                <c:pt idx="108">
                  <c:v>98.181818181818173</c:v>
                </c:pt>
                <c:pt idx="109">
                  <c:v>97.771587743732582</c:v>
                </c:pt>
                <c:pt idx="110">
                  <c:v>98.044692737430168</c:v>
                </c:pt>
                <c:pt idx="111">
                  <c:v>99.012693935119884</c:v>
                </c:pt>
                <c:pt idx="112">
                  <c:v>98.595505617977523</c:v>
                </c:pt>
                <c:pt idx="113">
                  <c:v>99.857752489331432</c:v>
                </c:pt>
                <c:pt idx="114">
                  <c:v>100.14265335235378</c:v>
                </c:pt>
                <c:pt idx="115">
                  <c:v>99.574468085106375</c:v>
                </c:pt>
                <c:pt idx="116">
                  <c:v>99.857752489331418</c:v>
                </c:pt>
                <c:pt idx="117">
                  <c:v>101.44508670520229</c:v>
                </c:pt>
                <c:pt idx="118">
                  <c:v>101.88679245283018</c:v>
                </c:pt>
                <c:pt idx="119">
                  <c:v>102.63157894736841</c:v>
                </c:pt>
                <c:pt idx="120">
                  <c:v>103.53982300884955</c:v>
                </c:pt>
                <c:pt idx="121">
                  <c:v>103.23529411764706</c:v>
                </c:pt>
                <c:pt idx="122">
                  <c:v>104.46428571428571</c:v>
                </c:pt>
                <c:pt idx="123">
                  <c:v>103.99999999999999</c:v>
                </c:pt>
                <c:pt idx="124">
                  <c:v>105.24737631184408</c:v>
                </c:pt>
                <c:pt idx="125">
                  <c:v>106.36363636363637</c:v>
                </c:pt>
                <c:pt idx="126">
                  <c:v>105.24737631184409</c:v>
                </c:pt>
                <c:pt idx="127">
                  <c:v>105.72289156626508</c:v>
                </c:pt>
                <c:pt idx="128">
                  <c:v>104.77611940298507</c:v>
                </c:pt>
                <c:pt idx="129">
                  <c:v>104.93273542600897</c:v>
                </c:pt>
                <c:pt idx="130">
                  <c:v>104.93273542600897</c:v>
                </c:pt>
                <c:pt idx="131">
                  <c:v>105.08982035928146</c:v>
                </c:pt>
                <c:pt idx="132">
                  <c:v>106.20272314674736</c:v>
                </c:pt>
                <c:pt idx="133">
                  <c:v>106.52503793626708</c:v>
                </c:pt>
                <c:pt idx="134">
                  <c:v>107.01219512195124</c:v>
                </c:pt>
                <c:pt idx="135">
                  <c:v>106.84931506849315</c:v>
                </c:pt>
                <c:pt idx="136">
                  <c:v>106.84931506849315</c:v>
                </c:pt>
                <c:pt idx="137">
                  <c:v>107.66871165644173</c:v>
                </c:pt>
                <c:pt idx="138">
                  <c:v>107.50382848392037</c:v>
                </c:pt>
                <c:pt idx="139">
                  <c:v>107.01219512195124</c:v>
                </c:pt>
                <c:pt idx="140">
                  <c:v>106.04229607250757</c:v>
                </c:pt>
                <c:pt idx="141">
                  <c:v>105.40540540540542</c:v>
                </c:pt>
                <c:pt idx="142">
                  <c:v>104.93273542600897</c:v>
                </c:pt>
                <c:pt idx="143">
                  <c:v>104.15430267062315</c:v>
                </c:pt>
                <c:pt idx="144">
                  <c:v>103.84615384615387</c:v>
                </c:pt>
                <c:pt idx="145">
                  <c:v>104.00000000000001</c:v>
                </c:pt>
                <c:pt idx="146">
                  <c:v>104.30906389301636</c:v>
                </c:pt>
                <c:pt idx="147">
                  <c:v>104.93273542600899</c:v>
                </c:pt>
                <c:pt idx="148">
                  <c:v>105.24737631184409</c:v>
                </c:pt>
                <c:pt idx="149">
                  <c:v>105.88235294117648</c:v>
                </c:pt>
                <c:pt idx="150">
                  <c:v>104.93273542600897</c:v>
                </c:pt>
                <c:pt idx="151">
                  <c:v>104.77611940298509</c:v>
                </c:pt>
                <c:pt idx="152">
                  <c:v>104.6199701937407</c:v>
                </c:pt>
                <c:pt idx="153">
                  <c:v>104.77611940298509</c:v>
                </c:pt>
                <c:pt idx="154">
                  <c:v>105.08982035928145</c:v>
                </c:pt>
                <c:pt idx="155">
                  <c:v>106.04229607250757</c:v>
                </c:pt>
                <c:pt idx="156">
                  <c:v>106.68693009118542</c:v>
                </c:pt>
                <c:pt idx="157">
                  <c:v>106.04229607250755</c:v>
                </c:pt>
                <c:pt idx="158">
                  <c:v>105.72289156626508</c:v>
                </c:pt>
                <c:pt idx="159">
                  <c:v>105.08982035928145</c:v>
                </c:pt>
                <c:pt idx="160">
                  <c:v>105.40540540540542</c:v>
                </c:pt>
                <c:pt idx="161">
                  <c:v>105.24737631184409</c:v>
                </c:pt>
                <c:pt idx="162">
                  <c:v>104.77611940298509</c:v>
                </c:pt>
                <c:pt idx="163">
                  <c:v>104.30906389301636</c:v>
                </c:pt>
                <c:pt idx="164">
                  <c:v>104.00000000000001</c:v>
                </c:pt>
                <c:pt idx="165">
                  <c:v>103.53982300884957</c:v>
                </c:pt>
                <c:pt idx="166">
                  <c:v>103.53982300884957</c:v>
                </c:pt>
                <c:pt idx="167">
                  <c:v>103.84615384615387</c:v>
                </c:pt>
                <c:pt idx="168">
                  <c:v>104.15430267062317</c:v>
                </c:pt>
                <c:pt idx="169">
                  <c:v>104.46428571428574</c:v>
                </c:pt>
                <c:pt idx="170">
                  <c:v>104.00000000000001</c:v>
                </c:pt>
                <c:pt idx="171">
                  <c:v>103.69276218611523</c:v>
                </c:pt>
                <c:pt idx="172">
                  <c:v>104.15430267062315</c:v>
                </c:pt>
                <c:pt idx="173">
                  <c:v>104.46428571428572</c:v>
                </c:pt>
                <c:pt idx="174">
                  <c:v>104.61997019374068</c:v>
                </c:pt>
                <c:pt idx="175">
                  <c:v>104.46428571428571</c:v>
                </c:pt>
                <c:pt idx="176">
                  <c:v>105.08982035928142</c:v>
                </c:pt>
                <c:pt idx="177">
                  <c:v>105.56390977443606</c:v>
                </c:pt>
                <c:pt idx="178">
                  <c:v>105.40540540540538</c:v>
                </c:pt>
                <c:pt idx="179">
                  <c:v>106.20272314674733</c:v>
                </c:pt>
                <c:pt idx="180">
                  <c:v>106.36363636363636</c:v>
                </c:pt>
                <c:pt idx="181">
                  <c:v>105.88235294117646</c:v>
                </c:pt>
                <c:pt idx="182">
                  <c:v>105.72289156626505</c:v>
                </c:pt>
                <c:pt idx="183">
                  <c:v>105.56390977443607</c:v>
                </c:pt>
                <c:pt idx="184">
                  <c:v>105.40540540540539</c:v>
                </c:pt>
                <c:pt idx="185">
                  <c:v>105.72289156626505</c:v>
                </c:pt>
                <c:pt idx="186">
                  <c:v>105.56390977443607</c:v>
                </c:pt>
                <c:pt idx="187">
                  <c:v>105.24737631184406</c:v>
                </c:pt>
                <c:pt idx="188">
                  <c:v>105.72289156626505</c:v>
                </c:pt>
                <c:pt idx="189">
                  <c:v>105.40540540540539</c:v>
                </c:pt>
                <c:pt idx="190">
                  <c:v>105.56390977443606</c:v>
                </c:pt>
                <c:pt idx="191">
                  <c:v>105.0898203592814</c:v>
                </c:pt>
                <c:pt idx="192">
                  <c:v>105.40540540540538</c:v>
                </c:pt>
                <c:pt idx="193">
                  <c:v>105.0898203592814</c:v>
                </c:pt>
                <c:pt idx="194">
                  <c:v>104.93273542600893</c:v>
                </c:pt>
                <c:pt idx="195">
                  <c:v>104.46428571428569</c:v>
                </c:pt>
                <c:pt idx="196">
                  <c:v>104.61997019374066</c:v>
                </c:pt>
                <c:pt idx="197">
                  <c:v>104.15430267062311</c:v>
                </c:pt>
                <c:pt idx="198">
                  <c:v>104.61997019374066</c:v>
                </c:pt>
                <c:pt idx="199">
                  <c:v>104.77611940298505</c:v>
                </c:pt>
                <c:pt idx="200">
                  <c:v>103.99999999999997</c:v>
                </c:pt>
                <c:pt idx="201">
                  <c:v>103.23529411764703</c:v>
                </c:pt>
                <c:pt idx="202">
                  <c:v>102.0348837209302</c:v>
                </c:pt>
                <c:pt idx="203">
                  <c:v>103.53982300884951</c:v>
                </c:pt>
                <c:pt idx="204">
                  <c:v>103.38733431516933</c:v>
                </c:pt>
                <c:pt idx="205">
                  <c:v>103.69276218611517</c:v>
                </c:pt>
                <c:pt idx="206">
                  <c:v>104.1543026706231</c:v>
                </c:pt>
                <c:pt idx="207">
                  <c:v>105.72289156626503</c:v>
                </c:pt>
                <c:pt idx="208">
                  <c:v>105.72289156626503</c:v>
                </c:pt>
                <c:pt idx="209">
                  <c:v>105.56390977443606</c:v>
                </c:pt>
                <c:pt idx="210">
                  <c:v>105.72289156626503</c:v>
                </c:pt>
                <c:pt idx="211">
                  <c:v>105.24737631184405</c:v>
                </c:pt>
                <c:pt idx="212">
                  <c:v>104.77611940298505</c:v>
                </c:pt>
                <c:pt idx="213">
                  <c:v>104.30906389301632</c:v>
                </c:pt>
                <c:pt idx="214">
                  <c:v>104.77611940298505</c:v>
                </c:pt>
                <c:pt idx="215">
                  <c:v>106.52503793626704</c:v>
                </c:pt>
                <c:pt idx="216">
                  <c:v>106.84931506849311</c:v>
                </c:pt>
                <c:pt idx="217">
                  <c:v>107.17557251908394</c:v>
                </c:pt>
                <c:pt idx="218">
                  <c:v>107.33944954128437</c:v>
                </c:pt>
                <c:pt idx="219">
                  <c:v>107.33944954128437</c:v>
                </c:pt>
                <c:pt idx="220">
                  <c:v>107.99999999999997</c:v>
                </c:pt>
                <c:pt idx="221">
                  <c:v>109.17573872472781</c:v>
                </c:pt>
                <c:pt idx="222">
                  <c:v>110.20408163265301</c:v>
                </c:pt>
                <c:pt idx="223">
                  <c:v>109.68749999999994</c:v>
                </c:pt>
                <c:pt idx="224">
                  <c:v>109.00621118012417</c:v>
                </c:pt>
                <c:pt idx="225">
                  <c:v>110.03134796238241</c:v>
                </c:pt>
                <c:pt idx="226">
                  <c:v>108.3333333333333</c:v>
                </c:pt>
                <c:pt idx="227">
                  <c:v>107.99999999999997</c:v>
                </c:pt>
                <c:pt idx="228">
                  <c:v>106.36363636363633</c:v>
                </c:pt>
                <c:pt idx="229">
                  <c:v>106.2027231467473</c:v>
                </c:pt>
                <c:pt idx="230">
                  <c:v>105.56390977443604</c:v>
                </c:pt>
                <c:pt idx="231">
                  <c:v>105.40540540540536</c:v>
                </c:pt>
                <c:pt idx="232">
                  <c:v>106.0422960725075</c:v>
                </c:pt>
                <c:pt idx="233">
                  <c:v>104.77611940298502</c:v>
                </c:pt>
                <c:pt idx="234">
                  <c:v>104.46428571428565</c:v>
                </c:pt>
                <c:pt idx="235">
                  <c:v>104.15430267062307</c:v>
                </c:pt>
                <c:pt idx="236">
                  <c:v>104.15430267062307</c:v>
                </c:pt>
                <c:pt idx="237">
                  <c:v>105.72289156626501</c:v>
                </c:pt>
                <c:pt idx="238">
                  <c:v>107.50382848392032</c:v>
                </c:pt>
                <c:pt idx="239">
                  <c:v>107.50382848392032</c:v>
                </c:pt>
                <c:pt idx="240">
                  <c:v>107.50382848392032</c:v>
                </c:pt>
                <c:pt idx="241">
                  <c:v>108.50077279752699</c:v>
                </c:pt>
                <c:pt idx="242">
                  <c:v>107.83410138248843</c:v>
                </c:pt>
                <c:pt idx="243">
                  <c:v>108.16640986132505</c:v>
                </c:pt>
                <c:pt idx="244">
                  <c:v>107.66871165644167</c:v>
                </c:pt>
                <c:pt idx="245">
                  <c:v>107.83410138248844</c:v>
                </c:pt>
                <c:pt idx="246">
                  <c:v>107.83410138248844</c:v>
                </c:pt>
                <c:pt idx="247">
                  <c:v>108.16640986132506</c:v>
                </c:pt>
                <c:pt idx="248">
                  <c:v>107.99999999999996</c:v>
                </c:pt>
                <c:pt idx="249">
                  <c:v>109.34579439252332</c:v>
                </c:pt>
                <c:pt idx="250">
                  <c:v>108.33333333333329</c:v>
                </c:pt>
                <c:pt idx="251">
                  <c:v>109.00621118012417</c:v>
                </c:pt>
                <c:pt idx="252">
                  <c:v>110.204081632653</c:v>
                </c:pt>
                <c:pt idx="253">
                  <c:v>110.03134796238238</c:v>
                </c:pt>
                <c:pt idx="254">
                  <c:v>109.00621118012415</c:v>
                </c:pt>
                <c:pt idx="255">
                  <c:v>109.00621118012415</c:v>
                </c:pt>
                <c:pt idx="256">
                  <c:v>108.50077279752699</c:v>
                </c:pt>
                <c:pt idx="257">
                  <c:v>109.00621118012415</c:v>
                </c:pt>
                <c:pt idx="258">
                  <c:v>111.07594936708855</c:v>
                </c:pt>
                <c:pt idx="259">
                  <c:v>111.42857142857137</c:v>
                </c:pt>
                <c:pt idx="260">
                  <c:v>111.78343949044579</c:v>
                </c:pt>
                <c:pt idx="261">
                  <c:v>111.42857142857137</c:v>
                </c:pt>
                <c:pt idx="262">
                  <c:v>111.60572337042919</c:v>
                </c:pt>
                <c:pt idx="263">
                  <c:v>111.42857142857136</c:v>
                </c:pt>
                <c:pt idx="264">
                  <c:v>113.77633711507286</c:v>
                </c:pt>
                <c:pt idx="265">
                  <c:v>114.33224755700319</c:v>
                </c:pt>
                <c:pt idx="266">
                  <c:v>115.08196721311467</c:v>
                </c:pt>
                <c:pt idx="267">
                  <c:v>114.51876019575847</c:v>
                </c:pt>
                <c:pt idx="268">
                  <c:v>112.68057784911707</c:v>
                </c:pt>
                <c:pt idx="269">
                  <c:v>111.78343949044576</c:v>
                </c:pt>
                <c:pt idx="270">
                  <c:v>111.0759493670885</c:v>
                </c:pt>
                <c:pt idx="271">
                  <c:v>111.42857142857132</c:v>
                </c:pt>
                <c:pt idx="272">
                  <c:v>110.72555205047308</c:v>
                </c:pt>
                <c:pt idx="273">
                  <c:v>110.20408163265296</c:v>
                </c:pt>
                <c:pt idx="274">
                  <c:v>110.20408163265296</c:v>
                </c:pt>
                <c:pt idx="275">
                  <c:v>109.51638065522611</c:v>
                </c:pt>
                <c:pt idx="276">
                  <c:v>109.51638065522611</c:v>
                </c:pt>
                <c:pt idx="277">
                  <c:v>110.03134796238236</c:v>
                </c:pt>
                <c:pt idx="278">
                  <c:v>113.4087237479805</c:v>
                </c:pt>
                <c:pt idx="279">
                  <c:v>110.72555205047308</c:v>
                </c:pt>
                <c:pt idx="280">
                  <c:v>110.03134796238234</c:v>
                </c:pt>
                <c:pt idx="281">
                  <c:v>111.42857142857132</c:v>
                </c:pt>
                <c:pt idx="282">
                  <c:v>111.07594936708848</c:v>
                </c:pt>
                <c:pt idx="283">
                  <c:v>112.86173633440502</c:v>
                </c:pt>
                <c:pt idx="284">
                  <c:v>117.19532554257081</c:v>
                </c:pt>
                <c:pt idx="285">
                  <c:v>116.41791044776106</c:v>
                </c:pt>
                <c:pt idx="286">
                  <c:v>123.37434094903325</c:v>
                </c:pt>
                <c:pt idx="287">
                  <c:v>121.4532871972317</c:v>
                </c:pt>
                <c:pt idx="288">
                  <c:v>146.55532359081406</c:v>
                </c:pt>
                <c:pt idx="289">
                  <c:v>147.16981132075458</c:v>
                </c:pt>
                <c:pt idx="290">
                  <c:v>153.61050328227554</c:v>
                </c:pt>
                <c:pt idx="291">
                  <c:v>164.78873239436604</c:v>
                </c:pt>
                <c:pt idx="292">
                  <c:v>153.61050328227554</c:v>
                </c:pt>
                <c:pt idx="293">
                  <c:v>187.70053475935808</c:v>
                </c:pt>
                <c:pt idx="294">
                  <c:v>161.75115207373256</c:v>
                </c:pt>
                <c:pt idx="295">
                  <c:v>160.64073226544605</c:v>
                </c:pt>
                <c:pt idx="296">
                  <c:v>154.28571428571411</c:v>
                </c:pt>
                <c:pt idx="297">
                  <c:v>150.64377682403415</c:v>
                </c:pt>
                <c:pt idx="298">
                  <c:v>152.2776572668111</c:v>
                </c:pt>
                <c:pt idx="299">
                  <c:v>150.9677419354837</c:v>
                </c:pt>
                <c:pt idx="300">
                  <c:v>150.9677419354837</c:v>
                </c:pt>
                <c:pt idx="301">
                  <c:v>146.55532359081403</c:v>
                </c:pt>
                <c:pt idx="302">
                  <c:v>149.68017057569278</c:v>
                </c:pt>
                <c:pt idx="303">
                  <c:v>149.99999999999986</c:v>
                </c:pt>
                <c:pt idx="304">
                  <c:v>147.16981132075458</c:v>
                </c:pt>
                <c:pt idx="305">
                  <c:v>136.57587548638119</c:v>
                </c:pt>
                <c:pt idx="306">
                  <c:v>134.2256214149138</c:v>
                </c:pt>
                <c:pt idx="307">
                  <c:v>134.2256214149138</c:v>
                </c:pt>
                <c:pt idx="308">
                  <c:v>121.66377816291148</c:v>
                </c:pt>
                <c:pt idx="309">
                  <c:v>120.41166380789009</c:v>
                </c:pt>
                <c:pt idx="310">
                  <c:v>117.39130434782595</c:v>
                </c:pt>
                <c:pt idx="311">
                  <c:v>120.82616179001708</c:v>
                </c:pt>
                <c:pt idx="312">
                  <c:v>120.82616179001708</c:v>
                </c:pt>
                <c:pt idx="313">
                  <c:v>121.24352331606204</c:v>
                </c:pt>
                <c:pt idx="314">
                  <c:v>119.99999999999987</c:v>
                </c:pt>
                <c:pt idx="315">
                  <c:v>112.14057507987208</c:v>
                </c:pt>
                <c:pt idx="316">
                  <c:v>110.20408163265294</c:v>
                </c:pt>
                <c:pt idx="317">
                  <c:v>115.84158415841573</c:v>
                </c:pt>
                <c:pt idx="318">
                  <c:v>117.78523489932874</c:v>
                </c:pt>
                <c:pt idx="319">
                  <c:v>118.78172588832476</c:v>
                </c:pt>
                <c:pt idx="320">
                  <c:v>121.24352331606207</c:v>
                </c:pt>
                <c:pt idx="321">
                  <c:v>119.18505942275033</c:v>
                </c:pt>
                <c:pt idx="322">
                  <c:v>117.58793969849236</c:v>
                </c:pt>
                <c:pt idx="323">
                  <c:v>117.78523489932876</c:v>
                </c:pt>
                <c:pt idx="324">
                  <c:v>115.65074135090599</c:v>
                </c:pt>
                <c:pt idx="325">
                  <c:v>111.42857142857133</c:v>
                </c:pt>
                <c:pt idx="326">
                  <c:v>109.68749999999989</c:v>
                </c:pt>
                <c:pt idx="327">
                  <c:v>110.03134796238234</c:v>
                </c:pt>
                <c:pt idx="328">
                  <c:v>109.85915492957737</c:v>
                </c:pt>
                <c:pt idx="329">
                  <c:v>111.0759493670885</c:v>
                </c:pt>
                <c:pt idx="330">
                  <c:v>111.0759493670885</c:v>
                </c:pt>
                <c:pt idx="331">
                  <c:v>109.6874999999999</c:v>
                </c:pt>
                <c:pt idx="332">
                  <c:v>110.7255520504731</c:v>
                </c:pt>
                <c:pt idx="333">
                  <c:v>107.8341013824884</c:v>
                </c:pt>
                <c:pt idx="334">
                  <c:v>106.20272314674727</c:v>
                </c:pt>
                <c:pt idx="335">
                  <c:v>99.999999999999943</c:v>
                </c:pt>
                <c:pt idx="336">
                  <c:v>99.152542372881285</c:v>
                </c:pt>
                <c:pt idx="337">
                  <c:v>103.08370044052857</c:v>
                </c:pt>
                <c:pt idx="338">
                  <c:v>102.33236151603491</c:v>
                </c:pt>
                <c:pt idx="339">
                  <c:v>99.999999999999943</c:v>
                </c:pt>
                <c:pt idx="340">
                  <c:v>99.29278642149923</c:v>
                </c:pt>
                <c:pt idx="341">
                  <c:v>97.364771151178857</c:v>
                </c:pt>
                <c:pt idx="342">
                  <c:v>97.771587743732525</c:v>
                </c:pt>
                <c:pt idx="343">
                  <c:v>97.229916897506854</c:v>
                </c:pt>
                <c:pt idx="344">
                  <c:v>94.864864864864785</c:v>
                </c:pt>
                <c:pt idx="345">
                  <c:v>89.884763124199679</c:v>
                </c:pt>
                <c:pt idx="346">
                  <c:v>88.973384030418188</c:v>
                </c:pt>
                <c:pt idx="347">
                  <c:v>87.531172069825374</c:v>
                </c:pt>
                <c:pt idx="348">
                  <c:v>87.313432835820834</c:v>
                </c:pt>
                <c:pt idx="349">
                  <c:v>99.715909090909008</c:v>
                </c:pt>
                <c:pt idx="350">
                  <c:v>102.78184480234252</c:v>
                </c:pt>
                <c:pt idx="351">
                  <c:v>95.640326975476768</c:v>
                </c:pt>
                <c:pt idx="352">
                  <c:v>95.770804911323268</c:v>
                </c:pt>
                <c:pt idx="353">
                  <c:v>96.561210453920154</c:v>
                </c:pt>
                <c:pt idx="354">
                  <c:v>97.635605006954023</c:v>
                </c:pt>
                <c:pt idx="355">
                  <c:v>98.319327731092372</c:v>
                </c:pt>
                <c:pt idx="356">
                  <c:v>97.635605006954037</c:v>
                </c:pt>
                <c:pt idx="357">
                  <c:v>98.734177215189803</c:v>
                </c:pt>
                <c:pt idx="358">
                  <c:v>97.907949790794916</c:v>
                </c:pt>
                <c:pt idx="359">
                  <c:v>94.864864864864799</c:v>
                </c:pt>
                <c:pt idx="360">
                  <c:v>94.993234100135254</c:v>
                </c:pt>
                <c:pt idx="361">
                  <c:v>95.251017639077276</c:v>
                </c:pt>
                <c:pt idx="362">
                  <c:v>94.993234100135254</c:v>
                </c:pt>
                <c:pt idx="363">
                  <c:v>93.72496662216281</c:v>
                </c:pt>
                <c:pt idx="364">
                  <c:v>92.85714285714279</c:v>
                </c:pt>
                <c:pt idx="365">
                  <c:v>93.227091633466074</c:v>
                </c:pt>
                <c:pt idx="366">
                  <c:v>93.4753661784287</c:v>
                </c:pt>
                <c:pt idx="367">
                  <c:v>91.764705882352871</c:v>
                </c:pt>
                <c:pt idx="368">
                  <c:v>90.463917525773127</c:v>
                </c:pt>
                <c:pt idx="369">
                  <c:v>90.697674418604564</c:v>
                </c:pt>
                <c:pt idx="370">
                  <c:v>91.525423728813479</c:v>
                </c:pt>
                <c:pt idx="371">
                  <c:v>91.287386215864672</c:v>
                </c:pt>
                <c:pt idx="372">
                  <c:v>90.93264248704655</c:v>
                </c:pt>
                <c:pt idx="373">
                  <c:v>89.655172413793011</c:v>
                </c:pt>
                <c:pt idx="374">
                  <c:v>90.580645161290221</c:v>
                </c:pt>
                <c:pt idx="375">
                  <c:v>91.287386215864643</c:v>
                </c:pt>
                <c:pt idx="376">
                  <c:v>90.932642487046522</c:v>
                </c:pt>
                <c:pt idx="377">
                  <c:v>89.655172413792982</c:v>
                </c:pt>
                <c:pt idx="378">
                  <c:v>90.580645161290192</c:v>
                </c:pt>
                <c:pt idx="379">
                  <c:v>94.10187667560308</c:v>
                </c:pt>
                <c:pt idx="380">
                  <c:v>94.736842105263008</c:v>
                </c:pt>
                <c:pt idx="381">
                  <c:v>106.20272314674719</c:v>
                </c:pt>
                <c:pt idx="382">
                  <c:v>107.99999999999984</c:v>
                </c:pt>
                <c:pt idx="383">
                  <c:v>104.46428571428557</c:v>
                </c:pt>
                <c:pt idx="384">
                  <c:v>104.93273542600882</c:v>
                </c:pt>
                <c:pt idx="385">
                  <c:v>99.999999999999872</c:v>
                </c:pt>
                <c:pt idx="386">
                  <c:v>99.433427762039528</c:v>
                </c:pt>
                <c:pt idx="387">
                  <c:v>99.292786421499159</c:v>
                </c:pt>
                <c:pt idx="388">
                  <c:v>96.827586206896427</c:v>
                </c:pt>
                <c:pt idx="389">
                  <c:v>95.251017639077219</c:v>
                </c:pt>
                <c:pt idx="390">
                  <c:v>93.227091633466017</c:v>
                </c:pt>
                <c:pt idx="391">
                  <c:v>92.980132450331013</c:v>
                </c:pt>
                <c:pt idx="392">
                  <c:v>96.961325966850708</c:v>
                </c:pt>
                <c:pt idx="393">
                  <c:v>97.907949790794859</c:v>
                </c:pt>
                <c:pt idx="394">
                  <c:v>99.012693935119771</c:v>
                </c:pt>
                <c:pt idx="395">
                  <c:v>100.57306590257866</c:v>
                </c:pt>
                <c:pt idx="396">
                  <c:v>103.38733431516924</c:v>
                </c:pt>
                <c:pt idx="397">
                  <c:v>104.46428571428559</c:v>
                </c:pt>
                <c:pt idx="398">
                  <c:v>105.88235294117635</c:v>
                </c:pt>
                <c:pt idx="399">
                  <c:v>106.52503793626695</c:v>
                </c:pt>
                <c:pt idx="400">
                  <c:v>104.15430267062303</c:v>
                </c:pt>
                <c:pt idx="401">
                  <c:v>104.15430267062303</c:v>
                </c:pt>
                <c:pt idx="402">
                  <c:v>104.30906389301623</c:v>
                </c:pt>
                <c:pt idx="403">
                  <c:v>104.61997019374058</c:v>
                </c:pt>
                <c:pt idx="404">
                  <c:v>104.30906389301623</c:v>
                </c:pt>
                <c:pt idx="405">
                  <c:v>104.46428571428561</c:v>
                </c:pt>
                <c:pt idx="406">
                  <c:v>104.61997019374057</c:v>
                </c:pt>
                <c:pt idx="407">
                  <c:v>104.77611940298496</c:v>
                </c:pt>
                <c:pt idx="408">
                  <c:v>105.4054054054053</c:v>
                </c:pt>
                <c:pt idx="409">
                  <c:v>106.36363636363627</c:v>
                </c:pt>
                <c:pt idx="410">
                  <c:v>106.04229607250745</c:v>
                </c:pt>
                <c:pt idx="411">
                  <c:v>104.77611940298497</c:v>
                </c:pt>
                <c:pt idx="412">
                  <c:v>102.7818448023425</c:v>
                </c:pt>
                <c:pt idx="413">
                  <c:v>102.18340611353702</c:v>
                </c:pt>
                <c:pt idx="414">
                  <c:v>103.08370044052855</c:v>
                </c:pt>
                <c:pt idx="415">
                  <c:v>103.84615384615374</c:v>
                </c:pt>
                <c:pt idx="416">
                  <c:v>103.99999999999989</c:v>
                </c:pt>
                <c:pt idx="417">
                  <c:v>103.53982300884944</c:v>
                </c:pt>
                <c:pt idx="418">
                  <c:v>104.15430267062303</c:v>
                </c:pt>
                <c:pt idx="419">
                  <c:v>104.46428571428559</c:v>
                </c:pt>
                <c:pt idx="420">
                  <c:v>104.93273542600885</c:v>
                </c:pt>
                <c:pt idx="421">
                  <c:v>104.61997019374057</c:v>
                </c:pt>
                <c:pt idx="422">
                  <c:v>104.46428571428559</c:v>
                </c:pt>
                <c:pt idx="423">
                  <c:v>104.77611940298495</c:v>
                </c:pt>
                <c:pt idx="424">
                  <c:v>105.24737631184395</c:v>
                </c:pt>
                <c:pt idx="425">
                  <c:v>105.56390977443596</c:v>
                </c:pt>
                <c:pt idx="426">
                  <c:v>105.88235294117634</c:v>
                </c:pt>
                <c:pt idx="427">
                  <c:v>105.24737631184394</c:v>
                </c:pt>
                <c:pt idx="428">
                  <c:v>104.46428571428558</c:v>
                </c:pt>
                <c:pt idx="429">
                  <c:v>104.46428571428558</c:v>
                </c:pt>
                <c:pt idx="430">
                  <c:v>103.69276218611509</c:v>
                </c:pt>
                <c:pt idx="431">
                  <c:v>103.0837004405285</c:v>
                </c:pt>
                <c:pt idx="432">
                  <c:v>101.88679245283012</c:v>
                </c:pt>
                <c:pt idx="433">
                  <c:v>101.29870129870123</c:v>
                </c:pt>
                <c:pt idx="434">
                  <c:v>100.86206896551718</c:v>
                </c:pt>
                <c:pt idx="435">
                  <c:v>100.71736011477756</c:v>
                </c:pt>
                <c:pt idx="436">
                  <c:v>99.999999999999957</c:v>
                </c:pt>
                <c:pt idx="437">
                  <c:v>96.827586206896498</c:v>
                </c:pt>
              </c:numCache>
            </c:numRef>
          </c:val>
          <c:smooth val="0"/>
          <c:extLst>
            <c:ext xmlns:c16="http://schemas.microsoft.com/office/drawing/2014/chart" uri="{C3380CC4-5D6E-409C-BE32-E72D297353CC}">
              <c16:uniqueId val="{00000002-3F1F-43F1-8AAB-A7241745A478}"/>
            </c:ext>
          </c:extLst>
        </c:ser>
        <c:dLbls>
          <c:showLegendKey val="0"/>
          <c:showVal val="0"/>
          <c:showCatName val="0"/>
          <c:showSerName val="0"/>
          <c:showPercent val="0"/>
          <c:showBubbleSize val="0"/>
        </c:dLbls>
        <c:smooth val="0"/>
        <c:axId val="308999296"/>
        <c:axId val="309000832"/>
      </c:lineChart>
      <c:dateAx>
        <c:axId val="308999296"/>
        <c:scaling>
          <c:orientation val="minMax"/>
        </c:scaling>
        <c:delete val="0"/>
        <c:axPos val="b"/>
        <c:numFmt formatCode="[$-2B]\ d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09000832"/>
        <c:crosses val="autoZero"/>
        <c:auto val="1"/>
        <c:lblOffset val="100"/>
        <c:baseTimeUnit val="days"/>
      </c:dateAx>
      <c:valAx>
        <c:axId val="309000832"/>
        <c:scaling>
          <c:orientation val="minMax"/>
          <c:max val="190"/>
          <c:min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21</a:t>
                </a:r>
                <a:r>
                  <a:rPr lang="hy-AM" sz="900"/>
                  <a:t>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8999296"/>
        <c:crosses val="autoZero"/>
        <c:crossBetween val="between"/>
        <c:majorUnit val="10"/>
        <c:minorUnit val="5"/>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06257770410277"/>
          <c:y val="6.6066066066066062E-2"/>
          <c:w val="0.78392660669738268"/>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Sheet1!$A$2:$A$68</c:f>
              <c:strCache>
                <c:ptCount val="19"/>
                <c:pt idx="0">
                  <c:v>2021-M1</c:v>
                </c:pt>
                <c:pt idx="1">
                  <c:v>2021-M2</c:v>
                </c:pt>
                <c:pt idx="2">
                  <c:v>2021-M3</c:v>
                </c:pt>
                <c:pt idx="3">
                  <c:v>2021-M4</c:v>
                </c:pt>
                <c:pt idx="4">
                  <c:v>2021-M5</c:v>
                </c:pt>
                <c:pt idx="5">
                  <c:v>2021-M6</c:v>
                </c:pt>
                <c:pt idx="6">
                  <c:v>2021-M7</c:v>
                </c:pt>
                <c:pt idx="7">
                  <c:v>2021-M8</c:v>
                </c:pt>
                <c:pt idx="8">
                  <c:v>2021-M9</c:v>
                </c:pt>
                <c:pt idx="9">
                  <c:v>2021-M10</c:v>
                </c:pt>
                <c:pt idx="10">
                  <c:v>2021-M11</c:v>
                </c:pt>
                <c:pt idx="11">
                  <c:v>2021-M12</c:v>
                </c:pt>
                <c:pt idx="12">
                  <c:v>2022-M1</c:v>
                </c:pt>
                <c:pt idx="13">
                  <c:v>2022-M2</c:v>
                </c:pt>
                <c:pt idx="14">
                  <c:v>2022-M3</c:v>
                </c:pt>
                <c:pt idx="15">
                  <c:v>2022-M4</c:v>
                </c:pt>
                <c:pt idx="16">
                  <c:v>2022-M5</c:v>
                </c:pt>
                <c:pt idx="17">
                  <c:v>2022-M6</c:v>
                </c:pt>
                <c:pt idx="18">
                  <c:v>2022-M7</c:v>
                </c:pt>
              </c:strCache>
            </c:strRef>
          </c:cat>
          <c:val>
            <c:numRef>
              <c:f>Sheet1!$B$2:$B$68</c:f>
              <c:numCache>
                <c:formatCode>_(* #,##0.0_);_(* \(#,##0.0\);_(* "-"??_);_(@_)</c:formatCode>
                <c:ptCount val="19"/>
                <c:pt idx="0">
                  <c:v>-2.9309866962305904</c:v>
                </c:pt>
                <c:pt idx="1">
                  <c:v>-3.9358450389806308</c:v>
                </c:pt>
                <c:pt idx="2">
                  <c:v>-4.6884569147367472</c:v>
                </c:pt>
                <c:pt idx="3">
                  <c:v>-5.3713382968353329</c:v>
                </c:pt>
                <c:pt idx="4">
                  <c:v>-6.1200523127018585</c:v>
                </c:pt>
                <c:pt idx="5">
                  <c:v>-6.0824489977530192</c:v>
                </c:pt>
                <c:pt idx="6">
                  <c:v>-5.1402450103761339</c:v>
                </c:pt>
                <c:pt idx="7">
                  <c:v>-4.3538477034649503</c:v>
                </c:pt>
                <c:pt idx="8">
                  <c:v>-3.8404925394323044</c:v>
                </c:pt>
                <c:pt idx="9">
                  <c:v>-3.2467619893906345</c:v>
                </c:pt>
                <c:pt idx="10">
                  <c:v>-2.324568399612275</c:v>
                </c:pt>
                <c:pt idx="11">
                  <c:v>-1.1645712671281387</c:v>
                </c:pt>
                <c:pt idx="12">
                  <c:v>13.562709686630029</c:v>
                </c:pt>
                <c:pt idx="13">
                  <c:v>13.331664938686473</c:v>
                </c:pt>
                <c:pt idx="14">
                  <c:v>14.167063303188954</c:v>
                </c:pt>
                <c:pt idx="15">
                  <c:v>15.231329366841308</c:v>
                </c:pt>
                <c:pt idx="16">
                  <c:v>16.374310570307628</c:v>
                </c:pt>
                <c:pt idx="17">
                  <c:v>18.102570176477585</c:v>
                </c:pt>
                <c:pt idx="18">
                  <c:v>19.108395838374065</c:v>
                </c:pt>
              </c:numCache>
            </c:numRef>
          </c:val>
          <c:smooth val="0"/>
          <c:extLst>
            <c:ext xmlns:c16="http://schemas.microsoft.com/office/drawing/2014/chart" uri="{C3380CC4-5D6E-409C-BE32-E72D297353CC}">
              <c16:uniqueId val="{00000000-2F47-4784-B932-D699ADAE0B36}"/>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Sheet1!$A$2:$A$68</c:f>
              <c:strCache>
                <c:ptCount val="19"/>
                <c:pt idx="0">
                  <c:v>2021-M1</c:v>
                </c:pt>
                <c:pt idx="1">
                  <c:v>2021-M2</c:v>
                </c:pt>
                <c:pt idx="2">
                  <c:v>2021-M3</c:v>
                </c:pt>
                <c:pt idx="3">
                  <c:v>2021-M4</c:v>
                </c:pt>
                <c:pt idx="4">
                  <c:v>2021-M5</c:v>
                </c:pt>
                <c:pt idx="5">
                  <c:v>2021-M6</c:v>
                </c:pt>
                <c:pt idx="6">
                  <c:v>2021-M7</c:v>
                </c:pt>
                <c:pt idx="7">
                  <c:v>2021-M8</c:v>
                </c:pt>
                <c:pt idx="8">
                  <c:v>2021-M9</c:v>
                </c:pt>
                <c:pt idx="9">
                  <c:v>2021-M10</c:v>
                </c:pt>
                <c:pt idx="10">
                  <c:v>2021-M11</c:v>
                </c:pt>
                <c:pt idx="11">
                  <c:v>2021-M12</c:v>
                </c:pt>
                <c:pt idx="12">
                  <c:v>2022-M1</c:v>
                </c:pt>
                <c:pt idx="13">
                  <c:v>2022-M2</c:v>
                </c:pt>
                <c:pt idx="14">
                  <c:v>2022-M3</c:v>
                </c:pt>
                <c:pt idx="15">
                  <c:v>2022-M4</c:v>
                </c:pt>
                <c:pt idx="16">
                  <c:v>2022-M5</c:v>
                </c:pt>
                <c:pt idx="17">
                  <c:v>2022-M6</c:v>
                </c:pt>
                <c:pt idx="18">
                  <c:v>2022-M7</c:v>
                </c:pt>
              </c:strCache>
            </c:strRef>
          </c:cat>
          <c:val>
            <c:numRef>
              <c:f>Sheet1!$C$2:$C$68</c:f>
              <c:numCache>
                <c:formatCode>_(* #,##0.0_);_(* \(#,##0.0\);_(* "-"??_);_(@_)</c:formatCode>
                <c:ptCount val="19"/>
                <c:pt idx="0">
                  <c:v>-2.6458548274370344</c:v>
                </c:pt>
                <c:pt idx="1">
                  <c:v>-3.812533952293947</c:v>
                </c:pt>
                <c:pt idx="2">
                  <c:v>-4.579853862212957</c:v>
                </c:pt>
                <c:pt idx="3">
                  <c:v>-5.280059384530972</c:v>
                </c:pt>
                <c:pt idx="4">
                  <c:v>-5.9339955142582568</c:v>
                </c:pt>
                <c:pt idx="5">
                  <c:v>-5.8889332800639238</c:v>
                </c:pt>
                <c:pt idx="6">
                  <c:v>-5.1113975830072604</c:v>
                </c:pt>
                <c:pt idx="7">
                  <c:v>-4.4923561884823329</c:v>
                </c:pt>
                <c:pt idx="8">
                  <c:v>-4.0853841404251483</c:v>
                </c:pt>
                <c:pt idx="9">
                  <c:v>-3.5536226742602253</c:v>
                </c:pt>
                <c:pt idx="10">
                  <c:v>-2.677789556159837</c:v>
                </c:pt>
                <c:pt idx="11">
                  <c:v>-1.3669868689630249</c:v>
                </c:pt>
                <c:pt idx="12">
                  <c:v>16.532202926295653</c:v>
                </c:pt>
                <c:pt idx="13">
                  <c:v>16.946483886977788</c:v>
                </c:pt>
                <c:pt idx="14">
                  <c:v>18.682483249008627</c:v>
                </c:pt>
                <c:pt idx="15">
                  <c:v>19.429442731315063</c:v>
                </c:pt>
                <c:pt idx="16">
                  <c:v>20.414197152394564</c:v>
                </c:pt>
                <c:pt idx="17">
                  <c:v>22.064300673572191</c:v>
                </c:pt>
                <c:pt idx="18">
                  <c:v>23.197860859880564</c:v>
                </c:pt>
              </c:numCache>
            </c:numRef>
          </c:val>
          <c:smooth val="0"/>
          <c:extLst>
            <c:ext xmlns:c16="http://schemas.microsoft.com/office/drawing/2014/chart" uri="{C3380CC4-5D6E-409C-BE32-E72D297353CC}">
              <c16:uniqueId val="{00000001-2F47-4784-B932-D699ADAE0B36}"/>
            </c:ext>
          </c:extLst>
        </c:ser>
        <c:dLbls>
          <c:showLegendKey val="0"/>
          <c:showVal val="0"/>
          <c:showCatName val="0"/>
          <c:showSerName val="0"/>
          <c:showPercent val="0"/>
          <c:showBubbleSize val="0"/>
        </c:dLbls>
        <c:smooth val="0"/>
        <c:axId val="309273728"/>
        <c:axId val="309275264"/>
      </c:lineChart>
      <c:catAx>
        <c:axId val="3092737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75264"/>
        <c:crosses val="autoZero"/>
        <c:auto val="1"/>
        <c:lblAlgn val="ctr"/>
        <c:lblOffset val="100"/>
        <c:noMultiLvlLbl val="0"/>
      </c:catAx>
      <c:valAx>
        <c:axId val="30927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layout/>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9273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886"/>
          <c:y val="0"/>
        </c:manualLayout>
      </c:layout>
      <c:overlay val="0"/>
      <c:spPr>
        <a:noFill/>
        <a:ln>
          <a:noFill/>
        </a:ln>
        <a:effectLst/>
      </c:spPr>
    </c:title>
    <c:autoTitleDeleted val="0"/>
    <c:plotArea>
      <c:layout>
        <c:manualLayout>
          <c:layoutTarget val="inner"/>
          <c:xMode val="edge"/>
          <c:yMode val="edge"/>
          <c:x val="0.11270836908098351"/>
          <c:y val="0.12480519374330552"/>
          <c:w val="0.84290099330804125"/>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Sheet1!$C$16:$C$62</c:f>
              <c:numCache>
                <c:formatCode>0.0</c:formatCode>
                <c:ptCount val="19"/>
                <c:pt idx="0">
                  <c:v>1.7110799999999999</c:v>
                </c:pt>
                <c:pt idx="1">
                  <c:v>0.75369000000000019</c:v>
                </c:pt>
                <c:pt idx="2">
                  <c:v>0.97775999999999996</c:v>
                </c:pt>
                <c:pt idx="3">
                  <c:v>0.93701999999999996</c:v>
                </c:pt>
                <c:pt idx="4">
                  <c:v>0.99239999999999995</c:v>
                </c:pt>
                <c:pt idx="5">
                  <c:v>1.4472499999999999</c:v>
                </c:pt>
                <c:pt idx="6">
                  <c:v>1.0130749999999999</c:v>
                </c:pt>
                <c:pt idx="7">
                  <c:v>0.76497500000000007</c:v>
                </c:pt>
                <c:pt idx="8">
                  <c:v>-1.2156899999999999</c:v>
                </c:pt>
                <c:pt idx="9">
                  <c:v>-0.43004000000000003</c:v>
                </c:pt>
                <c:pt idx="10">
                  <c:v>-0.12404999999999999</c:v>
                </c:pt>
                <c:pt idx="11">
                  <c:v>0.11768999999999999</c:v>
                </c:pt>
                <c:pt idx="12">
                  <c:v>2.6414839999999997</c:v>
                </c:pt>
                <c:pt idx="13">
                  <c:v>2.8647079999999998</c:v>
                </c:pt>
                <c:pt idx="14">
                  <c:v>3.6831960000000006</c:v>
                </c:pt>
                <c:pt idx="15">
                  <c:v>4.1668479999999999</c:v>
                </c:pt>
                <c:pt idx="16">
                  <c:v>4.501684</c:v>
                </c:pt>
                <c:pt idx="17">
                  <c:v>5.0969480000000003</c:v>
                </c:pt>
                <c:pt idx="18">
                  <c:v>5.0225400000000002</c:v>
                </c:pt>
              </c:numCache>
            </c:numRef>
          </c:val>
          <c:extLst>
            <c:ext xmlns:c16="http://schemas.microsoft.com/office/drawing/2014/chart" uri="{C3380CC4-5D6E-409C-BE32-E72D297353CC}">
              <c16:uniqueId val="{00000000-2D22-447A-B280-EE525B6215A6}"/>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Sheet1!$D$16:$D$62</c:f>
              <c:numCache>
                <c:formatCode>0.0</c:formatCode>
                <c:ptCount val="19"/>
                <c:pt idx="0">
                  <c:v>0.16416</c:v>
                </c:pt>
                <c:pt idx="1">
                  <c:v>0.16632000000000002</c:v>
                </c:pt>
                <c:pt idx="2">
                  <c:v>0.18576000000000001</c:v>
                </c:pt>
                <c:pt idx="3">
                  <c:v>0.18144000000000002</c:v>
                </c:pt>
                <c:pt idx="4">
                  <c:v>0.18613999999999997</c:v>
                </c:pt>
                <c:pt idx="5">
                  <c:v>0.19068000000000002</c:v>
                </c:pt>
                <c:pt idx="6">
                  <c:v>0.19295000000000001</c:v>
                </c:pt>
                <c:pt idx="7">
                  <c:v>0.19295000000000001</c:v>
                </c:pt>
                <c:pt idx="8">
                  <c:v>0.36093000000000003</c:v>
                </c:pt>
                <c:pt idx="9">
                  <c:v>0.40240499999999996</c:v>
                </c:pt>
                <c:pt idx="10">
                  <c:v>0.44946000000000003</c:v>
                </c:pt>
                <c:pt idx="11">
                  <c:v>0.41283000000000003</c:v>
                </c:pt>
                <c:pt idx="12">
                  <c:v>0.42338649999999994</c:v>
                </c:pt>
                <c:pt idx="13">
                  <c:v>0.40555969999999997</c:v>
                </c:pt>
                <c:pt idx="14">
                  <c:v>0.41001639999999995</c:v>
                </c:pt>
                <c:pt idx="15">
                  <c:v>0.41447310000000004</c:v>
                </c:pt>
                <c:pt idx="16">
                  <c:v>0.35207929999999998</c:v>
                </c:pt>
                <c:pt idx="17">
                  <c:v>0.3476226</c:v>
                </c:pt>
                <c:pt idx="18">
                  <c:v>0.35207929999999998</c:v>
                </c:pt>
              </c:numCache>
            </c:numRef>
          </c:val>
          <c:extLst>
            <c:ext xmlns:c16="http://schemas.microsoft.com/office/drawing/2014/chart" uri="{C3380CC4-5D6E-409C-BE32-E72D297353CC}">
              <c16:uniqueId val="{00000001-2D22-447A-B280-EE525B6215A6}"/>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Sheet1!$E$16:$E$62</c:f>
              <c:numCache>
                <c:formatCode>0.0</c:formatCode>
                <c:ptCount val="19"/>
                <c:pt idx="0">
                  <c:v>0.96140000000000014</c:v>
                </c:pt>
                <c:pt idx="1">
                  <c:v>1.0378750000000001</c:v>
                </c:pt>
                <c:pt idx="2">
                  <c:v>1.0488000000000002</c:v>
                </c:pt>
                <c:pt idx="3">
                  <c:v>0.98325000000000007</c:v>
                </c:pt>
                <c:pt idx="4">
                  <c:v>0.17791999999999997</c:v>
                </c:pt>
                <c:pt idx="5">
                  <c:v>0.26688000000000001</c:v>
                </c:pt>
                <c:pt idx="6">
                  <c:v>0.34472000000000003</c:v>
                </c:pt>
                <c:pt idx="7">
                  <c:v>0.32247999999999999</c:v>
                </c:pt>
                <c:pt idx="8">
                  <c:v>0.36695999999999995</c:v>
                </c:pt>
                <c:pt idx="9">
                  <c:v>0.19959500000000002</c:v>
                </c:pt>
                <c:pt idx="10">
                  <c:v>0.17791999999999997</c:v>
                </c:pt>
                <c:pt idx="11">
                  <c:v>0.21010000000000001</c:v>
                </c:pt>
                <c:pt idx="12">
                  <c:v>1.5324900000000001</c:v>
                </c:pt>
                <c:pt idx="13">
                  <c:v>1.7545900000000001</c:v>
                </c:pt>
                <c:pt idx="14">
                  <c:v>1.88785</c:v>
                </c:pt>
                <c:pt idx="15">
                  <c:v>1.9322699999999999</c:v>
                </c:pt>
                <c:pt idx="16">
                  <c:v>1.2215499999999999</c:v>
                </c:pt>
                <c:pt idx="17">
                  <c:v>1.3548099999999998</c:v>
                </c:pt>
                <c:pt idx="18">
                  <c:v>1.4880700000000002</c:v>
                </c:pt>
              </c:numCache>
            </c:numRef>
          </c:val>
          <c:extLst>
            <c:ext xmlns:c16="http://schemas.microsoft.com/office/drawing/2014/chart" uri="{C3380CC4-5D6E-409C-BE32-E72D297353CC}">
              <c16:uniqueId val="{00000002-2D22-447A-B280-EE525B6215A6}"/>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Sheet1!$F$16:$F$62</c:f>
              <c:numCache>
                <c:formatCode>0.0</c:formatCode>
                <c:ptCount val="19"/>
                <c:pt idx="0">
                  <c:v>0.46311999999999998</c:v>
                </c:pt>
                <c:pt idx="1">
                  <c:v>0.47965999999999992</c:v>
                </c:pt>
                <c:pt idx="2">
                  <c:v>0.43003999999999998</c:v>
                </c:pt>
                <c:pt idx="3">
                  <c:v>0.39695999999999998</c:v>
                </c:pt>
                <c:pt idx="4">
                  <c:v>0.12748000000000001</c:v>
                </c:pt>
                <c:pt idx="5">
                  <c:v>6.3740000000000005E-2</c:v>
                </c:pt>
                <c:pt idx="6">
                  <c:v>9.5610000000000001E-2</c:v>
                </c:pt>
                <c:pt idx="7">
                  <c:v>0.14660200000000001</c:v>
                </c:pt>
                <c:pt idx="8">
                  <c:v>0.43024500000000004</c:v>
                </c:pt>
                <c:pt idx="9">
                  <c:v>0.39837499999999998</c:v>
                </c:pt>
                <c:pt idx="10">
                  <c:v>0.41431000000000007</c:v>
                </c:pt>
                <c:pt idx="11">
                  <c:v>0.49797999999999992</c:v>
                </c:pt>
                <c:pt idx="12">
                  <c:v>0.61421000000000003</c:v>
                </c:pt>
                <c:pt idx="13">
                  <c:v>0.72260000000000002</c:v>
                </c:pt>
                <c:pt idx="14">
                  <c:v>0.68647000000000002</c:v>
                </c:pt>
                <c:pt idx="15">
                  <c:v>0.68647000000000002</c:v>
                </c:pt>
                <c:pt idx="16">
                  <c:v>0.90325</c:v>
                </c:pt>
                <c:pt idx="17">
                  <c:v>1.2645500000000001</c:v>
                </c:pt>
                <c:pt idx="18">
                  <c:v>1.48133</c:v>
                </c:pt>
              </c:numCache>
            </c:numRef>
          </c:val>
          <c:extLst>
            <c:ext xmlns:c16="http://schemas.microsoft.com/office/drawing/2014/chart" uri="{C3380CC4-5D6E-409C-BE32-E72D297353CC}">
              <c16:uniqueId val="{00000003-2D22-447A-B280-EE525B6215A6}"/>
            </c:ext>
          </c:extLst>
        </c:ser>
        <c:dLbls>
          <c:showLegendKey val="0"/>
          <c:showVal val="0"/>
          <c:showCatName val="0"/>
          <c:showSerName val="0"/>
          <c:showPercent val="0"/>
          <c:showBubbleSize val="0"/>
        </c:dLbls>
        <c:gapWidth val="100"/>
        <c:overlap val="100"/>
        <c:axId val="326402432"/>
        <c:axId val="32640396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2D22-447A-B280-EE525B6215A6}"/>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2D22-447A-B280-EE525B6215A6}"/>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2D22-447A-B280-EE525B6215A6}"/>
              </c:ext>
            </c:extLst>
          </c:dPt>
          <c:dPt>
            <c:idx val="15"/>
            <c:marker>
              <c:symbol val="auto"/>
              <c:spPr>
                <a:ln cap="sq">
                  <a:solidFill>
                    <a:srgbClr val="4F81BD"/>
                  </a:solidFill>
                  <a:headEnd type="diamond"/>
                  <a:tailEnd type="diamond"/>
                </a:ln>
              </c:spPr>
            </c:marker>
            <c:bubble3D val="0"/>
            <c:extLst>
              <c:ext xmlns:c16="http://schemas.microsoft.com/office/drawing/2014/chart" uri="{C3380CC4-5D6E-409C-BE32-E72D297353CC}">
                <c16:uniqueId val="{00000007-2D22-447A-B280-EE525B6215A6}"/>
              </c:ext>
            </c:extLst>
          </c:dPt>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D22-447A-B280-EE525B6215A6}"/>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22-447A-B280-EE525B6215A6}"/>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D22-447A-B280-EE525B6215A6}"/>
                </c:ext>
              </c:extLst>
            </c:dLbl>
            <c:dLbl>
              <c:idx val="15"/>
              <c:layout>
                <c:manualLayout>
                  <c:x val="-8.5661839689985725E-2"/>
                  <c:y val="-6.9796954314720813E-2"/>
                </c:manualLayout>
              </c:layout>
              <c:spPr>
                <a:noFill/>
                <a:effectLst/>
              </c:spPr>
              <c:txPr>
                <a:bodyPr wrap="square" lIns="38100" tIns="19050" rIns="38100" bIns="19050" anchor="ctr">
                  <a:sp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D22-447A-B280-EE525B6215A6}"/>
                </c:ext>
              </c:extLst>
            </c:dLbl>
            <c:dLbl>
              <c:idx val="18"/>
              <c:layout>
                <c:manualLayout>
                  <c:x val="-2.4385287543182279E-2"/>
                  <c:y val="-6.31313131313131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D22-447A-B280-EE525B6215A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Sheet1!$B$16:$B$62</c:f>
              <c:numCache>
                <c:formatCode>0.0</c:formatCode>
                <c:ptCount val="19"/>
                <c:pt idx="0">
                  <c:v>3.29976</c:v>
                </c:pt>
                <c:pt idx="1">
                  <c:v>2.4375450000000001</c:v>
                </c:pt>
                <c:pt idx="2">
                  <c:v>2.64236</c:v>
                </c:pt>
                <c:pt idx="3">
                  <c:v>2.4986700000000002</c:v>
                </c:pt>
                <c:pt idx="4">
                  <c:v>1.4839399999999998</c:v>
                </c:pt>
                <c:pt idx="5">
                  <c:v>1.9685499999999998</c:v>
                </c:pt>
                <c:pt idx="6">
                  <c:v>1.646355</c:v>
                </c:pt>
                <c:pt idx="7">
                  <c:v>1.4270070000000001</c:v>
                </c:pt>
                <c:pt idx="8">
                  <c:v>-5.7554999999999967E-2</c:v>
                </c:pt>
                <c:pt idx="9">
                  <c:v>0.51033499999999998</c:v>
                </c:pt>
                <c:pt idx="10">
                  <c:v>0.91764000000000012</c:v>
                </c:pt>
                <c:pt idx="11">
                  <c:v>1.2385999999999999</c:v>
                </c:pt>
                <c:pt idx="12">
                  <c:v>5.2115704999999997</c:v>
                </c:pt>
                <c:pt idx="13">
                  <c:v>5.7474577</c:v>
                </c:pt>
                <c:pt idx="14">
                  <c:v>6.6675324000000007</c:v>
                </c:pt>
                <c:pt idx="15">
                  <c:v>7.2000611000000001</c:v>
                </c:pt>
                <c:pt idx="16">
                  <c:v>6.9785632999999994</c:v>
                </c:pt>
                <c:pt idx="17">
                  <c:v>8.0639306000000008</c:v>
                </c:pt>
                <c:pt idx="18">
                  <c:v>8.3440193000000011</c:v>
                </c:pt>
              </c:numCache>
            </c:numRef>
          </c:val>
          <c:smooth val="0"/>
          <c:extLst>
            <c:ext xmlns:c16="http://schemas.microsoft.com/office/drawing/2014/chart" uri="{C3380CC4-5D6E-409C-BE32-E72D297353CC}">
              <c16:uniqueId val="{00000009-2D22-447A-B280-EE525B6215A6}"/>
            </c:ext>
          </c:extLst>
        </c:ser>
        <c:dLbls>
          <c:showLegendKey val="0"/>
          <c:showVal val="0"/>
          <c:showCatName val="0"/>
          <c:showSerName val="0"/>
          <c:showPercent val="0"/>
          <c:showBubbleSize val="0"/>
        </c:dLbls>
        <c:marker val="1"/>
        <c:smooth val="0"/>
        <c:axId val="326402432"/>
        <c:axId val="326403968"/>
      </c:lineChart>
      <c:catAx>
        <c:axId val="32640243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6403968"/>
        <c:crosses val="autoZero"/>
        <c:auto val="1"/>
        <c:lblAlgn val="ctr"/>
        <c:lblOffset val="100"/>
        <c:noMultiLvlLbl val="0"/>
      </c:catAx>
      <c:valAx>
        <c:axId val="32640396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64024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28"/>
          <c:w val="0.84290099330804125"/>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Sheet1!$C$16:$C$62</c:f>
              <c:numCache>
                <c:formatCode>0.0</c:formatCode>
                <c:ptCount val="19"/>
                <c:pt idx="0">
                  <c:v>1.8984840000000003</c:v>
                </c:pt>
                <c:pt idx="1">
                  <c:v>-0.89628000000000019</c:v>
                </c:pt>
                <c:pt idx="2">
                  <c:v>2.1592199999999999</c:v>
                </c:pt>
                <c:pt idx="3">
                  <c:v>0.65184000000000009</c:v>
                </c:pt>
                <c:pt idx="4">
                  <c:v>1.4224399999999999</c:v>
                </c:pt>
                <c:pt idx="5">
                  <c:v>1.9020999999999999</c:v>
                </c:pt>
                <c:pt idx="6">
                  <c:v>-0.57889999999999997</c:v>
                </c:pt>
                <c:pt idx="7">
                  <c:v>-0.13645500000000002</c:v>
                </c:pt>
                <c:pt idx="8">
                  <c:v>-1.1761594</c:v>
                </c:pt>
                <c:pt idx="9">
                  <c:v>0.78459999999999996</c:v>
                </c:pt>
                <c:pt idx="10">
                  <c:v>0.34734000000000004</c:v>
                </c:pt>
                <c:pt idx="11">
                  <c:v>1.937962</c:v>
                </c:pt>
                <c:pt idx="12">
                  <c:v>2.7530960000000007</c:v>
                </c:pt>
                <c:pt idx="13">
                  <c:v>3.2739520000000004</c:v>
                </c:pt>
                <c:pt idx="14">
                  <c:v>5.7294159999999996</c:v>
                </c:pt>
                <c:pt idx="15">
                  <c:v>4.7993160000000001</c:v>
                </c:pt>
                <c:pt idx="16">
                  <c:v>4.7621120000000001</c:v>
                </c:pt>
                <c:pt idx="17">
                  <c:v>6.3618840000000008</c:v>
                </c:pt>
                <c:pt idx="18">
                  <c:v>4.6505000000000001</c:v>
                </c:pt>
              </c:numCache>
            </c:numRef>
          </c:val>
          <c:extLst>
            <c:ext xmlns:c16="http://schemas.microsoft.com/office/drawing/2014/chart" uri="{C3380CC4-5D6E-409C-BE32-E72D297353CC}">
              <c16:uniqueId val="{00000000-733F-48AA-86E6-3588103C059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Sheet1!$D$16:$D$62</c:f>
              <c:numCache>
                <c:formatCode>0.0</c:formatCode>
                <c:ptCount val="19"/>
                <c:pt idx="0">
                  <c:v>0.15984000000000001</c:v>
                </c:pt>
                <c:pt idx="1">
                  <c:v>0.19872000000000001</c:v>
                </c:pt>
                <c:pt idx="2">
                  <c:v>0.21600000000000003</c:v>
                </c:pt>
                <c:pt idx="3">
                  <c:v>0.16847999999999999</c:v>
                </c:pt>
                <c:pt idx="4">
                  <c:v>0.19976000000000002</c:v>
                </c:pt>
                <c:pt idx="5">
                  <c:v>0.18160000000000001</c:v>
                </c:pt>
                <c:pt idx="6">
                  <c:v>0.21338000000000001</c:v>
                </c:pt>
                <c:pt idx="7">
                  <c:v>0.20702399999999999</c:v>
                </c:pt>
                <c:pt idx="8">
                  <c:v>0.45172999999999996</c:v>
                </c:pt>
                <c:pt idx="9">
                  <c:v>0.46287</c:v>
                </c:pt>
                <c:pt idx="10">
                  <c:v>0.44492000000000004</c:v>
                </c:pt>
                <c:pt idx="11">
                  <c:v>0.43368000000000001</c:v>
                </c:pt>
                <c:pt idx="12">
                  <c:v>0.41001639999999995</c:v>
                </c:pt>
                <c:pt idx="13">
                  <c:v>0.39218960000000003</c:v>
                </c:pt>
                <c:pt idx="14">
                  <c:v>0.41447310000000004</c:v>
                </c:pt>
                <c:pt idx="15">
                  <c:v>0.41001639999999995</c:v>
                </c:pt>
                <c:pt idx="16">
                  <c:v>0.32533909999999999</c:v>
                </c:pt>
                <c:pt idx="17">
                  <c:v>0.36099269999999994</c:v>
                </c:pt>
                <c:pt idx="18">
                  <c:v>0.36990610000000002</c:v>
                </c:pt>
              </c:numCache>
            </c:numRef>
          </c:val>
          <c:extLst>
            <c:ext xmlns:c16="http://schemas.microsoft.com/office/drawing/2014/chart" uri="{C3380CC4-5D6E-409C-BE32-E72D297353CC}">
              <c16:uniqueId val="{00000001-733F-48AA-86E6-3588103C059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Sheet1!$E$16:$E$62</c:f>
              <c:numCache>
                <c:formatCode>0.0</c:formatCode>
                <c:ptCount val="19"/>
                <c:pt idx="0">
                  <c:v>1.0925</c:v>
                </c:pt>
                <c:pt idx="1">
                  <c:v>1.15805</c:v>
                </c:pt>
                <c:pt idx="2">
                  <c:v>0.85215000000000007</c:v>
                </c:pt>
                <c:pt idx="3">
                  <c:v>0.69920000000000004</c:v>
                </c:pt>
                <c:pt idx="4">
                  <c:v>0.20015999999999998</c:v>
                </c:pt>
                <c:pt idx="5">
                  <c:v>0.42255999999999994</c:v>
                </c:pt>
                <c:pt idx="6">
                  <c:v>0.53376000000000001</c:v>
                </c:pt>
                <c:pt idx="7">
                  <c:v>0.31135999999999997</c:v>
                </c:pt>
                <c:pt idx="8">
                  <c:v>0.27799999999999997</c:v>
                </c:pt>
                <c:pt idx="9">
                  <c:v>-4.2020000000000009E-2</c:v>
                </c:pt>
                <c:pt idx="10">
                  <c:v>0.11119999999999999</c:v>
                </c:pt>
                <c:pt idx="11">
                  <c:v>0.71433999999999997</c:v>
                </c:pt>
                <c:pt idx="12">
                  <c:v>1.8656400000000002</c:v>
                </c:pt>
                <c:pt idx="13">
                  <c:v>2.10995</c:v>
                </c:pt>
                <c:pt idx="14">
                  <c:v>2.1987900000000002</c:v>
                </c:pt>
                <c:pt idx="15">
                  <c:v>1.7768000000000002</c:v>
                </c:pt>
                <c:pt idx="16">
                  <c:v>1.0660800000000001</c:v>
                </c:pt>
                <c:pt idx="17">
                  <c:v>1.6657500000000001</c:v>
                </c:pt>
                <c:pt idx="18">
                  <c:v>1.8212199999999998</c:v>
                </c:pt>
              </c:numCache>
            </c:numRef>
          </c:val>
          <c:extLst>
            <c:ext xmlns:c16="http://schemas.microsoft.com/office/drawing/2014/chart" uri="{C3380CC4-5D6E-409C-BE32-E72D297353CC}">
              <c16:uniqueId val="{00000002-733F-48AA-86E6-3588103C0593}"/>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Sheet1!$F$16:$F$62</c:f>
              <c:numCache>
                <c:formatCode>0.0</c:formatCode>
                <c:ptCount val="19"/>
                <c:pt idx="0">
                  <c:v>0.59543999999999997</c:v>
                </c:pt>
                <c:pt idx="1">
                  <c:v>0.46311999999999998</c:v>
                </c:pt>
                <c:pt idx="2">
                  <c:v>0.23155999999999999</c:v>
                </c:pt>
                <c:pt idx="3">
                  <c:v>0.26463999999999999</c:v>
                </c:pt>
                <c:pt idx="4">
                  <c:v>3.1870000000000002E-2</c:v>
                </c:pt>
                <c:pt idx="5">
                  <c:v>3.1870000000000002E-2</c:v>
                </c:pt>
                <c:pt idx="6">
                  <c:v>0.35057000000000005</c:v>
                </c:pt>
                <c:pt idx="7">
                  <c:v>0.33782200000000001</c:v>
                </c:pt>
                <c:pt idx="8">
                  <c:v>0.39837499999999998</c:v>
                </c:pt>
                <c:pt idx="9">
                  <c:v>0.46240999999999999</c:v>
                </c:pt>
                <c:pt idx="10">
                  <c:v>0.44618000000000002</c:v>
                </c:pt>
                <c:pt idx="11">
                  <c:v>0.56912000000000007</c:v>
                </c:pt>
                <c:pt idx="12">
                  <c:v>0.79486000000000023</c:v>
                </c:pt>
                <c:pt idx="13">
                  <c:v>0.75873000000000002</c:v>
                </c:pt>
                <c:pt idx="14">
                  <c:v>0.57808000000000004</c:v>
                </c:pt>
                <c:pt idx="15">
                  <c:v>0.68647000000000002</c:v>
                </c:pt>
                <c:pt idx="16">
                  <c:v>1.1922900000000001</c:v>
                </c:pt>
                <c:pt idx="17">
                  <c:v>1.91489</c:v>
                </c:pt>
                <c:pt idx="18">
                  <c:v>2.2400600000000002</c:v>
                </c:pt>
              </c:numCache>
            </c:numRef>
          </c:val>
          <c:extLst>
            <c:ext xmlns:c16="http://schemas.microsoft.com/office/drawing/2014/chart" uri="{C3380CC4-5D6E-409C-BE32-E72D297353CC}">
              <c16:uniqueId val="{00000003-733F-48AA-86E6-3588103C0593}"/>
            </c:ext>
          </c:extLst>
        </c:ser>
        <c:dLbls>
          <c:showLegendKey val="0"/>
          <c:showVal val="0"/>
          <c:showCatName val="0"/>
          <c:showSerName val="0"/>
          <c:showPercent val="0"/>
          <c:showBubbleSize val="0"/>
        </c:dLbls>
        <c:gapWidth val="100"/>
        <c:overlap val="100"/>
        <c:axId val="327907200"/>
        <c:axId val="327908736"/>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733F-48AA-86E6-3588103C0593}"/>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733F-48AA-86E6-3588103C0593}"/>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733F-48AA-86E6-3588103C0593}"/>
              </c:ext>
            </c:extLst>
          </c:dPt>
          <c:dPt>
            <c:idx val="15"/>
            <c:marker>
              <c:symbol val="auto"/>
            </c:marker>
            <c:bubble3D val="0"/>
            <c:extLst>
              <c:ext xmlns:c16="http://schemas.microsoft.com/office/drawing/2014/chart" uri="{C3380CC4-5D6E-409C-BE32-E72D297353CC}">
                <c16:uniqueId val="{00000007-733F-48AA-86E6-3588103C0593}"/>
              </c:ext>
            </c:extLst>
          </c:dPt>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33F-48AA-86E6-3588103C0593}"/>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33F-48AA-86E6-3588103C0593}"/>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33F-48AA-86E6-3588103C0593}"/>
                </c:ext>
              </c:extLst>
            </c:dLbl>
            <c:dLbl>
              <c:idx val="1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33F-48AA-86E6-3588103C0593}"/>
                </c:ext>
              </c:extLst>
            </c:dLbl>
            <c:dLbl>
              <c:idx val="18"/>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33F-48AA-86E6-3588103C0593}"/>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Sheet1!$A$16:$A$62</c:f>
              <c:numCache>
                <c:formatCode>General</c:formatCode>
                <c:ptCount val="19"/>
                <c:pt idx="0">
                  <c:v>2018.3</c:v>
                </c:pt>
                <c:pt idx="1">
                  <c:v>2018.6</c:v>
                </c:pt>
                <c:pt idx="2">
                  <c:v>2018.9</c:v>
                </c:pt>
                <c:pt idx="3">
                  <c:v>2018.12</c:v>
                </c:pt>
                <c:pt idx="4">
                  <c:v>2019.3</c:v>
                </c:pt>
                <c:pt idx="5">
                  <c:v>2019.6</c:v>
                </c:pt>
                <c:pt idx="6">
                  <c:v>2019.9</c:v>
                </c:pt>
                <c:pt idx="7">
                  <c:v>2019.12</c:v>
                </c:pt>
                <c:pt idx="8">
                  <c:v>2020.3</c:v>
                </c:pt>
                <c:pt idx="9">
                  <c:v>2020.6</c:v>
                </c:pt>
                <c:pt idx="10">
                  <c:v>2020.9</c:v>
                </c:pt>
                <c:pt idx="11">
                  <c:v>2020.12</c:v>
                </c:pt>
                <c:pt idx="12">
                  <c:v>2021.3</c:v>
                </c:pt>
                <c:pt idx="13">
                  <c:v>2021.6</c:v>
                </c:pt>
                <c:pt idx="14">
                  <c:v>2021.9</c:v>
                </c:pt>
                <c:pt idx="15">
                  <c:v>2021.12</c:v>
                </c:pt>
                <c:pt idx="16">
                  <c:v>2022.3</c:v>
                </c:pt>
                <c:pt idx="17">
                  <c:v>2022.6</c:v>
                </c:pt>
                <c:pt idx="18">
                  <c:v>2022.8</c:v>
                </c:pt>
              </c:numCache>
            </c:numRef>
          </c:cat>
          <c:val>
            <c:numRef>
              <c:f>Sheet1!$B$16:$B$62</c:f>
              <c:numCache>
                <c:formatCode>0.0</c:formatCode>
                <c:ptCount val="19"/>
                <c:pt idx="0">
                  <c:v>3.746264</c:v>
                </c:pt>
                <c:pt idx="1">
                  <c:v>0.92360999999999982</c:v>
                </c:pt>
                <c:pt idx="2">
                  <c:v>3.4589300000000001</c:v>
                </c:pt>
                <c:pt idx="3">
                  <c:v>1.78416</c:v>
                </c:pt>
                <c:pt idx="4">
                  <c:v>1.8542299999999998</c:v>
                </c:pt>
                <c:pt idx="5">
                  <c:v>2.5381299999999998</c:v>
                </c:pt>
                <c:pt idx="6">
                  <c:v>0.5188100000000001</c:v>
                </c:pt>
                <c:pt idx="7">
                  <c:v>0.71975100000000003</c:v>
                </c:pt>
                <c:pt idx="8">
                  <c:v>-5.8054400000000055E-2</c:v>
                </c:pt>
                <c:pt idx="9">
                  <c:v>1.6678599999999999</c:v>
                </c:pt>
                <c:pt idx="10">
                  <c:v>1.3506399999999998</c:v>
                </c:pt>
                <c:pt idx="11">
                  <c:v>3.6551020000000003</c:v>
                </c:pt>
                <c:pt idx="12">
                  <c:v>5.8236124000000009</c:v>
                </c:pt>
                <c:pt idx="13">
                  <c:v>6.5348216000000008</c:v>
                </c:pt>
                <c:pt idx="14">
                  <c:v>8.9207590999999997</c:v>
                </c:pt>
                <c:pt idx="15">
                  <c:v>7.6726024000000006</c:v>
                </c:pt>
                <c:pt idx="16">
                  <c:v>7.3458211000000002</c:v>
                </c:pt>
                <c:pt idx="17">
                  <c:v>10.303516699999999</c:v>
                </c:pt>
                <c:pt idx="18">
                  <c:v>9.0816860999999989</c:v>
                </c:pt>
              </c:numCache>
            </c:numRef>
          </c:val>
          <c:smooth val="0"/>
          <c:extLst>
            <c:ext xmlns:c16="http://schemas.microsoft.com/office/drawing/2014/chart" uri="{C3380CC4-5D6E-409C-BE32-E72D297353CC}">
              <c16:uniqueId val="{00000009-733F-48AA-86E6-3588103C0593}"/>
            </c:ext>
          </c:extLst>
        </c:ser>
        <c:dLbls>
          <c:showLegendKey val="0"/>
          <c:showVal val="0"/>
          <c:showCatName val="0"/>
          <c:showSerName val="0"/>
          <c:showPercent val="0"/>
          <c:showBubbleSize val="0"/>
        </c:dLbls>
        <c:marker val="1"/>
        <c:smooth val="0"/>
        <c:axId val="327907200"/>
        <c:axId val="327908736"/>
      </c:lineChart>
      <c:catAx>
        <c:axId val="3279072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7908736"/>
        <c:crosses val="autoZero"/>
        <c:auto val="1"/>
        <c:lblAlgn val="ctr"/>
        <c:lblOffset val="100"/>
        <c:noMultiLvlLbl val="0"/>
      </c:catAx>
      <c:valAx>
        <c:axId val="327908736"/>
        <c:scaling>
          <c:orientation val="minMax"/>
          <c:max val="12"/>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79072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25"/>
          <c:h val="1.903084186548753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E0DA-4417-B88B-9EE855707024}"/>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E0DA-4417-B88B-9EE855707024}"/>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E0DA-4417-B88B-9EE855707024}"/>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E0DA-4417-B88B-9EE855707024}"/>
            </c:ext>
          </c:extLst>
        </c:ser>
        <c:dLbls>
          <c:showLegendKey val="0"/>
          <c:showVal val="0"/>
          <c:showCatName val="0"/>
          <c:showSerName val="0"/>
          <c:showPercent val="0"/>
          <c:showBubbleSize val="0"/>
        </c:dLbls>
        <c:gapWidth val="100"/>
        <c:overlap val="100"/>
        <c:axId val="328267648"/>
        <c:axId val="328269184"/>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E0DA-4417-B88B-9EE855707024}"/>
            </c:ext>
          </c:extLst>
        </c:ser>
        <c:dLbls>
          <c:showLegendKey val="0"/>
          <c:showVal val="0"/>
          <c:showCatName val="0"/>
          <c:showSerName val="0"/>
          <c:showPercent val="0"/>
          <c:showBubbleSize val="0"/>
        </c:dLbls>
        <c:marker val="1"/>
        <c:smooth val="0"/>
        <c:axId val="328267648"/>
        <c:axId val="328269184"/>
      </c:lineChart>
      <c:catAx>
        <c:axId val="328267648"/>
        <c:scaling>
          <c:orientation val="minMax"/>
        </c:scaling>
        <c:delete val="1"/>
        <c:axPos val="b"/>
        <c:numFmt formatCode="General" sourceLinked="1"/>
        <c:majorTickMark val="out"/>
        <c:minorTickMark val="none"/>
        <c:tickLblPos val="none"/>
        <c:crossAx val="328269184"/>
        <c:crosses val="autoZero"/>
        <c:auto val="1"/>
        <c:lblAlgn val="ctr"/>
        <c:lblOffset val="100"/>
        <c:noMultiLvlLbl val="0"/>
      </c:catAx>
      <c:valAx>
        <c:axId val="328269184"/>
        <c:scaling>
          <c:orientation val="minMax"/>
        </c:scaling>
        <c:delete val="1"/>
        <c:axPos val="l"/>
        <c:numFmt formatCode="General" sourceLinked="1"/>
        <c:majorTickMark val="none"/>
        <c:minorTickMark val="none"/>
        <c:tickLblPos val="none"/>
        <c:crossAx val="328267648"/>
        <c:crosses val="autoZero"/>
        <c:crossBetween val="between"/>
      </c:valAx>
      <c:spPr>
        <a:noFill/>
        <a:ln>
          <a:noFill/>
        </a:ln>
        <a:effectLst/>
      </c:spPr>
    </c:plotArea>
    <c:legend>
      <c:legendPos val="b"/>
      <c:layout>
        <c:manualLayout>
          <c:xMode val="edge"/>
          <c:yMode val="edge"/>
          <c:x val="2.4091860941327401E-2"/>
          <c:y val="0.10991302557768533"/>
          <c:w val="0.95949541633383073"/>
          <c:h val="0.8769288604549443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900" i="1"/>
              <a:t>Գնաճի կանխատեսումները և նպատակային միջակայքը</a:t>
            </a:r>
            <a:r>
              <a:rPr lang="en-US" sz="900" i="1"/>
              <a:t>, %</a:t>
            </a:r>
          </a:p>
        </c:rich>
      </c:tx>
      <c:layout>
        <c:manualLayout>
          <c:xMode val="edge"/>
          <c:yMode val="edge"/>
          <c:x val="0.21738990489660431"/>
          <c:y val="1.2091606196284284E-2"/>
        </c:manualLayout>
      </c:layout>
      <c:overlay val="0"/>
      <c:spPr>
        <a:noFill/>
        <a:ln>
          <a:noFill/>
        </a:ln>
        <a:effectLst/>
      </c:spPr>
    </c:title>
    <c:autoTitleDeleted val="0"/>
    <c:plotArea>
      <c:layout>
        <c:manualLayout>
          <c:layoutTarget val="inner"/>
          <c:xMode val="edge"/>
          <c:yMode val="edge"/>
          <c:x val="4.286978223573857E-2"/>
          <c:y val="0.15820767267105321"/>
          <c:w val="0.9349795935193983"/>
          <c:h val="0.60057783583806246"/>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4DA-431E-91B7-ABEBC0801D2B}"/>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4DA-431E-91B7-ABEBC0801D2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Sheet1!$A$2:$A$10</c:f>
              <c:numCache>
                <c:formatCode>General</c:formatCode>
                <c:ptCount val="6"/>
                <c:pt idx="0">
                  <c:v>2018</c:v>
                </c:pt>
                <c:pt idx="1">
                  <c:v>2019</c:v>
                </c:pt>
                <c:pt idx="2">
                  <c:v>2020</c:v>
                </c:pt>
                <c:pt idx="3">
                  <c:v>2021</c:v>
                </c:pt>
                <c:pt idx="4">
                  <c:v>2022</c:v>
                </c:pt>
                <c:pt idx="5">
                  <c:v>2023</c:v>
                </c:pt>
              </c:numCache>
            </c:numRef>
          </c:cat>
          <c:val>
            <c:numRef>
              <c:f>Sheet1!$B$2:$B$10</c:f>
              <c:numCache>
                <c:formatCode>0.0</c:formatCode>
                <c:ptCount val="6"/>
                <c:pt idx="0">
                  <c:v>1.7710353790077846</c:v>
                </c:pt>
                <c:pt idx="1">
                  <c:v>0.74073867036182151</c:v>
                </c:pt>
                <c:pt idx="2">
                  <c:v>3.6934661649650451</c:v>
                </c:pt>
                <c:pt idx="3">
                  <c:v>7.6757614850219795</c:v>
                </c:pt>
                <c:pt idx="4">
                  <c:v>8.5</c:v>
                </c:pt>
                <c:pt idx="5">
                  <c:v>3.6</c:v>
                </c:pt>
              </c:numCache>
            </c:numRef>
          </c:val>
          <c:smooth val="0"/>
          <c:extLst>
            <c:ext xmlns:c16="http://schemas.microsoft.com/office/drawing/2014/chart" uri="{C3380CC4-5D6E-409C-BE32-E72D297353CC}">
              <c16:uniqueId val="{00000002-D4DA-431E-91B7-ABEBC0801D2B}"/>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4DA-431E-91B7-ABEBC0801D2B}"/>
                </c:ext>
              </c:extLst>
            </c:dLbl>
            <c:dLbl>
              <c:idx val="2"/>
              <c:layout>
                <c:manualLayout>
                  <c:x val="-3.1735803463552245E-2"/>
                  <c:y val="-6.42614379084969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4DA-431E-91B7-ABEBC0801D2B}"/>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Sheet1!$A$2:$A$10</c:f>
              <c:numCache>
                <c:formatCode>General</c:formatCode>
                <c:ptCount val="6"/>
                <c:pt idx="0">
                  <c:v>2018</c:v>
                </c:pt>
                <c:pt idx="1">
                  <c:v>2019</c:v>
                </c:pt>
                <c:pt idx="2">
                  <c:v>2020</c:v>
                </c:pt>
                <c:pt idx="3">
                  <c:v>2021</c:v>
                </c:pt>
                <c:pt idx="4">
                  <c:v>2022</c:v>
                </c:pt>
                <c:pt idx="5">
                  <c:v>2023</c:v>
                </c:pt>
              </c:numCache>
            </c:numRef>
          </c:cat>
          <c:val>
            <c:numRef>
              <c:f>Sheet1!$C$2:$C$10</c:f>
              <c:numCache>
                <c:formatCode>0.0</c:formatCode>
                <c:ptCount val="6"/>
                <c:pt idx="0">
                  <c:v>2.5490680730946309</c:v>
                </c:pt>
                <c:pt idx="1">
                  <c:v>1.4309835696169273</c:v>
                </c:pt>
                <c:pt idx="2">
                  <c:v>1.2335679541075848</c:v>
                </c:pt>
                <c:pt idx="3">
                  <c:v>7.2455189371209059</c:v>
                </c:pt>
                <c:pt idx="4">
                  <c:v>8.1</c:v>
                </c:pt>
                <c:pt idx="5">
                  <c:v>5.6</c:v>
                </c:pt>
              </c:numCache>
            </c:numRef>
          </c:val>
          <c:smooth val="0"/>
          <c:extLst>
            <c:ext xmlns:c16="http://schemas.microsoft.com/office/drawing/2014/chart" uri="{C3380CC4-5D6E-409C-BE32-E72D297353CC}">
              <c16:uniqueId val="{00000005-D4DA-431E-91B7-ABEBC0801D2B}"/>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Sheet1!$A$2:$A$10</c:f>
              <c:numCache>
                <c:formatCode>General</c:formatCode>
                <c:ptCount val="6"/>
                <c:pt idx="0">
                  <c:v>2018</c:v>
                </c:pt>
                <c:pt idx="1">
                  <c:v>2019</c:v>
                </c:pt>
                <c:pt idx="2">
                  <c:v>2020</c:v>
                </c:pt>
                <c:pt idx="3">
                  <c:v>2021</c:v>
                </c:pt>
                <c:pt idx="4">
                  <c:v>2022</c:v>
                </c:pt>
                <c:pt idx="5">
                  <c:v>2023</c:v>
                </c:pt>
              </c:numCache>
            </c:numRef>
          </c:cat>
          <c:val>
            <c:numRef>
              <c:f>Sheet1!$D$2:$D$10</c:f>
              <c:numCache>
                <c:formatCode>General</c:formatCode>
                <c:ptCount val="6"/>
                <c:pt idx="0">
                  <c:v>4</c:v>
                </c:pt>
                <c:pt idx="1">
                  <c:v>4</c:v>
                </c:pt>
                <c:pt idx="2">
                  <c:v>4</c:v>
                </c:pt>
                <c:pt idx="3">
                  <c:v>4</c:v>
                </c:pt>
                <c:pt idx="4">
                  <c:v>4</c:v>
                </c:pt>
                <c:pt idx="5">
                  <c:v>4</c:v>
                </c:pt>
              </c:numCache>
            </c:numRef>
          </c:val>
          <c:smooth val="0"/>
          <c:extLst>
            <c:ext xmlns:c16="http://schemas.microsoft.com/office/drawing/2014/chart" uri="{C3380CC4-5D6E-409C-BE32-E72D297353CC}">
              <c16:uniqueId val="{00000006-D4DA-431E-91B7-ABEBC0801D2B}"/>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Sheet1!$A$2:$A$10</c:f>
              <c:numCache>
                <c:formatCode>General</c:formatCode>
                <c:ptCount val="6"/>
                <c:pt idx="0">
                  <c:v>2018</c:v>
                </c:pt>
                <c:pt idx="1">
                  <c:v>2019</c:v>
                </c:pt>
                <c:pt idx="2">
                  <c:v>2020</c:v>
                </c:pt>
                <c:pt idx="3">
                  <c:v>2021</c:v>
                </c:pt>
                <c:pt idx="4">
                  <c:v>2022</c:v>
                </c:pt>
                <c:pt idx="5">
                  <c:v>2023</c:v>
                </c:pt>
              </c:numCache>
            </c:numRef>
          </c:cat>
          <c:val>
            <c:numRef>
              <c:f>Sheet1!$E$2:$E$10</c:f>
              <c:numCache>
                <c:formatCode>General</c:formatCode>
                <c:ptCount val="6"/>
                <c:pt idx="0">
                  <c:v>5.5</c:v>
                </c:pt>
                <c:pt idx="1">
                  <c:v>5.5</c:v>
                </c:pt>
                <c:pt idx="2">
                  <c:v>5.5</c:v>
                </c:pt>
                <c:pt idx="3">
                  <c:v>5.5</c:v>
                </c:pt>
                <c:pt idx="4">
                  <c:v>5.5</c:v>
                </c:pt>
                <c:pt idx="5">
                  <c:v>5.5</c:v>
                </c:pt>
              </c:numCache>
            </c:numRef>
          </c:val>
          <c:smooth val="0"/>
          <c:extLst>
            <c:ext xmlns:c16="http://schemas.microsoft.com/office/drawing/2014/chart" uri="{C3380CC4-5D6E-409C-BE32-E72D297353CC}">
              <c16:uniqueId val="{00000007-D4DA-431E-91B7-ABEBC0801D2B}"/>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Sheet1!$A$2:$A$10</c:f>
              <c:numCache>
                <c:formatCode>General</c:formatCode>
                <c:ptCount val="6"/>
                <c:pt idx="0">
                  <c:v>2018</c:v>
                </c:pt>
                <c:pt idx="1">
                  <c:v>2019</c:v>
                </c:pt>
                <c:pt idx="2">
                  <c:v>2020</c:v>
                </c:pt>
                <c:pt idx="3">
                  <c:v>2021</c:v>
                </c:pt>
                <c:pt idx="4">
                  <c:v>2022</c:v>
                </c:pt>
                <c:pt idx="5">
                  <c:v>2023</c:v>
                </c:pt>
              </c:numCache>
            </c:numRef>
          </c:cat>
          <c:val>
            <c:numRef>
              <c:f>Sheet1!$F$2:$F$10</c:f>
              <c:numCache>
                <c:formatCode>General</c:formatCode>
                <c:ptCount val="6"/>
                <c:pt idx="0">
                  <c:v>2.5</c:v>
                </c:pt>
                <c:pt idx="1">
                  <c:v>2.5</c:v>
                </c:pt>
                <c:pt idx="2">
                  <c:v>2.5</c:v>
                </c:pt>
                <c:pt idx="3">
                  <c:v>2.5</c:v>
                </c:pt>
                <c:pt idx="4">
                  <c:v>2.5</c:v>
                </c:pt>
                <c:pt idx="5">
                  <c:v>2.5</c:v>
                </c:pt>
              </c:numCache>
            </c:numRef>
          </c:val>
          <c:smooth val="0"/>
          <c:extLst>
            <c:ext xmlns:c16="http://schemas.microsoft.com/office/drawing/2014/chart" uri="{C3380CC4-5D6E-409C-BE32-E72D297353CC}">
              <c16:uniqueId val="{00000008-D4DA-431E-91B7-ABEBC0801D2B}"/>
            </c:ext>
          </c:extLst>
        </c:ser>
        <c:dLbls>
          <c:showLegendKey val="0"/>
          <c:showVal val="0"/>
          <c:showCatName val="0"/>
          <c:showSerName val="0"/>
          <c:showPercent val="0"/>
          <c:showBubbleSize val="0"/>
        </c:dLbls>
        <c:marker val="1"/>
        <c:smooth val="0"/>
        <c:axId val="334422784"/>
        <c:axId val="334424320"/>
      </c:lineChart>
      <c:catAx>
        <c:axId val="3344227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4424320"/>
        <c:crosses val="autoZero"/>
        <c:auto val="1"/>
        <c:lblAlgn val="ctr"/>
        <c:lblOffset val="100"/>
        <c:noMultiLvlLbl val="0"/>
      </c:catAx>
      <c:valAx>
        <c:axId val="33442432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4422784"/>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14766603676674128"/>
          <c:y val="0.86064068445478081"/>
          <c:w val="0.68434653349696861"/>
          <c:h val="0.1302270612045914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layout/>
      <c:overlay val="0"/>
      <c:spPr>
        <a:noFill/>
        <a:ln>
          <a:noFill/>
        </a:ln>
        <a:effectLst/>
      </c:spPr>
    </c:title>
    <c:autoTitleDeleted val="0"/>
    <c:plotArea>
      <c:layout>
        <c:manualLayout>
          <c:layoutTarget val="inner"/>
          <c:xMode val="edge"/>
          <c:yMode val="edge"/>
          <c:x val="0.11873660719946239"/>
          <c:y val="0.19546619172603474"/>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Sheet1!$B$2:$B$66</c:f>
              <c:numCache>
                <c:formatCode>0.0</c:formatCode>
                <c:ptCount val="53"/>
                <c:pt idx="0">
                  <c:v>6</c:v>
                </c:pt>
                <c:pt idx="1">
                  <c:v>6</c:v>
                </c:pt>
                <c:pt idx="2">
                  <c:v>6</c:v>
                </c:pt>
                <c:pt idx="3">
                  <c:v>6</c:v>
                </c:pt>
                <c:pt idx="4">
                  <c:v>6</c:v>
                </c:pt>
                <c:pt idx="5">
                  <c:v>6</c:v>
                </c:pt>
                <c:pt idx="6">
                  <c:v>6</c:v>
                </c:pt>
                <c:pt idx="7">
                  <c:v>6</c:v>
                </c:pt>
                <c:pt idx="8">
                  <c:v>6</c:v>
                </c:pt>
                <c:pt idx="9">
                  <c:v>6</c:v>
                </c:pt>
                <c:pt idx="10">
                  <c:v>6</c:v>
                </c:pt>
                <c:pt idx="11">
                  <c:v>6</c:v>
                </c:pt>
                <c:pt idx="12">
                  <c:v>5.75</c:v>
                </c:pt>
                <c:pt idx="13">
                  <c:v>5.75</c:v>
                </c:pt>
                <c:pt idx="14">
                  <c:v>5.75</c:v>
                </c:pt>
                <c:pt idx="15">
                  <c:v>5.75</c:v>
                </c:pt>
                <c:pt idx="16">
                  <c:v>5.75</c:v>
                </c:pt>
                <c:pt idx="17">
                  <c:v>5.75</c:v>
                </c:pt>
                <c:pt idx="18">
                  <c:v>5.75</c:v>
                </c:pt>
                <c:pt idx="19">
                  <c:v>5.75</c:v>
                </c:pt>
                <c:pt idx="20">
                  <c:v>5.5</c:v>
                </c:pt>
                <c:pt idx="21">
                  <c:v>5.5</c:v>
                </c:pt>
                <c:pt idx="22">
                  <c:v>5.5</c:v>
                </c:pt>
                <c:pt idx="23">
                  <c:v>5.5</c:v>
                </c:pt>
                <c:pt idx="24">
                  <c:v>5.5</c:v>
                </c:pt>
                <c:pt idx="25">
                  <c:v>5.5</c:v>
                </c:pt>
                <c:pt idx="26">
                  <c:v>5.25</c:v>
                </c:pt>
                <c:pt idx="27">
                  <c:v>5</c:v>
                </c:pt>
                <c:pt idx="28">
                  <c:v>5</c:v>
                </c:pt>
                <c:pt idx="29">
                  <c:v>4.5</c:v>
                </c:pt>
                <c:pt idx="30">
                  <c:v>4.5</c:v>
                </c:pt>
                <c:pt idx="31">
                  <c:v>4.5</c:v>
                </c:pt>
                <c:pt idx="32">
                  <c:v>4.25</c:v>
                </c:pt>
                <c:pt idx="33">
                  <c:v>4.25</c:v>
                </c:pt>
                <c:pt idx="34">
                  <c:v>4.25</c:v>
                </c:pt>
                <c:pt idx="35">
                  <c:v>5.25</c:v>
                </c:pt>
                <c:pt idx="36">
                  <c:v>5.25</c:v>
                </c:pt>
                <c:pt idx="37">
                  <c:v>5.5</c:v>
                </c:pt>
                <c:pt idx="38">
                  <c:v>5.5</c:v>
                </c:pt>
                <c:pt idx="39">
                  <c:v>5.5</c:v>
                </c:pt>
                <c:pt idx="40">
                  <c:v>6</c:v>
                </c:pt>
                <c:pt idx="41">
                  <c:v>6.5</c:v>
                </c:pt>
                <c:pt idx="42">
                  <c:v>6.5</c:v>
                </c:pt>
                <c:pt idx="43">
                  <c:v>7</c:v>
                </c:pt>
                <c:pt idx="44">
                  <c:v>7.25</c:v>
                </c:pt>
                <c:pt idx="45">
                  <c:v>7.25</c:v>
                </c:pt>
                <c:pt idx="46">
                  <c:v>7.25</c:v>
                </c:pt>
                <c:pt idx="47">
                  <c:v>7.75</c:v>
                </c:pt>
                <c:pt idx="48">
                  <c:v>7.75</c:v>
                </c:pt>
                <c:pt idx="49">
                  <c:v>8</c:v>
                </c:pt>
                <c:pt idx="50">
                  <c:v>9.25</c:v>
                </c:pt>
                <c:pt idx="51">
                  <c:v>9.25</c:v>
                </c:pt>
                <c:pt idx="52">
                  <c:v>9.25</c:v>
                </c:pt>
              </c:numCache>
            </c:numRef>
          </c:val>
          <c:smooth val="0"/>
          <c:extLst>
            <c:ext xmlns:c16="http://schemas.microsoft.com/office/drawing/2014/chart" uri="{C3380CC4-5D6E-409C-BE32-E72D297353CC}">
              <c16:uniqueId val="{00000000-B61C-4727-BCED-DD07705BED75}"/>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Sheet1!$C$2:$C$66</c:f>
              <c:numCache>
                <c:formatCode>0.0</c:formatCode>
                <c:ptCount val="53"/>
                <c:pt idx="0">
                  <c:v>6.03</c:v>
                </c:pt>
                <c:pt idx="1">
                  <c:v>5.85</c:v>
                </c:pt>
                <c:pt idx="2">
                  <c:v>5.99</c:v>
                </c:pt>
                <c:pt idx="3">
                  <c:v>5.93</c:v>
                </c:pt>
                <c:pt idx="4">
                  <c:v>6.23</c:v>
                </c:pt>
                <c:pt idx="5">
                  <c:v>6.45</c:v>
                </c:pt>
                <c:pt idx="6">
                  <c:v>6.22</c:v>
                </c:pt>
                <c:pt idx="7">
                  <c:v>6.17</c:v>
                </c:pt>
                <c:pt idx="8">
                  <c:v>6.14</c:v>
                </c:pt>
                <c:pt idx="9">
                  <c:v>6.1</c:v>
                </c:pt>
                <c:pt idx="10">
                  <c:v>6.16</c:v>
                </c:pt>
                <c:pt idx="11">
                  <c:v>6.22</c:v>
                </c:pt>
                <c:pt idx="12">
                  <c:v>6.15</c:v>
                </c:pt>
                <c:pt idx="13">
                  <c:v>5.8</c:v>
                </c:pt>
                <c:pt idx="14">
                  <c:v>5.84</c:v>
                </c:pt>
                <c:pt idx="15">
                  <c:v>5.95</c:v>
                </c:pt>
                <c:pt idx="16">
                  <c:v>5.83</c:v>
                </c:pt>
                <c:pt idx="17">
                  <c:v>5.84</c:v>
                </c:pt>
                <c:pt idx="18">
                  <c:v>5.81</c:v>
                </c:pt>
                <c:pt idx="19">
                  <c:v>5.83</c:v>
                </c:pt>
                <c:pt idx="20">
                  <c:v>5.68</c:v>
                </c:pt>
                <c:pt idx="21">
                  <c:v>5.59</c:v>
                </c:pt>
                <c:pt idx="22">
                  <c:v>5.5</c:v>
                </c:pt>
                <c:pt idx="23">
                  <c:v>5.56</c:v>
                </c:pt>
                <c:pt idx="24">
                  <c:v>5.55</c:v>
                </c:pt>
                <c:pt idx="25">
                  <c:v>5.54</c:v>
                </c:pt>
                <c:pt idx="26">
                  <c:v>5.33</c:v>
                </c:pt>
                <c:pt idx="27">
                  <c:v>5.27</c:v>
                </c:pt>
                <c:pt idx="28">
                  <c:v>5.1100000000000003</c:v>
                </c:pt>
                <c:pt idx="29">
                  <c:v>4.87</c:v>
                </c:pt>
                <c:pt idx="30">
                  <c:v>3.3</c:v>
                </c:pt>
                <c:pt idx="31">
                  <c:v>4.58</c:v>
                </c:pt>
                <c:pt idx="32">
                  <c:v>4.3899999999999997</c:v>
                </c:pt>
                <c:pt idx="33">
                  <c:v>4.28</c:v>
                </c:pt>
                <c:pt idx="34">
                  <c:v>4.3099999999999996</c:v>
                </c:pt>
                <c:pt idx="35">
                  <c:v>5.03</c:v>
                </c:pt>
                <c:pt idx="36">
                  <c:v>5.49</c:v>
                </c:pt>
                <c:pt idx="37">
                  <c:v>5.56</c:v>
                </c:pt>
                <c:pt idx="38">
                  <c:v>5.54</c:v>
                </c:pt>
                <c:pt idx="39">
                  <c:v>5.54</c:v>
                </c:pt>
                <c:pt idx="40">
                  <c:v>6.71</c:v>
                </c:pt>
                <c:pt idx="41">
                  <c:v>6.48</c:v>
                </c:pt>
                <c:pt idx="42">
                  <c:v>6.93</c:v>
                </c:pt>
                <c:pt idx="43">
                  <c:v>7.24</c:v>
                </c:pt>
                <c:pt idx="44">
                  <c:v>7.17</c:v>
                </c:pt>
                <c:pt idx="45">
                  <c:v>7.8</c:v>
                </c:pt>
                <c:pt idx="46">
                  <c:v>7</c:v>
                </c:pt>
                <c:pt idx="47">
                  <c:v>7.25</c:v>
                </c:pt>
                <c:pt idx="48">
                  <c:v>7.66</c:v>
                </c:pt>
                <c:pt idx="49">
                  <c:v>8.16</c:v>
                </c:pt>
                <c:pt idx="50">
                  <c:v>8.36</c:v>
                </c:pt>
                <c:pt idx="51">
                  <c:v>9.31</c:v>
                </c:pt>
              </c:numCache>
            </c:numRef>
          </c:val>
          <c:smooth val="0"/>
          <c:extLst>
            <c:ext xmlns:c16="http://schemas.microsoft.com/office/drawing/2014/chart" uri="{C3380CC4-5D6E-409C-BE32-E72D297353CC}">
              <c16:uniqueId val="{00000001-B61C-4727-BCED-DD07705BED75}"/>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Sheet1!$A$2:$A$66</c:f>
              <c:strCache>
                <c:ptCount val="53"/>
                <c:pt idx="0">
                  <c:v>2018/1</c:v>
                </c:pt>
                <c:pt idx="1">
                  <c:v>2018/2</c:v>
                </c:pt>
                <c:pt idx="2">
                  <c:v>2018/3</c:v>
                </c:pt>
                <c:pt idx="3">
                  <c:v>2018/4</c:v>
                </c:pt>
                <c:pt idx="4">
                  <c:v>2018/5</c:v>
                </c:pt>
                <c:pt idx="5">
                  <c:v>2018/6</c:v>
                </c:pt>
                <c:pt idx="6">
                  <c:v>2018/7</c:v>
                </c:pt>
                <c:pt idx="7">
                  <c:v>2018/8</c:v>
                </c:pt>
                <c:pt idx="8">
                  <c:v>2018/9</c:v>
                </c:pt>
                <c:pt idx="9">
                  <c:v>2018/10</c:v>
                </c:pt>
                <c:pt idx="10">
                  <c:v>2018/11</c:v>
                </c:pt>
                <c:pt idx="11">
                  <c:v>2018/12</c:v>
                </c:pt>
                <c:pt idx="12">
                  <c:v>2019/1</c:v>
                </c:pt>
                <c:pt idx="13">
                  <c:v>2019/2</c:v>
                </c:pt>
                <c:pt idx="14">
                  <c:v>2019/3</c:v>
                </c:pt>
                <c:pt idx="15">
                  <c:v>2019/4</c:v>
                </c:pt>
                <c:pt idx="16">
                  <c:v>2019/5</c:v>
                </c:pt>
                <c:pt idx="17">
                  <c:v>2019/6</c:v>
                </c:pt>
                <c:pt idx="18">
                  <c:v>2019/7</c:v>
                </c:pt>
                <c:pt idx="19">
                  <c:v>2019/8</c:v>
                </c:pt>
                <c:pt idx="20">
                  <c:v>2019/9</c:v>
                </c:pt>
                <c:pt idx="21">
                  <c:v>2019/10</c:v>
                </c:pt>
                <c:pt idx="22">
                  <c:v>2019/11</c:v>
                </c:pt>
                <c:pt idx="23">
                  <c:v>2019/12</c:v>
                </c:pt>
                <c:pt idx="24">
                  <c:v>2020/1</c:v>
                </c:pt>
                <c:pt idx="25">
                  <c:v>2020/2</c:v>
                </c:pt>
                <c:pt idx="26">
                  <c:v>2020/3</c:v>
                </c:pt>
                <c:pt idx="27">
                  <c:v>2020/4</c:v>
                </c:pt>
                <c:pt idx="28">
                  <c:v>2020/5</c:v>
                </c:pt>
                <c:pt idx="29">
                  <c:v>2020/6</c:v>
                </c:pt>
                <c:pt idx="30">
                  <c:v>2020/7</c:v>
                </c:pt>
                <c:pt idx="31">
                  <c:v>2020/8</c:v>
                </c:pt>
                <c:pt idx="32">
                  <c:v>2020/9</c:v>
                </c:pt>
                <c:pt idx="33">
                  <c:v>2020/10</c:v>
                </c:pt>
                <c:pt idx="34">
                  <c:v>2020/11</c:v>
                </c:pt>
                <c:pt idx="35">
                  <c:v>2020/12</c:v>
                </c:pt>
                <c:pt idx="36">
                  <c:v>2021/1</c:v>
                </c:pt>
                <c:pt idx="37">
                  <c:v>2021/2</c:v>
                </c:pt>
                <c:pt idx="38">
                  <c:v>2021/3</c:v>
                </c:pt>
                <c:pt idx="39">
                  <c:v>2021/4</c:v>
                </c:pt>
                <c:pt idx="40">
                  <c:v>2021/5</c:v>
                </c:pt>
                <c:pt idx="41">
                  <c:v>2021/6</c:v>
                </c:pt>
                <c:pt idx="42">
                  <c:v>2021/7</c:v>
                </c:pt>
                <c:pt idx="43">
                  <c:v>2021/8</c:v>
                </c:pt>
                <c:pt idx="44">
                  <c:v>2021/9</c:v>
                </c:pt>
                <c:pt idx="45">
                  <c:v>2021/10</c:v>
                </c:pt>
                <c:pt idx="46">
                  <c:v>2021/11</c:v>
                </c:pt>
                <c:pt idx="47">
                  <c:v>2021/12</c:v>
                </c:pt>
                <c:pt idx="48">
                  <c:v>2022/1</c:v>
                </c:pt>
                <c:pt idx="49">
                  <c:v>2022/2</c:v>
                </c:pt>
                <c:pt idx="50">
                  <c:v>2022/3</c:v>
                </c:pt>
                <c:pt idx="51">
                  <c:v>2022/4</c:v>
                </c:pt>
                <c:pt idx="52">
                  <c:v>2022/5</c:v>
                </c:pt>
              </c:strCache>
            </c:strRef>
          </c:cat>
          <c:val>
            <c:numRef>
              <c:f>Sheet1!$D$2:$D$66</c:f>
              <c:numCache>
                <c:formatCode>#,##0.0</c:formatCode>
                <c:ptCount val="53"/>
                <c:pt idx="0">
                  <c:v>6.1689999999999996</c:v>
                </c:pt>
                <c:pt idx="1">
                  <c:v>6.1475999999999997</c:v>
                </c:pt>
                <c:pt idx="2">
                  <c:v>6.1622000000000003</c:v>
                </c:pt>
                <c:pt idx="3">
                  <c:v>6.1551999999999998</c:v>
                </c:pt>
                <c:pt idx="4">
                  <c:v>6.2244999999999999</c:v>
                </c:pt>
                <c:pt idx="5">
                  <c:v>6.2295999999999996</c:v>
                </c:pt>
                <c:pt idx="6">
                  <c:v>6.2680999999999996</c:v>
                </c:pt>
                <c:pt idx="7">
                  <c:v>6.2766000000000002</c:v>
                </c:pt>
                <c:pt idx="8">
                  <c:v>6.2794999999999996</c:v>
                </c:pt>
                <c:pt idx="9">
                  <c:v>6.2557</c:v>
                </c:pt>
                <c:pt idx="10">
                  <c:v>6.2257999999999996</c:v>
                </c:pt>
                <c:pt idx="11">
                  <c:v>6.2268999999999997</c:v>
                </c:pt>
                <c:pt idx="12">
                  <c:v>6.2257999999999996</c:v>
                </c:pt>
                <c:pt idx="13">
                  <c:v>6.2496999999999998</c:v>
                </c:pt>
                <c:pt idx="14">
                  <c:v>6.1811999999999996</c:v>
                </c:pt>
                <c:pt idx="15">
                  <c:v>6.1741999999999999</c:v>
                </c:pt>
                <c:pt idx="16">
                  <c:v>6.0544000000000002</c:v>
                </c:pt>
                <c:pt idx="17">
                  <c:v>6.0544000000000002</c:v>
                </c:pt>
                <c:pt idx="18">
                  <c:v>6.1539999999999999</c:v>
                </c:pt>
                <c:pt idx="19">
                  <c:v>5.9701000000000004</c:v>
                </c:pt>
                <c:pt idx="20">
                  <c:v>5.9745999999999997</c:v>
                </c:pt>
                <c:pt idx="21">
                  <c:v>5.8437999999999999</c:v>
                </c:pt>
                <c:pt idx="22">
                  <c:v>5.7622</c:v>
                </c:pt>
                <c:pt idx="23">
                  <c:v>5.7070999999999996</c:v>
                </c:pt>
                <c:pt idx="24" formatCode="0.0">
                  <c:v>5.6117749999999997</c:v>
                </c:pt>
                <c:pt idx="25" formatCode="0.0">
                  <c:v>5.5589009999999996</c:v>
                </c:pt>
                <c:pt idx="26" formatCode="0.0">
                  <c:v>5.5941828200000003</c:v>
                </c:pt>
                <c:pt idx="27" formatCode="0.0">
                  <c:v>5.7322329999999999</c:v>
                </c:pt>
                <c:pt idx="28" formatCode="0.0">
                  <c:v>5.7526204545454549</c:v>
                </c:pt>
                <c:pt idx="29" formatCode="0.0">
                  <c:v>5.7470333333333334</c:v>
                </c:pt>
                <c:pt idx="30" formatCode="0.0">
                  <c:v>5.6</c:v>
                </c:pt>
                <c:pt idx="31" formatCode="0.0">
                  <c:v>5.6621024092801902</c:v>
                </c:pt>
                <c:pt idx="32" formatCode="0.0">
                  <c:v>5.6617125000000001</c:v>
                </c:pt>
                <c:pt idx="33" formatCode="0.0">
                  <c:v>5.7126151515151511</c:v>
                </c:pt>
                <c:pt idx="34" formatCode="0.0">
                  <c:v>5.9</c:v>
                </c:pt>
                <c:pt idx="35" formatCode="0.0">
                  <c:v>6.1296879687499999</c:v>
                </c:pt>
                <c:pt idx="36" formatCode="0.0">
                  <c:v>6.8925232558139538</c:v>
                </c:pt>
                <c:pt idx="37" formatCode="0.0">
                  <c:v>6.9028499999999999</c:v>
                </c:pt>
                <c:pt idx="38" formatCode="0.0">
                  <c:v>6.9170499999999997</c:v>
                </c:pt>
                <c:pt idx="39" formatCode="0.0">
                  <c:v>6.92875</c:v>
                </c:pt>
                <c:pt idx="40" formatCode="0.0">
                  <c:v>7.0799500000000002</c:v>
                </c:pt>
                <c:pt idx="41" formatCode="0.0">
                  <c:v>7.3498999999999999</c:v>
                </c:pt>
                <c:pt idx="42" formatCode="0.0">
                  <c:v>7.8607287499999998</c:v>
                </c:pt>
                <c:pt idx="43" formatCode="0.0">
                  <c:v>8.2888199999999994</c:v>
                </c:pt>
                <c:pt idx="44" formatCode="0.0">
                  <c:v>8.5056999999999992</c:v>
                </c:pt>
                <c:pt idx="45" formatCode="0.0">
                  <c:v>8.81</c:v>
                </c:pt>
                <c:pt idx="46" formatCode="0.0">
                  <c:v>8.91</c:v>
                </c:pt>
                <c:pt idx="47" formatCode="0.0">
                  <c:v>9.0983000000000001</c:v>
                </c:pt>
                <c:pt idx="48" formatCode="0.0">
                  <c:v>9.2489000000000008</c:v>
                </c:pt>
                <c:pt idx="49" formatCode="0.0">
                  <c:v>9.1161499999999993</c:v>
                </c:pt>
                <c:pt idx="50" formatCode="0.0">
                  <c:v>10.187799999999999</c:v>
                </c:pt>
                <c:pt idx="51" formatCode="0.0">
                  <c:v>10.511244110854504</c:v>
                </c:pt>
                <c:pt idx="52" formatCode="0.0">
                  <c:v>10.476050000000001</c:v>
                </c:pt>
              </c:numCache>
            </c:numRef>
          </c:val>
          <c:smooth val="0"/>
          <c:extLst>
            <c:ext xmlns:c16="http://schemas.microsoft.com/office/drawing/2014/chart" uri="{C3380CC4-5D6E-409C-BE32-E72D297353CC}">
              <c16:uniqueId val="{00000002-B61C-4727-BCED-DD07705BED75}"/>
            </c:ext>
          </c:extLst>
        </c:ser>
        <c:dLbls>
          <c:showLegendKey val="0"/>
          <c:showVal val="0"/>
          <c:showCatName val="0"/>
          <c:showSerName val="0"/>
          <c:showPercent val="0"/>
          <c:showBubbleSize val="0"/>
        </c:dLbls>
        <c:smooth val="0"/>
        <c:axId val="334528512"/>
        <c:axId val="334530048"/>
      </c:lineChart>
      <c:catAx>
        <c:axId val="3345285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334530048"/>
        <c:crosses val="autoZero"/>
        <c:auto val="1"/>
        <c:lblAlgn val="ctr"/>
        <c:lblOffset val="100"/>
        <c:noMultiLvlLbl val="0"/>
      </c:catAx>
      <c:valAx>
        <c:axId val="334530048"/>
        <c:scaling>
          <c:orientation val="minMax"/>
          <c:min val="3"/>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33452851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[FanChart_Budget_2023.xlsx]Sheet6!$B$3</c:f>
              <c:strCache>
                <c:ptCount val="1"/>
              </c:strCache>
            </c:strRef>
          </c:tx>
          <c:spPr>
            <a:no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[FanChart_Budget_2023.xlsx]Sheet6!$B$4:$B$59</c:f>
              <c:numCache>
                <c:formatCode>General</c:formatCode>
                <c:ptCount val="12"/>
                <c:pt idx="0">
                  <c:v>5.18438177874188</c:v>
                </c:pt>
                <c:pt idx="1">
                  <c:v>7.6716848834811344</c:v>
                </c:pt>
                <c:pt idx="2">
                  <c:v>-7.1825320819766461</c:v>
                </c:pt>
                <c:pt idx="3">
                  <c:v>5.6954189021873844</c:v>
                </c:pt>
                <c:pt idx="4">
                  <c:v>8.7136929460580888</c:v>
                </c:pt>
                <c:pt idx="5">
                  <c:v>10.998552821997094</c:v>
                </c:pt>
                <c:pt idx="6">
                  <c:v>9.2713143679959664</c:v>
                </c:pt>
                <c:pt idx="7">
                  <c:v>7.7076467278429845</c:v>
                </c:pt>
                <c:pt idx="8">
                  <c:v>2.5285921928413693</c:v>
                </c:pt>
                <c:pt idx="9">
                  <c:v>2.040063908907384</c:v>
                </c:pt>
                <c:pt idx="10">
                  <c:v>1.7757728104882258</c:v>
                </c:pt>
                <c:pt idx="11">
                  <c:v>1.591033948564375</c:v>
                </c:pt>
              </c:numCache>
            </c:numRef>
          </c:val>
          <c:extLst>
            <c:ext xmlns:c16="http://schemas.microsoft.com/office/drawing/2014/chart" uri="{C3380CC4-5D6E-409C-BE32-E72D297353CC}">
              <c16:uniqueId val="{00000000-E8A7-4309-AED7-13A6998C5714}"/>
            </c:ext>
          </c:extLst>
        </c:ser>
        <c:ser>
          <c:idx val="1"/>
          <c:order val="1"/>
          <c:tx>
            <c:strRef>
              <c:f>[FanChart_Budget_2023.xlsx]Sheet6!$C$3</c:f>
              <c:strCache>
                <c:ptCount val="1"/>
              </c:strCache>
            </c:strRef>
          </c:tx>
          <c:spPr>
            <a:solidFill>
              <a:srgbClr val="FF0000">
                <a:alpha val="2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[FanChart_Budget_2023.xlsx]Sheet6!$C$4:$C$59</c:f>
              <c:numCache>
                <c:formatCode>General</c:formatCode>
                <c:ptCount val="12"/>
                <c:pt idx="6">
                  <c:v>0.5744309963400358</c:v>
                </c:pt>
                <c:pt idx="7">
                  <c:v>0.72718855407892136</c:v>
                </c:pt>
                <c:pt idx="8">
                  <c:v>1.1172528852097172</c:v>
                </c:pt>
                <c:pt idx="9">
                  <c:v>1.1574930127380849</c:v>
                </c:pt>
                <c:pt idx="10">
                  <c:v>1.1808811031073283</c:v>
                </c:pt>
                <c:pt idx="11">
                  <c:v>1.1946889889578767</c:v>
                </c:pt>
              </c:numCache>
            </c:numRef>
          </c:val>
          <c:extLst>
            <c:ext xmlns:c16="http://schemas.microsoft.com/office/drawing/2014/chart" uri="{C3380CC4-5D6E-409C-BE32-E72D297353CC}">
              <c16:uniqueId val="{00000001-E8A7-4309-AED7-13A6998C5714}"/>
            </c:ext>
          </c:extLst>
        </c:ser>
        <c:ser>
          <c:idx val="2"/>
          <c:order val="2"/>
          <c:tx>
            <c:strRef>
              <c:f>[FanChart_Budget_2023.xlsx]Sheet6!$D$3</c:f>
              <c:strCache>
                <c:ptCount val="1"/>
              </c:strCache>
            </c:strRef>
          </c:tx>
          <c:spPr>
            <a:solidFill>
              <a:srgbClr val="FF0000">
                <a:alpha val="3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[FanChart_Budget_2023.xlsx]Sheet6!$D$4:$D$59</c:f>
              <c:numCache>
                <c:formatCode>General</c:formatCode>
                <c:ptCount val="12"/>
                <c:pt idx="6">
                  <c:v>0.38756586611335031</c:v>
                </c:pt>
                <c:pt idx="7">
                  <c:v>0.49063066510164255</c:v>
                </c:pt>
                <c:pt idx="8">
                  <c:v>0.75380521748102636</c:v>
                </c:pt>
                <c:pt idx="9">
                  <c:v>0.78095504048398245</c:v>
                </c:pt>
                <c:pt idx="10">
                  <c:v>0.79673487402090259</c:v>
                </c:pt>
                <c:pt idx="11">
                  <c:v>0.80605098905118266</c:v>
                </c:pt>
              </c:numCache>
            </c:numRef>
          </c:val>
          <c:extLst>
            <c:ext xmlns:c16="http://schemas.microsoft.com/office/drawing/2014/chart" uri="{C3380CC4-5D6E-409C-BE32-E72D297353CC}">
              <c16:uniqueId val="{00000002-E8A7-4309-AED7-13A6998C5714}"/>
            </c:ext>
          </c:extLst>
        </c:ser>
        <c:ser>
          <c:idx val="3"/>
          <c:order val="3"/>
          <c:tx>
            <c:strRef>
              <c:f>[FanChart_Budget_2023.xlsx]Sheet6!$E$3</c:f>
              <c:strCache>
                <c:ptCount val="1"/>
              </c:strCache>
            </c:strRef>
          </c:tx>
          <c:spPr>
            <a:solidFill>
              <a:srgbClr val="FF0000">
                <a:alpha val="4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[FanChart_Budget_2023.xlsx]Sheet6!$E$4:$E$59</c:f>
              <c:numCache>
                <c:formatCode>General</c:formatCode>
                <c:ptCount val="12"/>
                <c:pt idx="6">
                  <c:v>0.30802506429891174</c:v>
                </c:pt>
                <c:pt idx="7">
                  <c:v>0.38993769931419031</c:v>
                </c:pt>
                <c:pt idx="8">
                  <c:v>0.59910049074223704</c:v>
                </c:pt>
                <c:pt idx="9">
                  <c:v>0.62067830939808166</c:v>
                </c:pt>
                <c:pt idx="10">
                  <c:v>0.63321962086232375</c:v>
                </c:pt>
                <c:pt idx="11">
                  <c:v>0.64062377376153323</c:v>
                </c:pt>
              </c:numCache>
            </c:numRef>
          </c:val>
          <c:extLst>
            <c:ext xmlns:c16="http://schemas.microsoft.com/office/drawing/2014/chart" uri="{C3380CC4-5D6E-409C-BE32-E72D297353CC}">
              <c16:uniqueId val="{00000003-E8A7-4309-AED7-13A6998C5714}"/>
            </c:ext>
          </c:extLst>
        </c:ser>
        <c:ser>
          <c:idx val="4"/>
          <c:order val="4"/>
          <c:tx>
            <c:strRef>
              <c:f>[FanChart_Budget_2023.xlsx]Sheet6!$F$3</c:f>
              <c:strCache>
                <c:ptCount val="1"/>
              </c:strCache>
            </c:strRef>
          </c:tx>
          <c:spPr>
            <a:solidFill>
              <a:srgbClr val="FF0000">
                <a:alpha val="5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[FanChart_Budget_2023.xlsx]Sheet6!$F$4:$F$59</c:f>
              <c:numCache>
                <c:formatCode>General</c:formatCode>
                <c:ptCount val="12"/>
                <c:pt idx="6">
                  <c:v>0.26425807809667923</c:v>
                </c:pt>
                <c:pt idx="7">
                  <c:v>0.33453182530046988</c:v>
                </c:pt>
                <c:pt idx="8">
                  <c:v>0.51397487613763815</c:v>
                </c:pt>
                <c:pt idx="9">
                  <c:v>0.53248672321895008</c:v>
                </c:pt>
                <c:pt idx="10">
                  <c:v>0.54324605175572138</c:v>
                </c:pt>
                <c:pt idx="11">
                  <c:v>0.54959815566496939</c:v>
                </c:pt>
              </c:numCache>
            </c:numRef>
          </c:val>
          <c:extLst>
            <c:ext xmlns:c16="http://schemas.microsoft.com/office/drawing/2014/chart" uri="{C3380CC4-5D6E-409C-BE32-E72D297353CC}">
              <c16:uniqueId val="{00000004-E8A7-4309-AED7-13A6998C5714}"/>
            </c:ext>
          </c:extLst>
        </c:ser>
        <c:ser>
          <c:idx val="5"/>
          <c:order val="5"/>
          <c:tx>
            <c:strRef>
              <c:f>[FanChart_Budget_2023.xlsx]Sheet6!$G$3</c:f>
              <c:strCache>
                <c:ptCount val="1"/>
              </c:strCache>
            </c:strRef>
          </c:tx>
          <c:spPr>
            <a:solidFill>
              <a:srgbClr val="FF0000">
                <a:alpha val="6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[FanChart_Budget_2023.xlsx]Sheet6!$G$4:$G$59</c:f>
              <c:numCache>
                <c:formatCode>General</c:formatCode>
                <c:ptCount val="12"/>
                <c:pt idx="6">
                  <c:v>0.23731192137007007</c:v>
                </c:pt>
                <c:pt idx="7">
                  <c:v>0.30041991826053405</c:v>
                </c:pt>
                <c:pt idx="8">
                  <c:v>0.46156532383294824</c:v>
                </c:pt>
                <c:pt idx="9">
                  <c:v>0.47818953464465075</c:v>
                </c:pt>
                <c:pt idx="10">
                  <c:v>0.48785174420169941</c:v>
                </c:pt>
                <c:pt idx="11">
                  <c:v>0.49355612983222841</c:v>
                </c:pt>
              </c:numCache>
            </c:numRef>
          </c:val>
          <c:extLst>
            <c:ext xmlns:c16="http://schemas.microsoft.com/office/drawing/2014/chart" uri="{C3380CC4-5D6E-409C-BE32-E72D297353CC}">
              <c16:uniqueId val="{00000005-E8A7-4309-AED7-13A6998C5714}"/>
            </c:ext>
          </c:extLst>
        </c:ser>
        <c:ser>
          <c:idx val="6"/>
          <c:order val="6"/>
          <c:tx>
            <c:strRef>
              <c:f>[FanChart_Budget_2023.xlsx]Sheet6!$H$3</c:f>
              <c:strCache>
                <c:ptCount val="1"/>
              </c:strCache>
            </c:strRef>
          </c:tx>
          <c:spPr>
            <a:solidFill>
              <a:srgbClr val="FF0000">
                <a:alpha val="7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[FanChart_Budget_2023.xlsx]Sheet6!$H$4:$H$59</c:f>
              <c:numCache>
                <c:formatCode>General</c:formatCode>
                <c:ptCount val="12"/>
                <c:pt idx="6">
                  <c:v>0.21990486169558388</c:v>
                </c:pt>
                <c:pt idx="7">
                  <c:v>0.27838382578623388</c:v>
                </c:pt>
                <c:pt idx="8">
                  <c:v>0.42770905951530391</c:v>
                </c:pt>
                <c:pt idx="9">
                  <c:v>0.44311386833502198</c:v>
                </c:pt>
                <c:pt idx="10">
                  <c:v>0.45206734544670546</c:v>
                </c:pt>
                <c:pt idx="11">
                  <c:v>0.45735330885679293</c:v>
                </c:pt>
              </c:numCache>
            </c:numRef>
          </c:val>
          <c:extLst>
            <c:ext xmlns:c16="http://schemas.microsoft.com/office/drawing/2014/chart" uri="{C3380CC4-5D6E-409C-BE32-E72D297353CC}">
              <c16:uniqueId val="{00000006-E8A7-4309-AED7-13A6998C5714}"/>
            </c:ext>
          </c:extLst>
        </c:ser>
        <c:ser>
          <c:idx val="7"/>
          <c:order val="7"/>
          <c:tx>
            <c:strRef>
              <c:f>[FanChart_Budget_2023.xlsx]Sheet6!$I$3</c:f>
              <c:strCache>
                <c:ptCount val="1"/>
              </c:strCache>
            </c:strRef>
          </c:tx>
          <c:spPr>
            <a:solidFill>
              <a:srgbClr val="FF0000">
                <a:alpha val="8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[FanChart_Budget_2023.xlsx]Sheet6!$I$4:$I$59</c:f>
              <c:numCache>
                <c:formatCode>General</c:formatCode>
                <c:ptCount val="12"/>
                <c:pt idx="6">
                  <c:v>0.20866820920579876</c:v>
                </c:pt>
                <c:pt idx="7">
                  <c:v>0.2641590274574579</c:v>
                </c:pt>
                <c:pt idx="8">
                  <c:v>0.40585407171990262</c:v>
                </c:pt>
                <c:pt idx="9">
                  <c:v>0.42047172885027528</c:v>
                </c:pt>
                <c:pt idx="10">
                  <c:v>0.42896770306682885</c:v>
                </c:pt>
                <c:pt idx="11">
                  <c:v>0.43398356542751237</c:v>
                </c:pt>
              </c:numCache>
            </c:numRef>
          </c:val>
          <c:extLst>
            <c:ext xmlns:c16="http://schemas.microsoft.com/office/drawing/2014/chart" uri="{C3380CC4-5D6E-409C-BE32-E72D297353CC}">
              <c16:uniqueId val="{00000007-E8A7-4309-AED7-13A6998C5714}"/>
            </c:ext>
          </c:extLst>
        </c:ser>
        <c:ser>
          <c:idx val="8"/>
          <c:order val="8"/>
          <c:tx>
            <c:strRef>
              <c:f>[FanChart_Budget_2023.xlsx]Sheet6!$J$3</c:f>
              <c:strCache>
                <c:ptCount val="1"/>
              </c:strCache>
            </c:strRef>
          </c:tx>
          <c:spPr>
            <a:solidFill>
              <a:srgbClr val="FF0000">
                <a:alpha val="9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[FanChart_Budget_2023.xlsx]Sheet6!$J$4:$J$59</c:f>
              <c:numCache>
                <c:formatCode>General</c:formatCode>
                <c:ptCount val="12"/>
                <c:pt idx="6">
                  <c:v>0.2018889073041219</c:v>
                </c:pt>
                <c:pt idx="7">
                  <c:v>0.25557691615260936</c:v>
                </c:pt>
                <c:pt idx="8">
                  <c:v>0.39266851129991043</c:v>
                </c:pt>
                <c:pt idx="9">
                  <c:v>0.40681126374231535</c:v>
                </c:pt>
                <c:pt idx="10">
                  <c:v>0.41503121711993707</c:v>
                </c:pt>
                <c:pt idx="11">
                  <c:v>0.41988412200200109</c:v>
                </c:pt>
              </c:numCache>
            </c:numRef>
          </c:val>
          <c:extLst>
            <c:ext xmlns:c16="http://schemas.microsoft.com/office/drawing/2014/chart" uri="{C3380CC4-5D6E-409C-BE32-E72D297353CC}">
              <c16:uniqueId val="{00000008-E8A7-4309-AED7-13A6998C5714}"/>
            </c:ext>
          </c:extLst>
        </c:ser>
        <c:ser>
          <c:idx val="9"/>
          <c:order val="9"/>
          <c:tx>
            <c:strRef>
              <c:f>[FanChart_Budget_2023.xlsx]Sheet6!$K$3</c:f>
              <c:strCache>
                <c:ptCount val="1"/>
              </c:strCache>
            </c:strRef>
          </c:tx>
          <c:spPr>
            <a:solidFill>
              <a:srgbClr val="FF0000"/>
            </a:solidFill>
            <a:ln>
              <a:solidFill>
                <a:srgbClr val="FF0000"/>
              </a:solidFill>
              <a:prstDash val="solid"/>
            </a:ln>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[FanChart_Budget_2023.xlsx]Sheet6!$K$4:$K$59</c:f>
              <c:numCache>
                <c:formatCode>General</c:formatCode>
                <c:ptCount val="12"/>
                <c:pt idx="6">
                  <c:v>0.39737606990647123</c:v>
                </c:pt>
                <c:pt idx="7">
                  <c:v>0.50304968140994077</c:v>
                </c:pt>
                <c:pt idx="8">
                  <c:v>0.6153926582823388</c:v>
                </c:pt>
                <c:pt idx="9">
                  <c:v>0.64322970717357286</c:v>
                </c:pt>
                <c:pt idx="10">
                  <c:v>0.65940896541827509</c:v>
                </c:pt>
                <c:pt idx="11">
                  <c:v>0.6689608932354858</c:v>
                </c:pt>
              </c:numCache>
            </c:numRef>
          </c:val>
          <c:extLst>
            <c:ext xmlns:c16="http://schemas.microsoft.com/office/drawing/2014/chart" uri="{C3380CC4-5D6E-409C-BE32-E72D297353CC}">
              <c16:uniqueId val="{00000009-E8A7-4309-AED7-13A6998C5714}"/>
            </c:ext>
          </c:extLst>
        </c:ser>
        <c:ser>
          <c:idx val="10"/>
          <c:order val="10"/>
          <c:tx>
            <c:strRef>
              <c:f>[FanChart_Budget_2023.xlsx]Sheet6!$L$3</c:f>
              <c:strCache>
                <c:ptCount val="1"/>
              </c:strCache>
            </c:strRef>
          </c:tx>
          <c:spPr>
            <a:solidFill>
              <a:srgbClr val="FF0000">
                <a:alpha val="9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[FanChart_Budget_2023.xlsx]Sheet6!$L$4:$L$59</c:f>
              <c:numCache>
                <c:formatCode>General</c:formatCode>
                <c:ptCount val="12"/>
                <c:pt idx="6">
                  <c:v>0.2018889073041219</c:v>
                </c:pt>
                <c:pt idx="7">
                  <c:v>0.25557691615261113</c:v>
                </c:pt>
                <c:pt idx="8">
                  <c:v>0.23263814781945769</c:v>
                </c:pt>
                <c:pt idx="9">
                  <c:v>0.24678090026186172</c:v>
                </c:pt>
                <c:pt idx="10">
                  <c:v>0.25500085363948433</c:v>
                </c:pt>
                <c:pt idx="11">
                  <c:v>0.25985375852154835</c:v>
                </c:pt>
              </c:numCache>
            </c:numRef>
          </c:val>
          <c:extLst>
            <c:ext xmlns:c16="http://schemas.microsoft.com/office/drawing/2014/chart" uri="{C3380CC4-5D6E-409C-BE32-E72D297353CC}">
              <c16:uniqueId val="{0000000A-E8A7-4309-AED7-13A6998C5714}"/>
            </c:ext>
          </c:extLst>
        </c:ser>
        <c:ser>
          <c:idx val="11"/>
          <c:order val="11"/>
          <c:tx>
            <c:strRef>
              <c:f>[FanChart_Budget_2023.xlsx]Sheet6!$M$3</c:f>
              <c:strCache>
                <c:ptCount val="1"/>
              </c:strCache>
            </c:strRef>
          </c:tx>
          <c:spPr>
            <a:solidFill>
              <a:srgbClr val="FF0000">
                <a:alpha val="8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[FanChart_Budget_2023.xlsx]Sheet6!$M$4:$M$59</c:f>
              <c:numCache>
                <c:formatCode>General</c:formatCode>
                <c:ptCount val="12"/>
                <c:pt idx="6">
                  <c:v>0.20866820920579876</c:v>
                </c:pt>
                <c:pt idx="7">
                  <c:v>0.26415902745745612</c:v>
                </c:pt>
                <c:pt idx="8">
                  <c:v>0.24044998978232002</c:v>
                </c:pt>
                <c:pt idx="9">
                  <c:v>0.25506764691269268</c:v>
                </c:pt>
                <c:pt idx="10">
                  <c:v>0.26356362112924536</c:v>
                </c:pt>
                <c:pt idx="11">
                  <c:v>0.26857948348992888</c:v>
                </c:pt>
              </c:numCache>
            </c:numRef>
          </c:val>
          <c:extLst>
            <c:ext xmlns:c16="http://schemas.microsoft.com/office/drawing/2014/chart" uri="{C3380CC4-5D6E-409C-BE32-E72D297353CC}">
              <c16:uniqueId val="{0000000B-E8A7-4309-AED7-13A6998C5714}"/>
            </c:ext>
          </c:extLst>
        </c:ser>
        <c:ser>
          <c:idx val="12"/>
          <c:order val="12"/>
          <c:tx>
            <c:strRef>
              <c:f>[FanChart_Budget_2023.xlsx]Sheet6!$N$3</c:f>
              <c:strCache>
                <c:ptCount val="1"/>
              </c:strCache>
            </c:strRef>
          </c:tx>
          <c:spPr>
            <a:solidFill>
              <a:srgbClr val="FF0000">
                <a:alpha val="7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[FanChart_Budget_2023.xlsx]Sheet6!$N$4:$N$59</c:f>
              <c:numCache>
                <c:formatCode>General</c:formatCode>
                <c:ptCount val="12"/>
                <c:pt idx="6">
                  <c:v>0.21990486169558565</c:v>
                </c:pt>
                <c:pt idx="7">
                  <c:v>0.27838382578623388</c:v>
                </c:pt>
                <c:pt idx="8">
                  <c:v>0.25339807126842651</c:v>
                </c:pt>
                <c:pt idx="9">
                  <c:v>0.26880288008814723</c:v>
                </c:pt>
                <c:pt idx="10">
                  <c:v>0.27775635719982894</c:v>
                </c:pt>
                <c:pt idx="11">
                  <c:v>0.2830423206099173</c:v>
                </c:pt>
              </c:numCache>
            </c:numRef>
          </c:val>
          <c:extLst>
            <c:ext xmlns:c16="http://schemas.microsoft.com/office/drawing/2014/chart" uri="{C3380CC4-5D6E-409C-BE32-E72D297353CC}">
              <c16:uniqueId val="{0000000C-E8A7-4309-AED7-13A6998C5714}"/>
            </c:ext>
          </c:extLst>
        </c:ser>
        <c:ser>
          <c:idx val="13"/>
          <c:order val="13"/>
          <c:tx>
            <c:strRef>
              <c:f>[FanChart_Budget_2023.xlsx]Sheet6!$O$3</c:f>
              <c:strCache>
                <c:ptCount val="1"/>
              </c:strCache>
            </c:strRef>
          </c:tx>
          <c:spPr>
            <a:solidFill>
              <a:srgbClr val="FF0000">
                <a:alpha val="6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[FanChart_Budget_2023.xlsx]Sheet6!$O$4:$O$59</c:f>
              <c:numCache>
                <c:formatCode>General</c:formatCode>
                <c:ptCount val="12"/>
                <c:pt idx="6">
                  <c:v>0.23731192137006829</c:v>
                </c:pt>
                <c:pt idx="7">
                  <c:v>0.30041991826053405</c:v>
                </c:pt>
                <c:pt idx="8">
                  <c:v>0.27345636063028245</c:v>
                </c:pt>
                <c:pt idx="9">
                  <c:v>0.29008057144198496</c:v>
                </c:pt>
                <c:pt idx="10">
                  <c:v>0.29974278099903451</c:v>
                </c:pt>
                <c:pt idx="11">
                  <c:v>0.30544716662956262</c:v>
                </c:pt>
              </c:numCache>
            </c:numRef>
          </c:val>
          <c:extLst>
            <c:ext xmlns:c16="http://schemas.microsoft.com/office/drawing/2014/chart" uri="{C3380CC4-5D6E-409C-BE32-E72D297353CC}">
              <c16:uniqueId val="{0000000D-E8A7-4309-AED7-13A6998C5714}"/>
            </c:ext>
          </c:extLst>
        </c:ser>
        <c:ser>
          <c:idx val="14"/>
          <c:order val="14"/>
          <c:tx>
            <c:strRef>
              <c:f>[FanChart_Budget_2023.xlsx]Sheet6!$P$3</c:f>
              <c:strCache>
                <c:ptCount val="1"/>
              </c:strCache>
            </c:strRef>
          </c:tx>
          <c:spPr>
            <a:solidFill>
              <a:srgbClr val="FF0000">
                <a:alpha val="5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[FanChart_Budget_2023.xlsx]Sheet6!$P$4:$P$59</c:f>
              <c:numCache>
                <c:formatCode>General</c:formatCode>
                <c:ptCount val="12"/>
                <c:pt idx="6">
                  <c:v>0.264258078096681</c:v>
                </c:pt>
                <c:pt idx="7">
                  <c:v>0.33453182530046988</c:v>
                </c:pt>
                <c:pt idx="8">
                  <c:v>0.30450662523094429</c:v>
                </c:pt>
                <c:pt idx="9">
                  <c:v>0.32301847231225622</c:v>
                </c:pt>
                <c:pt idx="10">
                  <c:v>0.33377780084902753</c:v>
                </c:pt>
                <c:pt idx="11">
                  <c:v>0.34012990475827642</c:v>
                </c:pt>
              </c:numCache>
            </c:numRef>
          </c:val>
          <c:extLst>
            <c:ext xmlns:c16="http://schemas.microsoft.com/office/drawing/2014/chart" uri="{C3380CC4-5D6E-409C-BE32-E72D297353CC}">
              <c16:uniqueId val="{0000000E-E8A7-4309-AED7-13A6998C5714}"/>
            </c:ext>
          </c:extLst>
        </c:ser>
        <c:ser>
          <c:idx val="15"/>
          <c:order val="15"/>
          <c:tx>
            <c:strRef>
              <c:f>[FanChart_Budget_2023.xlsx]Sheet6!$Q$3</c:f>
              <c:strCache>
                <c:ptCount val="1"/>
              </c:strCache>
            </c:strRef>
          </c:tx>
          <c:spPr>
            <a:solidFill>
              <a:srgbClr val="FF0000">
                <a:alpha val="4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[FanChart_Budget_2023.xlsx]Sheet6!$Q$4:$Q$59</c:f>
              <c:numCache>
                <c:formatCode>General</c:formatCode>
                <c:ptCount val="12"/>
                <c:pt idx="6">
                  <c:v>0.30802506429891174</c:v>
                </c:pt>
                <c:pt idx="7">
                  <c:v>0.38993769931419209</c:v>
                </c:pt>
                <c:pt idx="8">
                  <c:v>0.35493966160569279</c:v>
                </c:pt>
                <c:pt idx="9">
                  <c:v>0.37651748026153697</c:v>
                </c:pt>
                <c:pt idx="10">
                  <c:v>0.38905879172577862</c:v>
                </c:pt>
                <c:pt idx="11">
                  <c:v>0.39646294462498943</c:v>
                </c:pt>
              </c:numCache>
            </c:numRef>
          </c:val>
          <c:extLst>
            <c:ext xmlns:c16="http://schemas.microsoft.com/office/drawing/2014/chart" uri="{C3380CC4-5D6E-409C-BE32-E72D297353CC}">
              <c16:uniqueId val="{0000000F-E8A7-4309-AED7-13A6998C5714}"/>
            </c:ext>
          </c:extLst>
        </c:ser>
        <c:ser>
          <c:idx val="16"/>
          <c:order val="16"/>
          <c:tx>
            <c:strRef>
              <c:f>[FanChart_Budget_2023.xlsx]Sheet6!$R$3</c:f>
              <c:strCache>
                <c:ptCount val="1"/>
              </c:strCache>
            </c:strRef>
          </c:tx>
          <c:spPr>
            <a:solidFill>
              <a:srgbClr val="FF0000">
                <a:alpha val="3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[FanChart_Budget_2023.xlsx]Sheet6!$R$4:$R$59</c:f>
              <c:numCache>
                <c:formatCode>General</c:formatCode>
                <c:ptCount val="12"/>
                <c:pt idx="6">
                  <c:v>0.38756586611335031</c:v>
                </c:pt>
                <c:pt idx="7">
                  <c:v>0.49063066510164255</c:v>
                </c:pt>
                <c:pt idx="8">
                  <c:v>0.44659514212355589</c:v>
                </c:pt>
                <c:pt idx="9">
                  <c:v>0.47374496512651199</c:v>
                </c:pt>
                <c:pt idx="10">
                  <c:v>0.48952479866342991</c:v>
                </c:pt>
                <c:pt idx="11">
                  <c:v>0.49884091369371042</c:v>
                </c:pt>
              </c:numCache>
            </c:numRef>
          </c:val>
          <c:extLst>
            <c:ext xmlns:c16="http://schemas.microsoft.com/office/drawing/2014/chart" uri="{C3380CC4-5D6E-409C-BE32-E72D297353CC}">
              <c16:uniqueId val="{00000010-E8A7-4309-AED7-13A6998C5714}"/>
            </c:ext>
          </c:extLst>
        </c:ser>
        <c:ser>
          <c:idx val="17"/>
          <c:order val="17"/>
          <c:tx>
            <c:strRef>
              <c:f>[FanChart_Budget_2023.xlsx]Sheet6!$S$3</c:f>
              <c:strCache>
                <c:ptCount val="1"/>
              </c:strCache>
            </c:strRef>
          </c:tx>
          <c:spPr>
            <a:solidFill>
              <a:srgbClr val="FF0000">
                <a:alpha val="20000"/>
              </a:srgbClr>
            </a:solidFill>
          </c:spPr>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[FanChart_Budget_2023.xlsx]Sheet6!$S$4:$S$59</c:f>
              <c:numCache>
                <c:formatCode>General</c:formatCode>
                <c:ptCount val="12"/>
                <c:pt idx="6">
                  <c:v>0.5744309963400358</c:v>
                </c:pt>
                <c:pt idx="7">
                  <c:v>0.72718855407892136</c:v>
                </c:pt>
                <c:pt idx="8">
                  <c:v>0.66192127553262026</c:v>
                </c:pt>
                <c:pt idx="9">
                  <c:v>0.70216140306098929</c:v>
                </c:pt>
                <c:pt idx="10">
                  <c:v>0.72554949343023267</c:v>
                </c:pt>
                <c:pt idx="11">
                  <c:v>0.73935737928078105</c:v>
                </c:pt>
              </c:numCache>
            </c:numRef>
          </c:val>
          <c:extLst>
            <c:ext xmlns:c16="http://schemas.microsoft.com/office/drawing/2014/chart" uri="{C3380CC4-5D6E-409C-BE32-E72D297353CC}">
              <c16:uniqueId val="{00000011-E8A7-4309-AED7-13A6998C5714}"/>
            </c:ext>
          </c:extLst>
        </c:ser>
        <c:dLbls>
          <c:showLegendKey val="0"/>
          <c:showVal val="0"/>
          <c:showCatName val="0"/>
          <c:showSerName val="0"/>
          <c:showPercent val="0"/>
          <c:showBubbleSize val="0"/>
        </c:dLbls>
        <c:axId val="334690176"/>
        <c:axId val="334691712"/>
      </c:areaChart>
      <c:lineChart>
        <c:grouping val="standard"/>
        <c:varyColors val="0"/>
        <c:ser>
          <c:idx val="18"/>
          <c:order val="18"/>
          <c:tx>
            <c:strRef>
              <c:f>[FanChart_Budget_2023.xlsx]Sheet6!$T$3</c:f>
              <c:strCache>
                <c:ptCount val="1"/>
              </c:strCache>
            </c:strRef>
          </c:tx>
          <c:marker>
            <c:symbol val="none"/>
          </c:marker>
          <c:dLbls>
            <c:dLbl>
              <c:idx val="11"/>
              <c:layout>
                <c:manualLayout>
                  <c:x val="-2.2633744855967079E-2"/>
                  <c:y val="8.3125519534496487E-3"/>
                </c:manualLayout>
              </c:layout>
              <c:spPr>
                <a:noFill/>
                <a:ln>
                  <a:noFill/>
                </a:ln>
                <a:effectLst/>
              </c:spPr>
              <c:txPr>
                <a:bodyPr wrap="square" lIns="38100" tIns="19050" rIns="38100" bIns="19050" anchor="ctr">
                  <a:noAutofit/>
                </a:bodyPr>
                <a:lstStyle/>
                <a:p>
                  <a:pPr>
                    <a:defRPr sz="1200" b="1">
                      <a:latin typeface="GHEA Grapalat" panose="02000506050000020003" pitchFamily="50"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7139917695473243E-2"/>
                      <c:h val="7.5178719866999172E-2"/>
                    </c:manualLayout>
                  </c15:layout>
                </c:ext>
                <c:ext xmlns:c16="http://schemas.microsoft.com/office/drawing/2014/chart" uri="{C3380CC4-5D6E-409C-BE32-E72D297353CC}">
                  <c16:uniqueId val="{00000012-E8A7-4309-AED7-13A6998C5714}"/>
                </c:ext>
              </c:extLst>
            </c:dLbl>
            <c:spPr>
              <a:noFill/>
              <a:ln>
                <a:noFill/>
              </a:ln>
              <a:effectLst/>
            </c:spPr>
            <c:txPr>
              <a:bodyPr wrap="square" lIns="38100" tIns="19050" rIns="38100" bIns="19050" anchor="ctr">
                <a:spAutoFit/>
              </a:bodyPr>
              <a:lstStyle/>
              <a:p>
                <a:pPr>
                  <a:defRPr sz="12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[FanChart_Budget_2023.xlsx]Sheet6!$A$4:$A$59</c:f>
              <c:strCache>
                <c:ptCount val="12"/>
                <c:pt idx="0">
                  <c:v>2018/4</c:v>
                </c:pt>
                <c:pt idx="1">
                  <c:v>2019/4</c:v>
                </c:pt>
                <c:pt idx="2">
                  <c:v>2020/4</c:v>
                </c:pt>
                <c:pt idx="3">
                  <c:v>2021/4</c:v>
                </c:pt>
                <c:pt idx="4">
                  <c:v>2022/1</c:v>
                </c:pt>
                <c:pt idx="5">
                  <c:v>2022/2</c:v>
                </c:pt>
                <c:pt idx="6">
                  <c:v>2022/3*</c:v>
                </c:pt>
                <c:pt idx="7">
                  <c:v>2022/4*</c:v>
                </c:pt>
                <c:pt idx="8">
                  <c:v>2023/1*</c:v>
                </c:pt>
                <c:pt idx="9">
                  <c:v>2023/2*</c:v>
                </c:pt>
                <c:pt idx="10">
                  <c:v>2023/3*</c:v>
                </c:pt>
                <c:pt idx="11">
                  <c:v>2023/4*</c:v>
                </c:pt>
              </c:strCache>
            </c:strRef>
          </c:cat>
          <c:val>
            <c:numRef>
              <c:f>[FanChart_Budget_2023.xlsx]Sheet6!$T$4:$T$59</c:f>
              <c:numCache>
                <c:formatCode>General</c:formatCode>
                <c:ptCount val="12"/>
                <c:pt idx="0">
                  <c:v>7</c:v>
                </c:pt>
                <c:pt idx="1">
                  <c:v>7</c:v>
                </c:pt>
                <c:pt idx="2">
                  <c:v>7</c:v>
                </c:pt>
                <c:pt idx="3">
                  <c:v>7</c:v>
                </c:pt>
                <c:pt idx="4">
                  <c:v>7</c:v>
                </c:pt>
                <c:pt idx="5">
                  <c:v>7</c:v>
                </c:pt>
                <c:pt idx="6">
                  <c:v>7</c:v>
                </c:pt>
                <c:pt idx="7">
                  <c:v>7</c:v>
                </c:pt>
                <c:pt idx="8">
                  <c:v>7</c:v>
                </c:pt>
                <c:pt idx="9">
                  <c:v>7</c:v>
                </c:pt>
                <c:pt idx="10">
                  <c:v>7</c:v>
                </c:pt>
                <c:pt idx="11">
                  <c:v>7</c:v>
                </c:pt>
              </c:numCache>
            </c:numRef>
          </c:val>
          <c:smooth val="0"/>
          <c:extLst>
            <c:ext xmlns:c16="http://schemas.microsoft.com/office/drawing/2014/chart" uri="{C3380CC4-5D6E-409C-BE32-E72D297353CC}">
              <c16:uniqueId val="{00000013-E8A7-4309-AED7-13A6998C5714}"/>
            </c:ext>
          </c:extLst>
        </c:ser>
        <c:dLbls>
          <c:showLegendKey val="0"/>
          <c:showVal val="0"/>
          <c:showCatName val="0"/>
          <c:showSerName val="0"/>
          <c:showPercent val="0"/>
          <c:showBubbleSize val="0"/>
        </c:dLbls>
        <c:marker val="1"/>
        <c:smooth val="0"/>
        <c:axId val="334690176"/>
        <c:axId val="334691712"/>
      </c:lineChart>
      <c:catAx>
        <c:axId val="334690176"/>
        <c:scaling>
          <c:orientation val="minMax"/>
        </c:scaling>
        <c:delete val="0"/>
        <c:axPos val="b"/>
        <c:numFmt formatCode="General" sourceLinked="0"/>
        <c:majorTickMark val="out"/>
        <c:minorTickMark val="none"/>
        <c:tickLblPos val="nextTo"/>
        <c:txPr>
          <a:bodyPr/>
          <a:lstStyle/>
          <a:p>
            <a:pPr>
              <a:defRPr sz="1200"/>
            </a:pPr>
            <a:endParaRPr lang="en-US"/>
          </a:p>
        </c:txPr>
        <c:crossAx val="334691712"/>
        <c:crosses val="autoZero"/>
        <c:auto val="1"/>
        <c:lblAlgn val="ctr"/>
        <c:lblOffset val="100"/>
        <c:noMultiLvlLbl val="0"/>
      </c:catAx>
      <c:valAx>
        <c:axId val="334691712"/>
        <c:scaling>
          <c:orientation val="minMax"/>
          <c:max val="15"/>
          <c:min val="-8"/>
        </c:scaling>
        <c:delete val="0"/>
        <c:axPos val="l"/>
        <c:numFmt formatCode="General" sourceLinked="1"/>
        <c:majorTickMark val="out"/>
        <c:minorTickMark val="none"/>
        <c:tickLblPos val="nextTo"/>
        <c:crossAx val="334690176"/>
        <c:crosses val="autoZero"/>
        <c:crossBetween val="between"/>
        <c:majorUnit val="3"/>
      </c:valAx>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200096683625"/>
          <c:y val="9.7387132828492137E-2"/>
          <c:w val="0.77075361005773846"/>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Sheet1!$B$2:$B$542</c:f>
              <c:numCache>
                <c:formatCode>0</c:formatCode>
                <c:ptCount val="541"/>
                <c:pt idx="0">
                  <c:v>100</c:v>
                </c:pt>
                <c:pt idx="1">
                  <c:v>99.954226676039298</c:v>
                </c:pt>
                <c:pt idx="2">
                  <c:v>99.85450622026778</c:v>
                </c:pt>
                <c:pt idx="3">
                  <c:v>99.695934347975353</c:v>
                </c:pt>
                <c:pt idx="4">
                  <c:v>99.738438148796007</c:v>
                </c:pt>
                <c:pt idx="5">
                  <c:v>99.419659642641136</c:v>
                </c:pt>
                <c:pt idx="6">
                  <c:v>99.537362475682926</c:v>
                </c:pt>
                <c:pt idx="7">
                  <c:v>99.390233934380689</c:v>
                </c:pt>
                <c:pt idx="8">
                  <c:v>99.246374916218485</c:v>
                </c:pt>
                <c:pt idx="9">
                  <c:v>98.469863170456605</c:v>
                </c:pt>
                <c:pt idx="10">
                  <c:v>98.167432280001975</c:v>
                </c:pt>
                <c:pt idx="11">
                  <c:v>97.760376649065748</c:v>
                </c:pt>
                <c:pt idx="12">
                  <c:v>98.31292605973421</c:v>
                </c:pt>
                <c:pt idx="13">
                  <c:v>98.525445063837452</c:v>
                </c:pt>
                <c:pt idx="14">
                  <c:v>98.074250870510554</c:v>
                </c:pt>
                <c:pt idx="15">
                  <c:v>97.387651011100047</c:v>
                </c:pt>
                <c:pt idx="16">
                  <c:v>97.781628549476068</c:v>
                </c:pt>
                <c:pt idx="17">
                  <c:v>97.526605744552171</c:v>
                </c:pt>
                <c:pt idx="18">
                  <c:v>97.520066698272075</c:v>
                </c:pt>
                <c:pt idx="19">
                  <c:v>97.663925716434278</c:v>
                </c:pt>
                <c:pt idx="20">
                  <c:v>97.269948178058243</c:v>
                </c:pt>
                <c:pt idx="21">
                  <c:v>97.037812035114698</c:v>
                </c:pt>
                <c:pt idx="22">
                  <c:v>96.496705955436411</c:v>
                </c:pt>
                <c:pt idx="23">
                  <c:v>96.714129244249747</c:v>
                </c:pt>
                <c:pt idx="24">
                  <c:v>95.797028003465712</c:v>
                </c:pt>
                <c:pt idx="25">
                  <c:v>95.259191446927474</c:v>
                </c:pt>
                <c:pt idx="26">
                  <c:v>95.231400500237044</c:v>
                </c:pt>
                <c:pt idx="27">
                  <c:v>95.837897042716335</c:v>
                </c:pt>
                <c:pt idx="28">
                  <c:v>95.533831390691674</c:v>
                </c:pt>
                <c:pt idx="29">
                  <c:v>94.63961681188799</c:v>
                </c:pt>
                <c:pt idx="30">
                  <c:v>94.673946804858517</c:v>
                </c:pt>
                <c:pt idx="31">
                  <c:v>92.027267822988023</c:v>
                </c:pt>
                <c:pt idx="32">
                  <c:v>91.052949927253124</c:v>
                </c:pt>
                <c:pt idx="33">
                  <c:v>91.530300305700436</c:v>
                </c:pt>
                <c:pt idx="34">
                  <c:v>89.853034934854762</c:v>
                </c:pt>
                <c:pt idx="35">
                  <c:v>86.773144136927641</c:v>
                </c:pt>
                <c:pt idx="36">
                  <c:v>87.503882558728819</c:v>
                </c:pt>
                <c:pt idx="37">
                  <c:v>87.041245034411745</c:v>
                </c:pt>
                <c:pt idx="38">
                  <c:v>87.342041163296329</c:v>
                </c:pt>
                <c:pt idx="39">
                  <c:v>88.00085007601642</c:v>
                </c:pt>
                <c:pt idx="40">
                  <c:v>89.127200797763649</c:v>
                </c:pt>
                <c:pt idx="41">
                  <c:v>88.370306190842058</c:v>
                </c:pt>
                <c:pt idx="42">
                  <c:v>86.830360791878505</c:v>
                </c:pt>
                <c:pt idx="43">
                  <c:v>87.351849732716474</c:v>
                </c:pt>
                <c:pt idx="44">
                  <c:v>88.116918147488192</c:v>
                </c:pt>
                <c:pt idx="45">
                  <c:v>88.286933350770795</c:v>
                </c:pt>
                <c:pt idx="46">
                  <c:v>87.881512481404599</c:v>
                </c:pt>
                <c:pt idx="47">
                  <c:v>86.53937323241405</c:v>
                </c:pt>
                <c:pt idx="48">
                  <c:v>86.957872194340467</c:v>
                </c:pt>
                <c:pt idx="49">
                  <c:v>86.988932664170946</c:v>
                </c:pt>
                <c:pt idx="50">
                  <c:v>85.883833842834036</c:v>
                </c:pt>
                <c:pt idx="51">
                  <c:v>85.807000049042855</c:v>
                </c:pt>
                <c:pt idx="52">
                  <c:v>85.641889130470332</c:v>
                </c:pt>
                <c:pt idx="53">
                  <c:v>86.426574684082354</c:v>
                </c:pt>
                <c:pt idx="54">
                  <c:v>87.438492095927842</c:v>
                </c:pt>
                <c:pt idx="55">
                  <c:v>86.594955125794925</c:v>
                </c:pt>
                <c:pt idx="56">
                  <c:v>86.18462997171865</c:v>
                </c:pt>
                <c:pt idx="57">
                  <c:v>86.737179382387097</c:v>
                </c:pt>
                <c:pt idx="58">
                  <c:v>86.104526654787421</c:v>
                </c:pt>
                <c:pt idx="59">
                  <c:v>86.263098527079862</c:v>
                </c:pt>
                <c:pt idx="60">
                  <c:v>86.160108548168282</c:v>
                </c:pt>
                <c:pt idx="61">
                  <c:v>87.261937846365129</c:v>
                </c:pt>
                <c:pt idx="62">
                  <c:v>87.891321050824772</c:v>
                </c:pt>
                <c:pt idx="63">
                  <c:v>88.329437151591449</c:v>
                </c:pt>
                <c:pt idx="64">
                  <c:v>88.259142404080379</c:v>
                </c:pt>
                <c:pt idx="65">
                  <c:v>89.236729822955354</c:v>
                </c:pt>
                <c:pt idx="66">
                  <c:v>89.06507985810272</c:v>
                </c:pt>
                <c:pt idx="67">
                  <c:v>91.023524218992677</c:v>
                </c:pt>
                <c:pt idx="68">
                  <c:v>91.04314135783298</c:v>
                </c:pt>
                <c:pt idx="69">
                  <c:v>91.304703209036987</c:v>
                </c:pt>
                <c:pt idx="70">
                  <c:v>91.858887381275466</c:v>
                </c:pt>
                <c:pt idx="71">
                  <c:v>92.035441630838164</c:v>
                </c:pt>
                <c:pt idx="72">
                  <c:v>91.71829788625331</c:v>
                </c:pt>
                <c:pt idx="73">
                  <c:v>90.488957185594501</c:v>
                </c:pt>
                <c:pt idx="74">
                  <c:v>90.667146196727231</c:v>
                </c:pt>
                <c:pt idx="75">
                  <c:v>90.229030095960525</c:v>
                </c:pt>
                <c:pt idx="76">
                  <c:v>90.042667276977667</c:v>
                </c:pt>
                <c:pt idx="77">
                  <c:v>89.226921253535195</c:v>
                </c:pt>
                <c:pt idx="78">
                  <c:v>89.411649310948007</c:v>
                </c:pt>
                <c:pt idx="79">
                  <c:v>90.153831063739361</c:v>
                </c:pt>
                <c:pt idx="80">
                  <c:v>89.246538392375484</c:v>
                </c:pt>
                <c:pt idx="81">
                  <c:v>89.529352143989797</c:v>
                </c:pt>
                <c:pt idx="82">
                  <c:v>88.775727060208268</c:v>
                </c:pt>
                <c:pt idx="83">
                  <c:v>88.7512056366579</c:v>
                </c:pt>
                <c:pt idx="84">
                  <c:v>89.522813097709701</c:v>
                </c:pt>
                <c:pt idx="85">
                  <c:v>89.831783034444427</c:v>
                </c:pt>
                <c:pt idx="86">
                  <c:v>89.745140671233102</c:v>
                </c:pt>
                <c:pt idx="87">
                  <c:v>89.615994507201123</c:v>
                </c:pt>
                <c:pt idx="88">
                  <c:v>89.964198721616455</c:v>
                </c:pt>
                <c:pt idx="89">
                  <c:v>89.85630445799481</c:v>
                </c:pt>
                <c:pt idx="90">
                  <c:v>90.063919177388001</c:v>
                </c:pt>
                <c:pt idx="91">
                  <c:v>90.158735348449454</c:v>
                </c:pt>
                <c:pt idx="92">
                  <c:v>90.2666296120711</c:v>
                </c:pt>
                <c:pt idx="93">
                  <c:v>90.162004871589502</c:v>
                </c:pt>
                <c:pt idx="94">
                  <c:v>90.059014892677936</c:v>
                </c:pt>
                <c:pt idx="95">
                  <c:v>91.355380817707768</c:v>
                </c:pt>
                <c:pt idx="96">
                  <c:v>91.409327949518584</c:v>
                </c:pt>
                <c:pt idx="97">
                  <c:v>91.013715649572532</c:v>
                </c:pt>
                <c:pt idx="98">
                  <c:v>91.048045642543073</c:v>
                </c:pt>
                <c:pt idx="99">
                  <c:v>91.428945088358901</c:v>
                </c:pt>
                <c:pt idx="100">
                  <c:v>91.53030030570045</c:v>
                </c:pt>
                <c:pt idx="101">
                  <c:v>91.479622697029683</c:v>
                </c:pt>
                <c:pt idx="102">
                  <c:v>90.889473770250646</c:v>
                </c:pt>
                <c:pt idx="103">
                  <c:v>90.506939562864787</c:v>
                </c:pt>
                <c:pt idx="104">
                  <c:v>90.57559954880584</c:v>
                </c:pt>
                <c:pt idx="105">
                  <c:v>89.887364927825317</c:v>
                </c:pt>
                <c:pt idx="106">
                  <c:v>89.526082620849792</c:v>
                </c:pt>
                <c:pt idx="107">
                  <c:v>89.586568798940704</c:v>
                </c:pt>
                <c:pt idx="108">
                  <c:v>89.599646891500896</c:v>
                </c:pt>
                <c:pt idx="109">
                  <c:v>89.823609226594314</c:v>
                </c:pt>
                <c:pt idx="110">
                  <c:v>89.836687319154521</c:v>
                </c:pt>
                <c:pt idx="111">
                  <c:v>89.753314479083244</c:v>
                </c:pt>
                <c:pt idx="112">
                  <c:v>89.758218763793323</c:v>
                </c:pt>
                <c:pt idx="113">
                  <c:v>89.715714962972683</c:v>
                </c:pt>
                <c:pt idx="114">
                  <c:v>89.328276470876744</c:v>
                </c:pt>
                <c:pt idx="115">
                  <c:v>89.77129685635353</c:v>
                </c:pt>
                <c:pt idx="116">
                  <c:v>89.584934037370672</c:v>
                </c:pt>
                <c:pt idx="117">
                  <c:v>89.732062578672938</c:v>
                </c:pt>
                <c:pt idx="118">
                  <c:v>90.806100930179369</c:v>
                </c:pt>
                <c:pt idx="119">
                  <c:v>90.863317585130261</c:v>
                </c:pt>
                <c:pt idx="120">
                  <c:v>90.521652416995025</c:v>
                </c:pt>
                <c:pt idx="121">
                  <c:v>90.578869071945903</c:v>
                </c:pt>
                <c:pt idx="122">
                  <c:v>90.71618904382801</c:v>
                </c:pt>
                <c:pt idx="123">
                  <c:v>90.00016347615707</c:v>
                </c:pt>
                <c:pt idx="124">
                  <c:v>90.796292360759239</c:v>
                </c:pt>
                <c:pt idx="125">
                  <c:v>90.631181442186715</c:v>
                </c:pt>
                <c:pt idx="126">
                  <c:v>90.779944745058984</c:v>
                </c:pt>
                <c:pt idx="127">
                  <c:v>91.255660361936265</c:v>
                </c:pt>
                <c:pt idx="128">
                  <c:v>91.262199408216361</c:v>
                </c:pt>
                <c:pt idx="129">
                  <c:v>91.533569828840498</c:v>
                </c:pt>
                <c:pt idx="130">
                  <c:v>90.884569485540567</c:v>
                </c:pt>
                <c:pt idx="131">
                  <c:v>89.645420215461613</c:v>
                </c:pt>
                <c:pt idx="132">
                  <c:v>88.682545650716861</c:v>
                </c:pt>
                <c:pt idx="133">
                  <c:v>89.110853182063408</c:v>
                </c:pt>
                <c:pt idx="134">
                  <c:v>88.615520426345824</c:v>
                </c:pt>
                <c:pt idx="135">
                  <c:v>88.393192852822423</c:v>
                </c:pt>
                <c:pt idx="136">
                  <c:v>89.119026989913536</c:v>
                </c:pt>
                <c:pt idx="137">
                  <c:v>89.228556015105212</c:v>
                </c:pt>
                <c:pt idx="138">
                  <c:v>89.251442677085549</c:v>
                </c:pt>
                <c:pt idx="139">
                  <c:v>89.127200797763649</c:v>
                </c:pt>
                <c:pt idx="140">
                  <c:v>89.315198378316524</c:v>
                </c:pt>
                <c:pt idx="141">
                  <c:v>89.573490706380468</c:v>
                </c:pt>
                <c:pt idx="142">
                  <c:v>90.116231547628772</c:v>
                </c:pt>
                <c:pt idx="143">
                  <c:v>89.459057396478713</c:v>
                </c:pt>
                <c:pt idx="144">
                  <c:v>89.290676954766141</c:v>
                </c:pt>
                <c:pt idx="145">
                  <c:v>89.068349381242754</c:v>
                </c:pt>
                <c:pt idx="146">
                  <c:v>89.341354563436937</c:v>
                </c:pt>
                <c:pt idx="147">
                  <c:v>89.969103006326534</c:v>
                </c:pt>
                <c:pt idx="148">
                  <c:v>89.897173497245447</c:v>
                </c:pt>
                <c:pt idx="149">
                  <c:v>89.993624429876917</c:v>
                </c:pt>
                <c:pt idx="150">
                  <c:v>90.1162315476288</c:v>
                </c:pt>
                <c:pt idx="151">
                  <c:v>89.516274051429633</c:v>
                </c:pt>
                <c:pt idx="152">
                  <c:v>88.87054323126975</c:v>
                </c:pt>
                <c:pt idx="153">
                  <c:v>88.775727060208297</c:v>
                </c:pt>
                <c:pt idx="154">
                  <c:v>88.747936113517866</c:v>
                </c:pt>
                <c:pt idx="155">
                  <c:v>88.778996583348359</c:v>
                </c:pt>
                <c:pt idx="156">
                  <c:v>89.748410194373193</c:v>
                </c:pt>
                <c:pt idx="157">
                  <c:v>90.994098510732243</c:v>
                </c:pt>
                <c:pt idx="158">
                  <c:v>91.507413643720085</c:v>
                </c:pt>
                <c:pt idx="159">
                  <c:v>91.460005558189366</c:v>
                </c:pt>
                <c:pt idx="160">
                  <c:v>91.30306844746697</c:v>
                </c:pt>
                <c:pt idx="161">
                  <c:v>91.507413643720099</c:v>
                </c:pt>
                <c:pt idx="162">
                  <c:v>91.992937830017539</c:v>
                </c:pt>
                <c:pt idx="163">
                  <c:v>92.037076392408196</c:v>
                </c:pt>
                <c:pt idx="164">
                  <c:v>92.383645845253497</c:v>
                </c:pt>
                <c:pt idx="165">
                  <c:v>92.118814470909442</c:v>
                </c:pt>
                <c:pt idx="166">
                  <c:v>91.888313089535913</c:v>
                </c:pt>
                <c:pt idx="167">
                  <c:v>92.298638243612189</c:v>
                </c:pt>
                <c:pt idx="168">
                  <c:v>92.272482058491789</c:v>
                </c:pt>
                <c:pt idx="169">
                  <c:v>92.135162086609682</c:v>
                </c:pt>
                <c:pt idx="170">
                  <c:v>92.79560576089979</c:v>
                </c:pt>
                <c:pt idx="171">
                  <c:v>92.754736721649152</c:v>
                </c:pt>
                <c:pt idx="172">
                  <c:v>93.469127527750089</c:v>
                </c:pt>
                <c:pt idx="173">
                  <c:v>93.532883228981078</c:v>
                </c:pt>
                <c:pt idx="174">
                  <c:v>93.894165535956603</c:v>
                </c:pt>
                <c:pt idx="175">
                  <c:v>93.639142731032706</c:v>
                </c:pt>
                <c:pt idx="176">
                  <c:v>94.021676938418565</c:v>
                </c:pt>
                <c:pt idx="177">
                  <c:v>93.807523172745277</c:v>
                </c:pt>
                <c:pt idx="178">
                  <c:v>94.064180739239191</c:v>
                </c:pt>
                <c:pt idx="179">
                  <c:v>94.319203544163102</c:v>
                </c:pt>
                <c:pt idx="180">
                  <c:v>94.634712527177939</c:v>
                </c:pt>
                <c:pt idx="181">
                  <c:v>94.608556342057526</c:v>
                </c:pt>
                <c:pt idx="182">
                  <c:v>93.832044596295646</c:v>
                </c:pt>
                <c:pt idx="183">
                  <c:v>94.150823102450516</c:v>
                </c:pt>
                <c:pt idx="184">
                  <c:v>94.311029736312975</c:v>
                </c:pt>
                <c:pt idx="185">
                  <c:v>94.407480668944444</c:v>
                </c:pt>
                <c:pt idx="186">
                  <c:v>94.739337267659522</c:v>
                </c:pt>
                <c:pt idx="187">
                  <c:v>94.801458207320465</c:v>
                </c:pt>
                <c:pt idx="188">
                  <c:v>94.211309280541442</c:v>
                </c:pt>
                <c:pt idx="189">
                  <c:v>93.941573621487322</c:v>
                </c:pt>
                <c:pt idx="190">
                  <c:v>94.559513494956789</c:v>
                </c:pt>
                <c:pt idx="191">
                  <c:v>93.889261251246523</c:v>
                </c:pt>
                <c:pt idx="192">
                  <c:v>94.106684540059845</c:v>
                </c:pt>
                <c:pt idx="193">
                  <c:v>94.680485851138613</c:v>
                </c:pt>
                <c:pt idx="194">
                  <c:v>94.433636854064829</c:v>
                </c:pt>
                <c:pt idx="195">
                  <c:v>93.624429876902454</c:v>
                </c:pt>
                <c:pt idx="196">
                  <c:v>93.845122688855824</c:v>
                </c:pt>
                <c:pt idx="197">
                  <c:v>93.062071896813848</c:v>
                </c:pt>
                <c:pt idx="198">
                  <c:v>93.292573278187376</c:v>
                </c:pt>
                <c:pt idx="199">
                  <c:v>93.935034575207197</c:v>
                </c:pt>
                <c:pt idx="200">
                  <c:v>93.881087443396368</c:v>
                </c:pt>
                <c:pt idx="201">
                  <c:v>93.552500367821338</c:v>
                </c:pt>
                <c:pt idx="202">
                  <c:v>94.172075002860822</c:v>
                </c:pt>
                <c:pt idx="203">
                  <c:v>94.508835886285965</c:v>
                </c:pt>
                <c:pt idx="204">
                  <c:v>94.685390135848678</c:v>
                </c:pt>
                <c:pt idx="205">
                  <c:v>94.780206306910131</c:v>
                </c:pt>
                <c:pt idx="206">
                  <c:v>94.956760556472815</c:v>
                </c:pt>
                <c:pt idx="207">
                  <c:v>94.703372513118936</c:v>
                </c:pt>
                <c:pt idx="208">
                  <c:v>94.732798221379383</c:v>
                </c:pt>
                <c:pt idx="209">
                  <c:v>94.667407758578392</c:v>
                </c:pt>
                <c:pt idx="210">
                  <c:v>94.776936783770068</c:v>
                </c:pt>
                <c:pt idx="211">
                  <c:v>93.138905690605</c:v>
                </c:pt>
                <c:pt idx="212">
                  <c:v>92.782527668339554</c:v>
                </c:pt>
                <c:pt idx="213">
                  <c:v>93.03591571169342</c:v>
                </c:pt>
                <c:pt idx="214">
                  <c:v>92.769449575779333</c:v>
                </c:pt>
                <c:pt idx="215">
                  <c:v>92.171126841150183</c:v>
                </c:pt>
                <c:pt idx="216">
                  <c:v>91.765705971783987</c:v>
                </c:pt>
                <c:pt idx="217">
                  <c:v>92.493174870445117</c:v>
                </c:pt>
                <c:pt idx="218">
                  <c:v>93.240260907946549</c:v>
                </c:pt>
                <c:pt idx="219">
                  <c:v>92.862630985270769</c:v>
                </c:pt>
                <c:pt idx="220">
                  <c:v>92.793970999329716</c:v>
                </c:pt>
                <c:pt idx="221">
                  <c:v>93.271321377777028</c:v>
                </c:pt>
                <c:pt idx="222">
                  <c:v>93.181409491425654</c:v>
                </c:pt>
                <c:pt idx="223">
                  <c:v>93.630968923182522</c:v>
                </c:pt>
                <c:pt idx="224">
                  <c:v>92.154779225449943</c:v>
                </c:pt>
                <c:pt idx="225">
                  <c:v>91.800035964754514</c:v>
                </c:pt>
                <c:pt idx="226">
                  <c:v>91.865426427555519</c:v>
                </c:pt>
                <c:pt idx="227">
                  <c:v>91.551552206110713</c:v>
                </c:pt>
                <c:pt idx="228">
                  <c:v>91.110166582203945</c:v>
                </c:pt>
                <c:pt idx="229">
                  <c:v>91.777149302774163</c:v>
                </c:pt>
                <c:pt idx="230">
                  <c:v>92.00601592257766</c:v>
                </c:pt>
                <c:pt idx="231">
                  <c:v>91.886678327965825</c:v>
                </c:pt>
                <c:pt idx="232">
                  <c:v>92.332968236582659</c:v>
                </c:pt>
                <c:pt idx="233">
                  <c:v>92.234882542381158</c:v>
                </c:pt>
                <c:pt idx="234">
                  <c:v>92.444132023344352</c:v>
                </c:pt>
                <c:pt idx="235">
                  <c:v>92.079580193228779</c:v>
                </c:pt>
                <c:pt idx="236">
                  <c:v>92.3231596671625</c:v>
                </c:pt>
                <c:pt idx="237">
                  <c:v>92.516061532425454</c:v>
                </c:pt>
                <c:pt idx="238">
                  <c:v>92.985238103022638</c:v>
                </c:pt>
                <c:pt idx="239">
                  <c:v>93.013029049713055</c:v>
                </c:pt>
                <c:pt idx="240">
                  <c:v>92.934560494351857</c:v>
                </c:pt>
                <c:pt idx="241">
                  <c:v>92.952542871622128</c:v>
                </c:pt>
                <c:pt idx="242">
                  <c:v>93.019568095993165</c:v>
                </c:pt>
                <c:pt idx="243">
                  <c:v>93.011394288143038</c:v>
                </c:pt>
                <c:pt idx="244">
                  <c:v>93.246799954226631</c:v>
                </c:pt>
                <c:pt idx="245">
                  <c:v>93.907243628516738</c:v>
                </c:pt>
                <c:pt idx="246">
                  <c:v>93.609717022772173</c:v>
                </c:pt>
                <c:pt idx="247">
                  <c:v>92.939464779061908</c:v>
                </c:pt>
                <c:pt idx="248">
                  <c:v>93.230452338526376</c:v>
                </c:pt>
                <c:pt idx="249">
                  <c:v>93.915417436366866</c:v>
                </c:pt>
                <c:pt idx="250">
                  <c:v>94.585669680077118</c:v>
                </c:pt>
                <c:pt idx="251">
                  <c:v>93.675107485573179</c:v>
                </c:pt>
                <c:pt idx="252">
                  <c:v>93.776462702914742</c:v>
                </c:pt>
                <c:pt idx="253">
                  <c:v>94.155727387160539</c:v>
                </c:pt>
                <c:pt idx="254">
                  <c:v>94.425463046214674</c:v>
                </c:pt>
                <c:pt idx="255">
                  <c:v>94.036389792548718</c:v>
                </c:pt>
                <c:pt idx="256">
                  <c:v>94.227656896241626</c:v>
                </c:pt>
                <c:pt idx="257">
                  <c:v>94.024946461558514</c:v>
                </c:pt>
                <c:pt idx="258">
                  <c:v>94.226022134671595</c:v>
                </c:pt>
                <c:pt idx="259">
                  <c:v>94.276699743342377</c:v>
                </c:pt>
                <c:pt idx="260">
                  <c:v>94.495757793725716</c:v>
                </c:pt>
                <c:pt idx="261">
                  <c:v>94.47777541645543</c:v>
                </c:pt>
                <c:pt idx="262">
                  <c:v>95.018881496133702</c:v>
                </c:pt>
                <c:pt idx="263">
                  <c:v>94.543165879256406</c:v>
                </c:pt>
                <c:pt idx="264">
                  <c:v>95.040133396544007</c:v>
                </c:pt>
                <c:pt idx="265">
                  <c:v>95.197070507266403</c:v>
                </c:pt>
                <c:pt idx="266">
                  <c:v>95.084271958934693</c:v>
                </c:pt>
                <c:pt idx="267">
                  <c:v>95.432476173350025</c:v>
                </c:pt>
                <c:pt idx="268">
                  <c:v>94.927334848212297</c:v>
                </c:pt>
                <c:pt idx="269">
                  <c:v>93.892530774386472</c:v>
                </c:pt>
                <c:pt idx="270">
                  <c:v>93.416815157509191</c:v>
                </c:pt>
                <c:pt idx="271">
                  <c:v>92.713867682398444</c:v>
                </c:pt>
                <c:pt idx="272">
                  <c:v>93.366137548838424</c:v>
                </c:pt>
                <c:pt idx="273">
                  <c:v>93.635873207892544</c:v>
                </c:pt>
                <c:pt idx="274">
                  <c:v>94.020042176848435</c:v>
                </c:pt>
                <c:pt idx="275">
                  <c:v>94.013503130568338</c:v>
                </c:pt>
                <c:pt idx="276">
                  <c:v>93.890896012816455</c:v>
                </c:pt>
                <c:pt idx="277">
                  <c:v>93.593369407071918</c:v>
                </c:pt>
                <c:pt idx="278">
                  <c:v>93.181409491425612</c:v>
                </c:pt>
                <c:pt idx="279">
                  <c:v>93.518170374850769</c:v>
                </c:pt>
                <c:pt idx="280">
                  <c:v>92.619051511337005</c:v>
                </c:pt>
                <c:pt idx="281">
                  <c:v>92.349315852282885</c:v>
                </c:pt>
                <c:pt idx="282">
                  <c:v>92.282290627911863</c:v>
                </c:pt>
                <c:pt idx="283">
                  <c:v>92.664824835297694</c:v>
                </c:pt>
                <c:pt idx="284">
                  <c:v>92.354220136992936</c:v>
                </c:pt>
                <c:pt idx="285">
                  <c:v>92.875709077830919</c:v>
                </c:pt>
                <c:pt idx="286">
                  <c:v>92.540582955975779</c:v>
                </c:pt>
                <c:pt idx="287">
                  <c:v>92.65011198116747</c:v>
                </c:pt>
                <c:pt idx="288">
                  <c:v>91.994572591587442</c:v>
                </c:pt>
                <c:pt idx="289">
                  <c:v>92.297003482042072</c:v>
                </c:pt>
                <c:pt idx="290">
                  <c:v>92.280655866341817</c:v>
                </c:pt>
                <c:pt idx="291">
                  <c:v>92.097562570499022</c:v>
                </c:pt>
                <c:pt idx="292">
                  <c:v>92.126988278759455</c:v>
                </c:pt>
                <c:pt idx="293">
                  <c:v>92.494809632015091</c:v>
                </c:pt>
                <c:pt idx="294">
                  <c:v>92.954177633192117</c:v>
                </c:pt>
                <c:pt idx="295">
                  <c:v>92.690981020418107</c:v>
                </c:pt>
                <c:pt idx="296">
                  <c:v>92.821761946020118</c:v>
                </c:pt>
                <c:pt idx="297">
                  <c:v>92.658285789017611</c:v>
                </c:pt>
                <c:pt idx="298">
                  <c:v>92.473557731604785</c:v>
                </c:pt>
                <c:pt idx="299">
                  <c:v>91.970051168037088</c:v>
                </c:pt>
                <c:pt idx="300">
                  <c:v>91.881774043255731</c:v>
                </c:pt>
                <c:pt idx="301">
                  <c:v>92.233247780811112</c:v>
                </c:pt>
                <c:pt idx="302">
                  <c:v>92.086119239508861</c:v>
                </c:pt>
                <c:pt idx="303">
                  <c:v>92.287194912621942</c:v>
                </c:pt>
                <c:pt idx="304">
                  <c:v>91.917738797796275</c:v>
                </c:pt>
                <c:pt idx="305">
                  <c:v>91.469814127609425</c:v>
                </c:pt>
                <c:pt idx="306">
                  <c:v>91.152670383024571</c:v>
                </c:pt>
                <c:pt idx="307">
                  <c:v>91.201713230125321</c:v>
                </c:pt>
                <c:pt idx="308">
                  <c:v>91.963512121756978</c:v>
                </c:pt>
                <c:pt idx="309">
                  <c:v>92.071406385378623</c:v>
                </c:pt>
                <c:pt idx="310">
                  <c:v>91.893217374245907</c:v>
                </c:pt>
                <c:pt idx="311">
                  <c:v>92.516061532425439</c:v>
                </c:pt>
                <c:pt idx="312">
                  <c:v>93.019568095993151</c:v>
                </c:pt>
                <c:pt idx="313">
                  <c:v>93.241895669516538</c:v>
                </c:pt>
                <c:pt idx="314">
                  <c:v>93.307286132317529</c:v>
                </c:pt>
                <c:pt idx="315">
                  <c:v>93.459318958329874</c:v>
                </c:pt>
                <c:pt idx="316">
                  <c:v>93.042454757973488</c:v>
                </c:pt>
                <c:pt idx="317">
                  <c:v>92.538948194405776</c:v>
                </c:pt>
                <c:pt idx="318">
                  <c:v>92.692615781988124</c:v>
                </c:pt>
                <c:pt idx="319">
                  <c:v>92.77435386048937</c:v>
                </c:pt>
                <c:pt idx="320">
                  <c:v>92.772719098919353</c:v>
                </c:pt>
                <c:pt idx="321">
                  <c:v>92.978699056742485</c:v>
                </c:pt>
                <c:pt idx="322">
                  <c:v>92.49317487044506</c:v>
                </c:pt>
                <c:pt idx="323">
                  <c:v>91.992937830017411</c:v>
                </c:pt>
                <c:pt idx="324">
                  <c:v>91.772245018064027</c:v>
                </c:pt>
                <c:pt idx="325">
                  <c:v>91.788592633764296</c:v>
                </c:pt>
                <c:pt idx="326">
                  <c:v>91.36682414869783</c:v>
                </c:pt>
                <c:pt idx="327">
                  <c:v>90.693302381847531</c:v>
                </c:pt>
                <c:pt idx="328">
                  <c:v>90.37452387569266</c:v>
                </c:pt>
                <c:pt idx="329">
                  <c:v>90.29932484347151</c:v>
                </c:pt>
                <c:pt idx="330">
                  <c:v>90.931977571071187</c:v>
                </c:pt>
                <c:pt idx="331">
                  <c:v>90.399045299243028</c:v>
                </c:pt>
                <c:pt idx="332">
                  <c:v>90.332020074872005</c:v>
                </c:pt>
                <c:pt idx="333">
                  <c:v>90.268264373641045</c:v>
                </c:pt>
                <c:pt idx="334">
                  <c:v>90.063919177387916</c:v>
                </c:pt>
                <c:pt idx="335">
                  <c:v>89.90044302038541</c:v>
                </c:pt>
                <c:pt idx="336">
                  <c:v>90.168543917869499</c:v>
                </c:pt>
                <c:pt idx="337">
                  <c:v>90.165274394729451</c:v>
                </c:pt>
                <c:pt idx="338">
                  <c:v>90.454627192623889</c:v>
                </c:pt>
                <c:pt idx="339">
                  <c:v>90.516748132284832</c:v>
                </c:pt>
                <c:pt idx="340">
                  <c:v>90.748884275228377</c:v>
                </c:pt>
                <c:pt idx="341">
                  <c:v>89.970737767896466</c:v>
                </c:pt>
                <c:pt idx="342">
                  <c:v>89.965833483186387</c:v>
                </c:pt>
                <c:pt idx="343">
                  <c:v>90.363080544702456</c:v>
                </c:pt>
                <c:pt idx="344">
                  <c:v>90.0982491703584</c:v>
                </c:pt>
                <c:pt idx="345">
                  <c:v>90.075362508378049</c:v>
                </c:pt>
                <c:pt idx="346">
                  <c:v>89.599646891500768</c:v>
                </c:pt>
                <c:pt idx="347">
                  <c:v>89.331545994016679</c:v>
                </c:pt>
                <c:pt idx="348">
                  <c:v>89.645420215461485</c:v>
                </c:pt>
                <c:pt idx="349">
                  <c:v>89.498291674159233</c:v>
                </c:pt>
                <c:pt idx="350">
                  <c:v>90.372889114122614</c:v>
                </c:pt>
                <c:pt idx="351">
                  <c:v>89.568586421670318</c:v>
                </c:pt>
                <c:pt idx="352">
                  <c:v>89.689558777852156</c:v>
                </c:pt>
                <c:pt idx="353">
                  <c:v>89.424727403508101</c:v>
                </c:pt>
                <c:pt idx="354">
                  <c:v>88.52397377842432</c:v>
                </c:pt>
                <c:pt idx="355">
                  <c:v>88.18884765656918</c:v>
                </c:pt>
                <c:pt idx="356">
                  <c:v>87.722940609112058</c:v>
                </c:pt>
                <c:pt idx="357">
                  <c:v>87.332232593876071</c:v>
                </c:pt>
                <c:pt idx="358">
                  <c:v>86.15520426345806</c:v>
                </c:pt>
                <c:pt idx="359">
                  <c:v>86.513217047293537</c:v>
                </c:pt>
                <c:pt idx="360">
                  <c:v>85.862581942423589</c:v>
                </c:pt>
                <c:pt idx="361">
                  <c:v>85.498030112308001</c:v>
                </c:pt>
                <c:pt idx="362">
                  <c:v>85.699105785421082</c:v>
                </c:pt>
                <c:pt idx="363">
                  <c:v>85.408118225956628</c:v>
                </c:pt>
                <c:pt idx="364">
                  <c:v>85.354171094145812</c:v>
                </c:pt>
                <c:pt idx="365">
                  <c:v>85.233198737963946</c:v>
                </c:pt>
                <c:pt idx="366">
                  <c:v>85.587941998659375</c:v>
                </c:pt>
                <c:pt idx="367">
                  <c:v>85.882199081263877</c:v>
                </c:pt>
                <c:pt idx="368">
                  <c:v>85.347632047865702</c:v>
                </c:pt>
                <c:pt idx="369">
                  <c:v>85.396674894966452</c:v>
                </c:pt>
                <c:pt idx="370">
                  <c:v>84.636510764904827</c:v>
                </c:pt>
                <c:pt idx="371">
                  <c:v>84.39129652940106</c:v>
                </c:pt>
                <c:pt idx="372">
                  <c:v>84.27849798106935</c:v>
                </c:pt>
                <c:pt idx="373">
                  <c:v>83.897598535253522</c:v>
                </c:pt>
                <c:pt idx="374">
                  <c:v>85.676219123440731</c:v>
                </c:pt>
                <c:pt idx="375">
                  <c:v>86.326854228310694</c:v>
                </c:pt>
                <c:pt idx="376">
                  <c:v>86.797665560477881</c:v>
                </c:pt>
                <c:pt idx="377">
                  <c:v>86.624380834055231</c:v>
                </c:pt>
                <c:pt idx="378">
                  <c:v>86.040770953556304</c:v>
                </c:pt>
                <c:pt idx="379">
                  <c:v>86.084909515946975</c:v>
                </c:pt>
                <c:pt idx="380">
                  <c:v>86.586781317944656</c:v>
                </c:pt>
                <c:pt idx="381">
                  <c:v>87.165486913733517</c:v>
                </c:pt>
                <c:pt idx="382">
                  <c:v>86.990567425740835</c:v>
                </c:pt>
                <c:pt idx="383">
                  <c:v>86.843438884438569</c:v>
                </c:pt>
                <c:pt idx="384">
                  <c:v>86.457635153912676</c:v>
                </c:pt>
                <c:pt idx="385">
                  <c:v>87.088653119942336</c:v>
                </c:pt>
                <c:pt idx="386">
                  <c:v>87.183469291003789</c:v>
                </c:pt>
                <c:pt idx="387">
                  <c:v>87.121348351342832</c:v>
                </c:pt>
                <c:pt idx="388">
                  <c:v>86.867960307988952</c:v>
                </c:pt>
                <c:pt idx="389">
                  <c:v>86.325219466740648</c:v>
                </c:pt>
                <c:pt idx="390">
                  <c:v>86.43965277664239</c:v>
                </c:pt>
                <c:pt idx="391">
                  <c:v>87.333867355446088</c:v>
                </c:pt>
                <c:pt idx="392">
                  <c:v>87.160582629023438</c:v>
                </c:pt>
                <c:pt idx="393">
                  <c:v>87.268476892645097</c:v>
                </c:pt>
                <c:pt idx="394">
                  <c:v>86.939889817070068</c:v>
                </c:pt>
                <c:pt idx="395">
                  <c:v>87.242320707524698</c:v>
                </c:pt>
                <c:pt idx="396">
                  <c:v>87.613411583920382</c:v>
                </c:pt>
                <c:pt idx="397">
                  <c:v>87.453204950057938</c:v>
                </c:pt>
                <c:pt idx="398">
                  <c:v>87.096826927792478</c:v>
                </c:pt>
                <c:pt idx="399">
                  <c:v>87.798139641333208</c:v>
                </c:pt>
                <c:pt idx="400">
                  <c:v>87.907668666524884</c:v>
                </c:pt>
                <c:pt idx="401">
                  <c:v>87.966520083045793</c:v>
                </c:pt>
                <c:pt idx="402">
                  <c:v>87.668993477301242</c:v>
                </c:pt>
                <c:pt idx="403">
                  <c:v>87.858625819424134</c:v>
                </c:pt>
                <c:pt idx="404">
                  <c:v>86.84670840757866</c:v>
                </c:pt>
                <c:pt idx="405">
                  <c:v>86.666884634875899</c:v>
                </c:pt>
                <c:pt idx="406">
                  <c:v>83.958084713344462</c:v>
                </c:pt>
                <c:pt idx="407">
                  <c:v>84.621797910774632</c:v>
                </c:pt>
                <c:pt idx="408">
                  <c:v>84.016936129865371</c:v>
                </c:pt>
                <c:pt idx="409">
                  <c:v>82.69441401971514</c:v>
                </c:pt>
                <c:pt idx="410">
                  <c:v>82.094456523515973</c:v>
                </c:pt>
                <c:pt idx="411">
                  <c:v>81.947327982213721</c:v>
                </c:pt>
                <c:pt idx="412">
                  <c:v>83.37447483284555</c:v>
                </c:pt>
                <c:pt idx="413">
                  <c:v>84.891533569828752</c:v>
                </c:pt>
                <c:pt idx="414">
                  <c:v>84.484477938892525</c:v>
                </c:pt>
                <c:pt idx="415">
                  <c:v>84.39947033725123</c:v>
                </c:pt>
                <c:pt idx="416">
                  <c:v>84.70680551241594</c:v>
                </c:pt>
                <c:pt idx="417">
                  <c:v>85.28387634663477</c:v>
                </c:pt>
                <c:pt idx="418">
                  <c:v>85.313302054895232</c:v>
                </c:pt>
                <c:pt idx="419">
                  <c:v>85.645158653610309</c:v>
                </c:pt>
                <c:pt idx="420">
                  <c:v>87.064131696392025</c:v>
                </c:pt>
                <c:pt idx="421">
                  <c:v>87.418874957087439</c:v>
                </c:pt>
                <c:pt idx="422">
                  <c:v>87.449935426917904</c:v>
                </c:pt>
                <c:pt idx="423">
                  <c:v>87.299537362475604</c:v>
                </c:pt>
                <c:pt idx="424">
                  <c:v>87.062496934821965</c:v>
                </c:pt>
                <c:pt idx="425">
                  <c:v>86.804204606758006</c:v>
                </c:pt>
                <c:pt idx="426">
                  <c:v>86.822186984028278</c:v>
                </c:pt>
                <c:pt idx="427">
                  <c:v>86.851612692288725</c:v>
                </c:pt>
                <c:pt idx="428">
                  <c:v>86.784587467917703</c:v>
                </c:pt>
                <c:pt idx="429">
                  <c:v>87.147504536463245</c:v>
                </c:pt>
                <c:pt idx="430">
                  <c:v>86.66198035016582</c:v>
                </c:pt>
                <c:pt idx="431">
                  <c:v>86.648902257605613</c:v>
                </c:pt>
                <c:pt idx="432">
                  <c:v>86.653806542315692</c:v>
                </c:pt>
                <c:pt idx="433">
                  <c:v>86.560625132824271</c:v>
                </c:pt>
                <c:pt idx="434">
                  <c:v>86.295793758480215</c:v>
                </c:pt>
                <c:pt idx="435">
                  <c:v>85.802095764332662</c:v>
                </c:pt>
                <c:pt idx="436">
                  <c:v>84.943845940069536</c:v>
                </c:pt>
                <c:pt idx="437">
                  <c:v>84.829412630167781</c:v>
                </c:pt>
                <c:pt idx="438">
                  <c:v>84.799986921907333</c:v>
                </c:pt>
                <c:pt idx="439">
                  <c:v>85.110591620212105</c:v>
                </c:pt>
                <c:pt idx="440">
                  <c:v>85.360710140425937</c:v>
                </c:pt>
                <c:pt idx="441">
                  <c:v>84.894803092968814</c:v>
                </c:pt>
                <c:pt idx="442">
                  <c:v>84.427261283941675</c:v>
                </c:pt>
                <c:pt idx="443">
                  <c:v>84.415817952951485</c:v>
                </c:pt>
                <c:pt idx="444">
                  <c:v>85.148191136322694</c:v>
                </c:pt>
                <c:pt idx="445">
                  <c:v>84.932402609079404</c:v>
                </c:pt>
                <c:pt idx="446">
                  <c:v>85.762861486652113</c:v>
                </c:pt>
                <c:pt idx="447">
                  <c:v>85.901816220104237</c:v>
                </c:pt>
                <c:pt idx="448">
                  <c:v>87.016723610861291</c:v>
                </c:pt>
                <c:pt idx="449">
                  <c:v>86.186264733288581</c:v>
                </c:pt>
                <c:pt idx="450">
                  <c:v>85.89364241225411</c:v>
                </c:pt>
                <c:pt idx="451">
                  <c:v>85.900181458534206</c:v>
                </c:pt>
                <c:pt idx="452">
                  <c:v>86.289254712200162</c:v>
                </c:pt>
                <c:pt idx="453">
                  <c:v>86.135587124617814</c:v>
                </c:pt>
                <c:pt idx="454">
                  <c:v>86.617841787775205</c:v>
                </c:pt>
                <c:pt idx="455">
                  <c:v>86.361184221281292</c:v>
                </c:pt>
                <c:pt idx="456">
                  <c:v>86.160108548168211</c:v>
                </c:pt>
                <c:pt idx="457">
                  <c:v>86.200977587418834</c:v>
                </c:pt>
                <c:pt idx="458">
                  <c:v>85.874025273413835</c:v>
                </c:pt>
                <c:pt idx="459">
                  <c:v>85.043566395841125</c:v>
                </c:pt>
              </c:numCache>
            </c:numRef>
          </c:val>
          <c:smooth val="0"/>
          <c:extLst>
            <c:ext xmlns:c16="http://schemas.microsoft.com/office/drawing/2014/chart" uri="{C3380CC4-5D6E-409C-BE32-E72D297353CC}">
              <c16:uniqueId val="{00000000-EF82-4DBE-A133-804C43A29F89}"/>
            </c:ext>
          </c:extLst>
        </c:ser>
        <c:ser>
          <c:idx val="1"/>
          <c:order val="1"/>
          <c:tx>
            <c:strRef>
              <c:f>Sheet1!$C$1</c:f>
              <c:strCache>
                <c:ptCount val="1"/>
                <c:pt idx="0">
                  <c:v>ՀՀ դրամ</c:v>
                </c:pt>
              </c:strCache>
            </c:strRef>
          </c:tx>
          <c:spPr>
            <a:ln w="28575" cap="rnd">
              <a:solidFill>
                <a:srgbClr val="E7E6E6">
                  <a:lumMod val="10000"/>
                </a:srgbClr>
              </a:solidFill>
              <a:round/>
            </a:ln>
            <a:effectLst/>
          </c:spPr>
          <c:marker>
            <c:symbol val="none"/>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Sheet1!$C$2:$C$542</c:f>
              <c:numCache>
                <c:formatCode>0</c:formatCode>
                <c:ptCount val="541"/>
                <c:pt idx="0">
                  <c:v>100</c:v>
                </c:pt>
                <c:pt idx="1">
                  <c:v>99.972882204468178</c:v>
                </c:pt>
                <c:pt idx="2">
                  <c:v>99.922857202426869</c:v>
                </c:pt>
                <c:pt idx="3">
                  <c:v>99.895781223945306</c:v>
                </c:pt>
                <c:pt idx="4">
                  <c:v>99.927024040366135</c:v>
                </c:pt>
                <c:pt idx="5">
                  <c:v>99.985396282310731</c:v>
                </c:pt>
                <c:pt idx="6">
                  <c:v>100.07517226978493</c:v>
                </c:pt>
                <c:pt idx="7">
                  <c:v>100.11070958577905</c:v>
                </c:pt>
                <c:pt idx="8">
                  <c:v>100.08144172739993</c:v>
                </c:pt>
                <c:pt idx="9">
                  <c:v>100.14208700739691</c:v>
                </c:pt>
                <c:pt idx="10">
                  <c:v>100.11907497545387</c:v>
                </c:pt>
                <c:pt idx="11">
                  <c:v>100.13790221479317</c:v>
                </c:pt>
                <c:pt idx="12">
                  <c:v>100.09607351712617</c:v>
                </c:pt>
                <c:pt idx="13">
                  <c:v>100.11280080213906</c:v>
                </c:pt>
                <c:pt idx="14">
                  <c:v>100.08562180223454</c:v>
                </c:pt>
                <c:pt idx="15">
                  <c:v>100.16510962024789</c:v>
                </c:pt>
                <c:pt idx="16">
                  <c:v>100.04383676025469</c:v>
                </c:pt>
                <c:pt idx="17">
                  <c:v>99.993740741513506</c:v>
                </c:pt>
                <c:pt idx="18">
                  <c:v>100.03130805034337</c:v>
                </c:pt>
                <c:pt idx="19">
                  <c:v>100.04383676025471</c:v>
                </c:pt>
                <c:pt idx="20">
                  <c:v>100.06472491909388</c:v>
                </c:pt>
                <c:pt idx="21">
                  <c:v>100.13162568163301</c:v>
                </c:pt>
                <c:pt idx="22">
                  <c:v>100.1860484562159</c:v>
                </c:pt>
                <c:pt idx="23">
                  <c:v>100.19023727396258</c:v>
                </c:pt>
                <c:pt idx="24">
                  <c:v>100.18185998871215</c:v>
                </c:pt>
                <c:pt idx="25">
                  <c:v>100.16092290329998</c:v>
                </c:pt>
                <c:pt idx="26">
                  <c:v>100.13790221479316</c:v>
                </c:pt>
                <c:pt idx="27">
                  <c:v>100.08144172739993</c:v>
                </c:pt>
                <c:pt idx="28">
                  <c:v>100.02922023710136</c:v>
                </c:pt>
                <c:pt idx="29">
                  <c:v>99.929107589658045</c:v>
                </c:pt>
                <c:pt idx="30">
                  <c:v>99.883289566920936</c:v>
                </c:pt>
                <c:pt idx="31">
                  <c:v>99.219510175351445</c:v>
                </c:pt>
                <c:pt idx="32">
                  <c:v>98.953193070840143</c:v>
                </c:pt>
                <c:pt idx="33">
                  <c:v>98.239212872809276</c:v>
                </c:pt>
                <c:pt idx="34">
                  <c:v>97.656695737223913</c:v>
                </c:pt>
                <c:pt idx="35">
                  <c:v>97.702485067172248</c:v>
                </c:pt>
                <c:pt idx="36">
                  <c:v>97.367031002397297</c:v>
                </c:pt>
                <c:pt idx="37">
                  <c:v>97.098747923335637</c:v>
                </c:pt>
                <c:pt idx="38">
                  <c:v>96.736168580828775</c:v>
                </c:pt>
                <c:pt idx="39">
                  <c:v>96.638638517532712</c:v>
                </c:pt>
                <c:pt idx="40">
                  <c:v>96.384039900249363</c:v>
                </c:pt>
                <c:pt idx="41">
                  <c:v>96.153923319222343</c:v>
                </c:pt>
                <c:pt idx="42">
                  <c:v>95.972925886617134</c:v>
                </c:pt>
                <c:pt idx="43">
                  <c:v>96.51214305852028</c:v>
                </c:pt>
                <c:pt idx="44">
                  <c:v>97.193267085783816</c:v>
                </c:pt>
                <c:pt idx="45">
                  <c:v>97.573191090842457</c:v>
                </c:pt>
                <c:pt idx="46">
                  <c:v>98.710660734882197</c:v>
                </c:pt>
                <c:pt idx="47">
                  <c:v>98.588825804328152</c:v>
                </c:pt>
                <c:pt idx="48">
                  <c:v>98.904183090162405</c:v>
                </c:pt>
                <c:pt idx="49">
                  <c:v>99.028845359120595</c:v>
                </c:pt>
                <c:pt idx="50">
                  <c:v>99.665190176139092</c:v>
                </c:pt>
                <c:pt idx="51">
                  <c:v>99.885371292803413</c:v>
                </c:pt>
                <c:pt idx="52">
                  <c:v>99.9145245689745</c:v>
                </c:pt>
                <c:pt idx="53">
                  <c:v>99.922857202426869</c:v>
                </c:pt>
                <c:pt idx="54">
                  <c:v>99.945779112445763</c:v>
                </c:pt>
                <c:pt idx="55">
                  <c:v>99.995827073944241</c:v>
                </c:pt>
                <c:pt idx="56">
                  <c:v>99.196920147369283</c:v>
                </c:pt>
                <c:pt idx="57">
                  <c:v>98.99816157484868</c:v>
                </c:pt>
                <c:pt idx="58">
                  <c:v>98.277488414058965</c:v>
                </c:pt>
                <c:pt idx="59">
                  <c:v>98.028226631212917</c:v>
                </c:pt>
                <c:pt idx="60">
                  <c:v>98.231158662813328</c:v>
                </c:pt>
                <c:pt idx="61">
                  <c:v>98.887857216548014</c:v>
                </c:pt>
                <c:pt idx="62">
                  <c:v>99.096416682174379</c:v>
                </c:pt>
                <c:pt idx="63">
                  <c:v>99.497591762165726</c:v>
                </c:pt>
                <c:pt idx="64">
                  <c:v>99.433598207431658</c:v>
                </c:pt>
                <c:pt idx="65">
                  <c:v>99.057500723409504</c:v>
                </c:pt>
                <c:pt idx="66">
                  <c:v>99.03907751441379</c:v>
                </c:pt>
                <c:pt idx="67">
                  <c:v>99.330556073700961</c:v>
                </c:pt>
                <c:pt idx="68">
                  <c:v>99.353207015216185</c:v>
                </c:pt>
                <c:pt idx="69">
                  <c:v>99.408848603015883</c:v>
                </c:pt>
                <c:pt idx="70">
                  <c:v>99.485199485199445</c:v>
                </c:pt>
                <c:pt idx="71">
                  <c:v>99.59063233796725</c:v>
                </c:pt>
                <c:pt idx="72">
                  <c:v>99.632039581730822</c:v>
                </c:pt>
                <c:pt idx="73">
                  <c:v>99.51205332115191</c:v>
                </c:pt>
                <c:pt idx="74">
                  <c:v>99.474874945515623</c:v>
                </c:pt>
                <c:pt idx="75">
                  <c:v>99.582355019012155</c:v>
                </c:pt>
                <c:pt idx="76">
                  <c:v>99.777236483251059</c:v>
                </c:pt>
                <c:pt idx="77">
                  <c:v>99.860396307794844</c:v>
                </c:pt>
                <c:pt idx="78">
                  <c:v>99.914524568974471</c:v>
                </c:pt>
                <c:pt idx="79">
                  <c:v>99.964541226039231</c:v>
                </c:pt>
                <c:pt idx="80">
                  <c:v>99.829195134144285</c:v>
                </c:pt>
                <c:pt idx="81">
                  <c:v>99.576147932682289</c:v>
                </c:pt>
                <c:pt idx="82">
                  <c:v>99.443914180188372</c:v>
                </c:pt>
                <c:pt idx="83">
                  <c:v>99.357326478149062</c:v>
                </c:pt>
                <c:pt idx="84">
                  <c:v>99.324380336566335</c:v>
                </c:pt>
                <c:pt idx="85">
                  <c:v>99.151770936775875</c:v>
                </c:pt>
                <c:pt idx="86">
                  <c:v>99.053406084656075</c:v>
                </c:pt>
                <c:pt idx="87">
                  <c:v>98.792051451187319</c:v>
                </c:pt>
                <c:pt idx="88">
                  <c:v>98.665952978959922</c:v>
                </c:pt>
                <c:pt idx="89">
                  <c:v>98.491574188244954</c:v>
                </c:pt>
                <c:pt idx="90">
                  <c:v>98.465268218519498</c:v>
                </c:pt>
                <c:pt idx="91">
                  <c:v>98.690334006012932</c:v>
                </c:pt>
                <c:pt idx="92">
                  <c:v>98.918472652218796</c:v>
                </c:pt>
                <c:pt idx="93">
                  <c:v>99.094367711520988</c:v>
                </c:pt>
                <c:pt idx="94">
                  <c:v>99.303800091169052</c:v>
                </c:pt>
                <c:pt idx="95">
                  <c:v>99.082075666735605</c:v>
                </c:pt>
                <c:pt idx="96">
                  <c:v>98.98793787177793</c:v>
                </c:pt>
                <c:pt idx="97">
                  <c:v>98.77779838826028</c:v>
                </c:pt>
                <c:pt idx="98">
                  <c:v>98.757444002555175</c:v>
                </c:pt>
                <c:pt idx="99">
                  <c:v>98.889897655992087</c:v>
                </c:pt>
                <c:pt idx="100">
                  <c:v>98.934808637133074</c:v>
                </c:pt>
                <c:pt idx="101">
                  <c:v>98.783906340176443</c:v>
                </c:pt>
                <c:pt idx="102">
                  <c:v>98.74930459687225</c:v>
                </c:pt>
                <c:pt idx="103">
                  <c:v>98.682205658279472</c:v>
                </c:pt>
                <c:pt idx="104">
                  <c:v>98.710660734882197</c:v>
                </c:pt>
                <c:pt idx="105">
                  <c:v>98.779834288305381</c:v>
                </c:pt>
                <c:pt idx="106">
                  <c:v>98.816494845360822</c:v>
                </c:pt>
                <c:pt idx="107">
                  <c:v>98.751339322508855</c:v>
                </c:pt>
                <c:pt idx="108">
                  <c:v>98.816494845360822</c:v>
                </c:pt>
                <c:pt idx="109">
                  <c:v>98.781870272275683</c:v>
                </c:pt>
                <c:pt idx="110">
                  <c:v>98.851143699853552</c:v>
                </c:pt>
                <c:pt idx="111">
                  <c:v>98.977716280126387</c:v>
                </c:pt>
                <c:pt idx="112">
                  <c:v>98.95932273384264</c:v>
                </c:pt>
                <c:pt idx="113">
                  <c:v>98.873576497771893</c:v>
                </c:pt>
                <c:pt idx="114">
                  <c:v>98.806308627976478</c:v>
                </c:pt>
                <c:pt idx="115">
                  <c:v>98.672047106297981</c:v>
                </c:pt>
                <c:pt idx="116">
                  <c:v>98.376336802348234</c:v>
                </c:pt>
                <c:pt idx="117">
                  <c:v>98.40461573209042</c:v>
                </c:pt>
                <c:pt idx="118">
                  <c:v>98.362203431573747</c:v>
                </c:pt>
                <c:pt idx="119">
                  <c:v>98.43897629708745</c:v>
                </c:pt>
                <c:pt idx="120">
                  <c:v>98.352110652794011</c:v>
                </c:pt>
                <c:pt idx="121">
                  <c:v>98.313776975465643</c:v>
                </c:pt>
                <c:pt idx="122">
                  <c:v>98.20901639344261</c:v>
                </c:pt>
                <c:pt idx="123">
                  <c:v>98.094438872628274</c:v>
                </c:pt>
                <c:pt idx="124">
                  <c:v>98.046275649025176</c:v>
                </c:pt>
                <c:pt idx="125">
                  <c:v>98.142649437880124</c:v>
                </c:pt>
                <c:pt idx="126">
                  <c:v>98.275473168331033</c:v>
                </c:pt>
                <c:pt idx="127">
                  <c:v>98.753374131998086</c:v>
                </c:pt>
                <c:pt idx="128">
                  <c:v>98.830759078629882</c:v>
                </c:pt>
                <c:pt idx="129">
                  <c:v>98.938893476465708</c:v>
                </c:pt>
                <c:pt idx="130">
                  <c:v>98.763549437414966</c:v>
                </c:pt>
                <c:pt idx="131">
                  <c:v>98.757444002555147</c:v>
                </c:pt>
                <c:pt idx="132">
                  <c:v>98.730995838655161</c:v>
                </c:pt>
                <c:pt idx="133">
                  <c:v>98.751339322508841</c:v>
                </c:pt>
                <c:pt idx="134">
                  <c:v>98.761514208584899</c:v>
                </c:pt>
                <c:pt idx="135">
                  <c:v>98.285550223534699</c:v>
                </c:pt>
                <c:pt idx="136">
                  <c:v>98.126573984971614</c:v>
                </c:pt>
                <c:pt idx="137">
                  <c:v>98.092431126939275</c:v>
                </c:pt>
                <c:pt idx="138">
                  <c:v>98.08841588211213</c:v>
                </c:pt>
                <c:pt idx="139">
                  <c:v>97.780226057861</c:v>
                </c:pt>
                <c:pt idx="140">
                  <c:v>97.774241589652533</c:v>
                </c:pt>
                <c:pt idx="141">
                  <c:v>97.579150972208055</c:v>
                </c:pt>
                <c:pt idx="142">
                  <c:v>97.618902128526287</c:v>
                </c:pt>
                <c:pt idx="143">
                  <c:v>97.610949306503144</c:v>
                </c:pt>
                <c:pt idx="144">
                  <c:v>97.541417348475562</c:v>
                </c:pt>
                <c:pt idx="145">
                  <c:v>97.473966807679744</c:v>
                </c:pt>
                <c:pt idx="146">
                  <c:v>97.380879813065079</c:v>
                </c:pt>
                <c:pt idx="147">
                  <c:v>97.147953702389842</c:v>
                </c:pt>
                <c:pt idx="148">
                  <c:v>96.943584764447635</c:v>
                </c:pt>
                <c:pt idx="149">
                  <c:v>96.955351904675155</c:v>
                </c:pt>
                <c:pt idx="150">
                  <c:v>97.01423048116429</c:v>
                </c:pt>
                <c:pt idx="151">
                  <c:v>97.177501115211427</c:v>
                </c:pt>
                <c:pt idx="152">
                  <c:v>97.270199508838829</c:v>
                </c:pt>
                <c:pt idx="153">
                  <c:v>97.183412754739891</c:v>
                </c:pt>
                <c:pt idx="154">
                  <c:v>97.094813614262506</c:v>
                </c:pt>
                <c:pt idx="155">
                  <c:v>97.083012599764956</c:v>
                </c:pt>
                <c:pt idx="156">
                  <c:v>97.114488348530841</c:v>
                </c:pt>
                <c:pt idx="157">
                  <c:v>97.06728237533919</c:v>
                </c:pt>
                <c:pt idx="158">
                  <c:v>96.990670471333402</c:v>
                </c:pt>
                <c:pt idx="159">
                  <c:v>96.867167919799442</c:v>
                </c:pt>
                <c:pt idx="160">
                  <c:v>96.706888897857013</c:v>
                </c:pt>
                <c:pt idx="161">
                  <c:v>96.63668992216796</c:v>
                </c:pt>
                <c:pt idx="162">
                  <c:v>96.356910209497727</c:v>
                </c:pt>
                <c:pt idx="163">
                  <c:v>96.082598235765801</c:v>
                </c:pt>
                <c:pt idx="164">
                  <c:v>95.695060101433612</c:v>
                </c:pt>
                <c:pt idx="165">
                  <c:v>95.238663010214182</c:v>
                </c:pt>
                <c:pt idx="166">
                  <c:v>93.548827858132753</c:v>
                </c:pt>
                <c:pt idx="167">
                  <c:v>93.662178272000602</c:v>
                </c:pt>
                <c:pt idx="168">
                  <c:v>94.320239313547958</c:v>
                </c:pt>
                <c:pt idx="169">
                  <c:v>94.303535939867359</c:v>
                </c:pt>
                <c:pt idx="170">
                  <c:v>94.532328691467086</c:v>
                </c:pt>
                <c:pt idx="171">
                  <c:v>94.131280197980871</c:v>
                </c:pt>
                <c:pt idx="172">
                  <c:v>93.972549019607797</c:v>
                </c:pt>
                <c:pt idx="173">
                  <c:v>93.742787286063532</c:v>
                </c:pt>
                <c:pt idx="174">
                  <c:v>93.217668683017877</c:v>
                </c:pt>
                <c:pt idx="175">
                  <c:v>92.973539225576118</c:v>
                </c:pt>
                <c:pt idx="176">
                  <c:v>92.383908090290461</c:v>
                </c:pt>
                <c:pt idx="177">
                  <c:v>92.055625984403179</c:v>
                </c:pt>
                <c:pt idx="178">
                  <c:v>91.27197242377494</c:v>
                </c:pt>
                <c:pt idx="179">
                  <c:v>91.305010478186304</c:v>
                </c:pt>
                <c:pt idx="180">
                  <c:v>91.563180619769966</c:v>
                </c:pt>
                <c:pt idx="181">
                  <c:v>91.771824674951631</c:v>
                </c:pt>
                <c:pt idx="182">
                  <c:v>91.817537406364337</c:v>
                </c:pt>
                <c:pt idx="183">
                  <c:v>91.775339422837533</c:v>
                </c:pt>
                <c:pt idx="184">
                  <c:v>91.727913030163805</c:v>
                </c:pt>
                <c:pt idx="185">
                  <c:v>91.712115123332723</c:v>
                </c:pt>
                <c:pt idx="186">
                  <c:v>91.759525177101267</c:v>
                </c:pt>
                <c:pt idx="187">
                  <c:v>91.708605216326347</c:v>
                </c:pt>
                <c:pt idx="188">
                  <c:v>91.211175395858675</c:v>
                </c:pt>
                <c:pt idx="189">
                  <c:v>90.960162462753118</c:v>
                </c:pt>
                <c:pt idx="190">
                  <c:v>91.209439528023566</c:v>
                </c:pt>
                <c:pt idx="191">
                  <c:v>91.719135743402262</c:v>
                </c:pt>
                <c:pt idx="192">
                  <c:v>92.287843484623792</c:v>
                </c:pt>
                <c:pt idx="193">
                  <c:v>92.309173905506611</c:v>
                </c:pt>
                <c:pt idx="194">
                  <c:v>92.362543120892639</c:v>
                </c:pt>
                <c:pt idx="195">
                  <c:v>92.442712753645495</c:v>
                </c:pt>
                <c:pt idx="196">
                  <c:v>92.474819588623419</c:v>
                </c:pt>
                <c:pt idx="197">
                  <c:v>92.492666357881689</c:v>
                </c:pt>
                <c:pt idx="198">
                  <c:v>92.473035290485598</c:v>
                </c:pt>
                <c:pt idx="199">
                  <c:v>92.307395993836593</c:v>
                </c:pt>
                <c:pt idx="200">
                  <c:v>92.138806113621001</c:v>
                </c:pt>
                <c:pt idx="201">
                  <c:v>92.059162504802075</c:v>
                </c:pt>
                <c:pt idx="202">
                  <c:v>91.965536430449134</c:v>
                </c:pt>
                <c:pt idx="203">
                  <c:v>91.706850363566701</c:v>
                </c:pt>
                <c:pt idx="204">
                  <c:v>91.613939173819048</c:v>
                </c:pt>
                <c:pt idx="205">
                  <c:v>91.449615509378432</c:v>
                </c:pt>
                <c:pt idx="206">
                  <c:v>91.412985427634013</c:v>
                </c:pt>
                <c:pt idx="207">
                  <c:v>91.301531661967459</c:v>
                </c:pt>
                <c:pt idx="208">
                  <c:v>91.404268304312069</c:v>
                </c:pt>
                <c:pt idx="209">
                  <c:v>91.402525079147011</c:v>
                </c:pt>
                <c:pt idx="210">
                  <c:v>91.378126906650294</c:v>
                </c:pt>
                <c:pt idx="211">
                  <c:v>90.946353682372717</c:v>
                </c:pt>
                <c:pt idx="212">
                  <c:v>90.775816349723371</c:v>
                </c:pt>
                <c:pt idx="213">
                  <c:v>90.879095873786326</c:v>
                </c:pt>
                <c:pt idx="214">
                  <c:v>91.11580068062122</c:v>
                </c:pt>
                <c:pt idx="215">
                  <c:v>91.291096803687665</c:v>
                </c:pt>
                <c:pt idx="216">
                  <c:v>91.207703726258799</c:v>
                </c:pt>
                <c:pt idx="217">
                  <c:v>91.126195501302377</c:v>
                </c:pt>
                <c:pt idx="218">
                  <c:v>91.048292108362688</c:v>
                </c:pt>
                <c:pt idx="219">
                  <c:v>90.96188885514718</c:v>
                </c:pt>
                <c:pt idx="220">
                  <c:v>90.822263071121199</c:v>
                </c:pt>
                <c:pt idx="221">
                  <c:v>90.822263071121199</c:v>
                </c:pt>
                <c:pt idx="222">
                  <c:v>90.868757347085733</c:v>
                </c:pt>
                <c:pt idx="223">
                  <c:v>90.791293310852964</c:v>
                </c:pt>
                <c:pt idx="224">
                  <c:v>90.74831477694454</c:v>
                </c:pt>
                <c:pt idx="225">
                  <c:v>90.713961235614676</c:v>
                </c:pt>
                <c:pt idx="226">
                  <c:v>90.652190360898757</c:v>
                </c:pt>
                <c:pt idx="227">
                  <c:v>90.513513003078344</c:v>
                </c:pt>
                <c:pt idx="228">
                  <c:v>90.307141511211512</c:v>
                </c:pt>
                <c:pt idx="229">
                  <c:v>90.227234218799921</c:v>
                </c:pt>
                <c:pt idx="230">
                  <c:v>90.062765437666684</c:v>
                </c:pt>
                <c:pt idx="231">
                  <c:v>89.88877843839667</c:v>
                </c:pt>
                <c:pt idx="232">
                  <c:v>89.562893610659387</c:v>
                </c:pt>
                <c:pt idx="233">
                  <c:v>89.317529538931637</c:v>
                </c:pt>
                <c:pt idx="234">
                  <c:v>89.187881494714802</c:v>
                </c:pt>
                <c:pt idx="235">
                  <c:v>89.954577874544739</c:v>
                </c:pt>
                <c:pt idx="236">
                  <c:v>92.266522919353818</c:v>
                </c:pt>
                <c:pt idx="237">
                  <c:v>92.282512419609404</c:v>
                </c:pt>
                <c:pt idx="238">
                  <c:v>91.953184957789617</c:v>
                </c:pt>
                <c:pt idx="239">
                  <c:v>91.777096897740222</c:v>
                </c:pt>
                <c:pt idx="240">
                  <c:v>91.831612025522517</c:v>
                </c:pt>
                <c:pt idx="241">
                  <c:v>91.771824674951546</c:v>
                </c:pt>
                <c:pt idx="242">
                  <c:v>91.770067401960688</c:v>
                </c:pt>
                <c:pt idx="243">
                  <c:v>91.831612025522517</c:v>
                </c:pt>
                <c:pt idx="244">
                  <c:v>92.114013338714841</c:v>
                </c:pt>
                <c:pt idx="245">
                  <c:v>92.199072738115746</c:v>
                </c:pt>
                <c:pt idx="246">
                  <c:v>92.053857826095197</c:v>
                </c:pt>
                <c:pt idx="247">
                  <c:v>92.043250302483116</c:v>
                </c:pt>
                <c:pt idx="248">
                  <c:v>91.981421771840814</c:v>
                </c:pt>
                <c:pt idx="249">
                  <c:v>91.909099626042632</c:v>
                </c:pt>
                <c:pt idx="250">
                  <c:v>91.796433565094006</c:v>
                </c:pt>
                <c:pt idx="251">
                  <c:v>91.764795986750016</c:v>
                </c:pt>
                <c:pt idx="252">
                  <c:v>91.619193270884963</c:v>
                </c:pt>
                <c:pt idx="253">
                  <c:v>91.727913030163691</c:v>
                </c:pt>
                <c:pt idx="254">
                  <c:v>91.891477327197634</c:v>
                </c:pt>
                <c:pt idx="255">
                  <c:v>92.037947457366556</c:v>
                </c:pt>
                <c:pt idx="256">
                  <c:v>92.034412566731788</c:v>
                </c:pt>
                <c:pt idx="257">
                  <c:v>92.069773696545738</c:v>
                </c:pt>
                <c:pt idx="258">
                  <c:v>92.064467794916936</c:v>
                </c:pt>
                <c:pt idx="259">
                  <c:v>92.045018053314735</c:v>
                </c:pt>
                <c:pt idx="260">
                  <c:v>92.027343599984462</c:v>
                </c:pt>
                <c:pt idx="261">
                  <c:v>92.046785872049313</c:v>
                </c:pt>
                <c:pt idx="262">
                  <c:v>92.046785872049313</c:v>
                </c:pt>
                <c:pt idx="263">
                  <c:v>92.126408058129073</c:v>
                </c:pt>
                <c:pt idx="264">
                  <c:v>92.158295515729378</c:v>
                </c:pt>
                <c:pt idx="265">
                  <c:v>92.195525460246415</c:v>
                </c:pt>
                <c:pt idx="266">
                  <c:v>92.241661373828151</c:v>
                </c:pt>
                <c:pt idx="267">
                  <c:v>92.293175165613732</c:v>
                </c:pt>
                <c:pt idx="268">
                  <c:v>92.412410096218537</c:v>
                </c:pt>
                <c:pt idx="269">
                  <c:v>93.083691028803187</c:v>
                </c:pt>
                <c:pt idx="270">
                  <c:v>93.221295053587554</c:v>
                </c:pt>
                <c:pt idx="271">
                  <c:v>93.29024974208221</c:v>
                </c:pt>
                <c:pt idx="272">
                  <c:v>93.41025591049933</c:v>
                </c:pt>
                <c:pt idx="273">
                  <c:v>93.603640553895218</c:v>
                </c:pt>
                <c:pt idx="274">
                  <c:v>94.36109470368163</c:v>
                </c:pt>
                <c:pt idx="275">
                  <c:v>95.971004045015619</c:v>
                </c:pt>
                <c:pt idx="276">
                  <c:v>96.747885418979564</c:v>
                </c:pt>
                <c:pt idx="277">
                  <c:v>96.652280885733688</c:v>
                </c:pt>
                <c:pt idx="278">
                  <c:v>96.656179412713598</c:v>
                </c:pt>
                <c:pt idx="279">
                  <c:v>96.724454580314259</c:v>
                </c:pt>
                <c:pt idx="280">
                  <c:v>96.704937549183626</c:v>
                </c:pt>
                <c:pt idx="281">
                  <c:v>96.779144201449725</c:v>
                </c:pt>
                <c:pt idx="282">
                  <c:v>96.745932415519235</c:v>
                </c:pt>
                <c:pt idx="283">
                  <c:v>96.669826734170925</c:v>
                </c:pt>
                <c:pt idx="284">
                  <c:v>96.593840696549336</c:v>
                </c:pt>
                <c:pt idx="285">
                  <c:v>96.701035088073112</c:v>
                </c:pt>
                <c:pt idx="286">
                  <c:v>96.734216050379302</c:v>
                </c:pt>
                <c:pt idx="287">
                  <c:v>96.863252354581689</c:v>
                </c:pt>
                <c:pt idx="288">
                  <c:v>97.579150972207941</c:v>
                </c:pt>
                <c:pt idx="289">
                  <c:v>98.295629345529719</c:v>
                </c:pt>
                <c:pt idx="290">
                  <c:v>98.934808637132903</c:v>
                </c:pt>
                <c:pt idx="291">
                  <c:v>99.139464647718171</c:v>
                </c:pt>
                <c:pt idx="292">
                  <c:v>99.373807746537125</c:v>
                </c:pt>
                <c:pt idx="293">
                  <c:v>99.365566428926698</c:v>
                </c:pt>
                <c:pt idx="294">
                  <c:v>98.947064167148241</c:v>
                </c:pt>
                <c:pt idx="295">
                  <c:v>98.564494899637879</c:v>
                </c:pt>
                <c:pt idx="296">
                  <c:v>97.62287902552282</c:v>
                </c:pt>
                <c:pt idx="297">
                  <c:v>97.351208612634409</c:v>
                </c:pt>
                <c:pt idx="298">
                  <c:v>97.144015404884797</c:v>
                </c:pt>
                <c:pt idx="299">
                  <c:v>97.287970443749586</c:v>
                </c:pt>
                <c:pt idx="300">
                  <c:v>97.680580466329531</c:v>
                </c:pt>
                <c:pt idx="301">
                  <c:v>97.595047549229079</c:v>
                </c:pt>
                <c:pt idx="302">
                  <c:v>97.460091509913411</c:v>
                </c:pt>
                <c:pt idx="303">
                  <c:v>97.359119164668925</c:v>
                </c:pt>
                <c:pt idx="304">
                  <c:v>97.382858536188749</c:v>
                </c:pt>
                <c:pt idx="305">
                  <c:v>97.593060193858292</c:v>
                </c:pt>
                <c:pt idx="306">
                  <c:v>97.670627076157928</c:v>
                </c:pt>
                <c:pt idx="307">
                  <c:v>97.786211258696895</c:v>
                </c:pt>
                <c:pt idx="308">
                  <c:v>97.612937390524948</c:v>
                </c:pt>
                <c:pt idx="309">
                  <c:v>97.355163727959578</c:v>
                </c:pt>
                <c:pt idx="310">
                  <c:v>97.201151989615752</c:v>
                </c:pt>
                <c:pt idx="311">
                  <c:v>97.073180612100103</c:v>
                </c:pt>
                <c:pt idx="312">
                  <c:v>97.189325113562504</c:v>
                </c:pt>
                <c:pt idx="313">
                  <c:v>97.094813614262449</c:v>
                </c:pt>
                <c:pt idx="314">
                  <c:v>97.106617498075011</c:v>
                </c:pt>
                <c:pt idx="315">
                  <c:v>97.08497923630091</c:v>
                </c:pt>
                <c:pt idx="316">
                  <c:v>97.08497923630091</c:v>
                </c:pt>
                <c:pt idx="317">
                  <c:v>97.083012599764899</c:v>
                </c:pt>
                <c:pt idx="318">
                  <c:v>97.179471581807377</c:v>
                </c:pt>
                <c:pt idx="319">
                  <c:v>97.242568732880073</c:v>
                </c:pt>
                <c:pt idx="320">
                  <c:v>97.770252351129059</c:v>
                </c:pt>
                <c:pt idx="321">
                  <c:v>98.410677618069727</c:v>
                </c:pt>
                <c:pt idx="322">
                  <c:v>98.538149968131165</c:v>
                </c:pt>
                <c:pt idx="323">
                  <c:v>98.830759078629811</c:v>
                </c:pt>
                <c:pt idx="324">
                  <c:v>98.973628234516553</c:v>
                </c:pt>
                <c:pt idx="325">
                  <c:v>99.071834625322893</c:v>
                </c:pt>
                <c:pt idx="326">
                  <c:v>99.382050431320394</c:v>
                </c:pt>
                <c:pt idx="327">
                  <c:v>99.305857731915935</c:v>
                </c:pt>
                <c:pt idx="328">
                  <c:v>99.125111170861757</c:v>
                </c:pt>
                <c:pt idx="329">
                  <c:v>98.979760429574455</c:v>
                </c:pt>
                <c:pt idx="330">
                  <c:v>98.751339322508755</c:v>
                </c:pt>
                <c:pt idx="331">
                  <c:v>98.88377659025717</c:v>
                </c:pt>
                <c:pt idx="332">
                  <c:v>99.223618558621865</c:v>
                </c:pt>
                <c:pt idx="333">
                  <c:v>99.665190176138978</c:v>
                </c:pt>
                <c:pt idx="334">
                  <c:v>99.9916544961401</c:v>
                </c:pt>
                <c:pt idx="335">
                  <c:v>100.10025481431963</c:v>
                </c:pt>
                <c:pt idx="336">
                  <c:v>100.01669518761206</c:v>
                </c:pt>
                <c:pt idx="337">
                  <c:v>100.1044364608571</c:v>
                </c:pt>
                <c:pt idx="338">
                  <c:v>100.17557794406576</c:v>
                </c:pt>
                <c:pt idx="339">
                  <c:v>100.40222901914767</c:v>
                </c:pt>
                <c:pt idx="340">
                  <c:v>100.56867065365638</c:v>
                </c:pt>
                <c:pt idx="341">
                  <c:v>100.58555627846444</c:v>
                </c:pt>
                <c:pt idx="342">
                  <c:v>100.58344526527861</c:v>
                </c:pt>
                <c:pt idx="343">
                  <c:v>100.48643435232934</c:v>
                </c:pt>
                <c:pt idx="344">
                  <c:v>100.40853952357998</c:v>
                </c:pt>
                <c:pt idx="345">
                  <c:v>100.30766654806496</c:v>
                </c:pt>
                <c:pt idx="346">
                  <c:v>100.30556718292164</c:v>
                </c:pt>
                <c:pt idx="347">
                  <c:v>100.42958026864476</c:v>
                </c:pt>
                <c:pt idx="348">
                  <c:v>100.50540002097087</c:v>
                </c:pt>
                <c:pt idx="349">
                  <c:v>100.63836042165376</c:v>
                </c:pt>
                <c:pt idx="350">
                  <c:v>100.73566504119715</c:v>
                </c:pt>
                <c:pt idx="351">
                  <c:v>100.7526067944836</c:v>
                </c:pt>
                <c:pt idx="352">
                  <c:v>100.77591101204861</c:v>
                </c:pt>
                <c:pt idx="353">
                  <c:v>100.85649950546089</c:v>
                </c:pt>
                <c:pt idx="354">
                  <c:v>100.82891525708988</c:v>
                </c:pt>
                <c:pt idx="355">
                  <c:v>100.68698922246257</c:v>
                </c:pt>
                <c:pt idx="356">
                  <c:v>100.63413405005871</c:v>
                </c:pt>
                <c:pt idx="357">
                  <c:v>100.62568237171403</c:v>
                </c:pt>
                <c:pt idx="358">
                  <c:v>100.44220894896775</c:v>
                </c:pt>
                <c:pt idx="359">
                  <c:v>100.24053042186935</c:v>
                </c:pt>
                <c:pt idx="360">
                  <c:v>99.800091624671936</c:v>
                </c:pt>
                <c:pt idx="361">
                  <c:v>99.211294429378682</c:v>
                </c:pt>
                <c:pt idx="362">
                  <c:v>98.556387266595308</c:v>
                </c:pt>
                <c:pt idx="363">
                  <c:v>98.213041518094926</c:v>
                </c:pt>
                <c:pt idx="364">
                  <c:v>98.108495394063397</c:v>
                </c:pt>
                <c:pt idx="365">
                  <c:v>97.810159391007915</c:v>
                </c:pt>
                <c:pt idx="366">
                  <c:v>97.329461221339869</c:v>
                </c:pt>
                <c:pt idx="367">
                  <c:v>97.05352260991063</c:v>
                </c:pt>
                <c:pt idx="368">
                  <c:v>96.773281641224386</c:v>
                </c:pt>
                <c:pt idx="369">
                  <c:v>96.757651619155226</c:v>
                </c:pt>
                <c:pt idx="370">
                  <c:v>98.118538233186541</c:v>
                </c:pt>
                <c:pt idx="371">
                  <c:v>99.427409651051747</c:v>
                </c:pt>
                <c:pt idx="372">
                  <c:v>99.841673263613956</c:v>
                </c:pt>
                <c:pt idx="373">
                  <c:v>99.5989110330638</c:v>
                </c:pt>
                <c:pt idx="374">
                  <c:v>99.615472553054332</c:v>
                </c:pt>
                <c:pt idx="375">
                  <c:v>100.02504487206238</c:v>
                </c:pt>
                <c:pt idx="376">
                  <c:v>100.21747312952191</c:v>
                </c:pt>
                <c:pt idx="377">
                  <c:v>100.23843386597501</c:v>
                </c:pt>
                <c:pt idx="378">
                  <c:v>100.12953367875643</c:v>
                </c:pt>
                <c:pt idx="379">
                  <c:v>99.816720123297316</c:v>
                </c:pt>
                <c:pt idx="380">
                  <c:v>99.365566428926797</c:v>
                </c:pt>
                <c:pt idx="381">
                  <c:v>99.53685434796148</c:v>
                </c:pt>
                <c:pt idx="382">
                  <c:v>99.673481271967177</c:v>
                </c:pt>
                <c:pt idx="383">
                  <c:v>99.663117617700834</c:v>
                </c:pt>
                <c:pt idx="384">
                  <c:v>99.530652932380747</c:v>
                </c:pt>
                <c:pt idx="385">
                  <c:v>99.50378905844488</c:v>
                </c:pt>
                <c:pt idx="386">
                  <c:v>99.501723207241568</c:v>
                </c:pt>
                <c:pt idx="387">
                  <c:v>99.406786692109804</c:v>
                </c:pt>
                <c:pt idx="388">
                  <c:v>99.377928918010994</c:v>
                </c:pt>
                <c:pt idx="389">
                  <c:v>99.334673658465761</c:v>
                </c:pt>
                <c:pt idx="390">
                  <c:v>99.314089147688378</c:v>
                </c:pt>
                <c:pt idx="391">
                  <c:v>99.147668500972273</c:v>
                </c:pt>
                <c:pt idx="392">
                  <c:v>99.324380336566321</c:v>
                </c:pt>
                <c:pt idx="393">
                  <c:v>99.369686916856679</c:v>
                </c:pt>
                <c:pt idx="394">
                  <c:v>99.507921018208961</c:v>
                </c:pt>
                <c:pt idx="395">
                  <c:v>99.785546232484506</c:v>
                </c:pt>
                <c:pt idx="396">
                  <c:v>100.03130805034331</c:v>
                </c:pt>
                <c:pt idx="397">
                  <c:v>100.0459251837007</c:v>
                </c:pt>
                <c:pt idx="398">
                  <c:v>100.06681421472416</c:v>
                </c:pt>
                <c:pt idx="399">
                  <c:v>99.993740741513463</c:v>
                </c:pt>
                <c:pt idx="400">
                  <c:v>100.02713251100951</c:v>
                </c:pt>
                <c:pt idx="401">
                  <c:v>100.18395417868636</c:v>
                </c:pt>
                <c:pt idx="402">
                  <c:v>100.05427974947804</c:v>
                </c:pt>
                <c:pt idx="403">
                  <c:v>100.17348410425764</c:v>
                </c:pt>
                <c:pt idx="404">
                  <c:v>100.1002548143197</c:v>
                </c:pt>
                <c:pt idx="405">
                  <c:v>99.406786692109804</c:v>
                </c:pt>
                <c:pt idx="406">
                  <c:v>98.845027430598478</c:v>
                </c:pt>
                <c:pt idx="407">
                  <c:v>97.936079777668752</c:v>
                </c:pt>
                <c:pt idx="408">
                  <c:v>96.531582339671246</c:v>
                </c:pt>
                <c:pt idx="409">
                  <c:v>95.265166573904722</c:v>
                </c:pt>
                <c:pt idx="410">
                  <c:v>92.878044999127894</c:v>
                </c:pt>
                <c:pt idx="411">
                  <c:v>92.471251061202409</c:v>
                </c:pt>
                <c:pt idx="412">
                  <c:v>94.353663818561216</c:v>
                </c:pt>
                <c:pt idx="413">
                  <c:v>96.036389868547587</c:v>
                </c:pt>
                <c:pt idx="414">
                  <c:v>97.710452812493614</c:v>
                </c:pt>
                <c:pt idx="415">
                  <c:v>98.088415882112145</c:v>
                </c:pt>
                <c:pt idx="416">
                  <c:v>98.036247596448874</c:v>
                </c:pt>
                <c:pt idx="417">
                  <c:v>97.978125319431669</c:v>
                </c:pt>
                <c:pt idx="418">
                  <c:v>97.846103591188424</c:v>
                </c:pt>
                <c:pt idx="419">
                  <c:v>97.748317356720378</c:v>
                </c:pt>
                <c:pt idx="420">
                  <c:v>97.728384991843399</c:v>
                </c:pt>
                <c:pt idx="421">
                  <c:v>98.255325255755793</c:v>
                </c:pt>
                <c:pt idx="422">
                  <c:v>98.631433804614034</c:v>
                </c:pt>
                <c:pt idx="423">
                  <c:v>98.861339164156959</c:v>
                </c:pt>
                <c:pt idx="424">
                  <c:v>99.51618596731663</c:v>
                </c:pt>
                <c:pt idx="425">
                  <c:v>99.974967666569341</c:v>
                </c:pt>
                <c:pt idx="426">
                  <c:v>100.49064832676341</c:v>
                </c:pt>
                <c:pt idx="427">
                  <c:v>100.75048876369065</c:v>
                </c:pt>
                <c:pt idx="428">
                  <c:v>101.29562699469493</c:v>
                </c:pt>
                <c:pt idx="429">
                  <c:v>101.44571682577316</c:v>
                </c:pt>
                <c:pt idx="430">
                  <c:v>101.64365548980938</c:v>
                </c:pt>
                <c:pt idx="431">
                  <c:v>101.65874766672327</c:v>
                </c:pt>
                <c:pt idx="432">
                  <c:v>101.79045515366485</c:v>
                </c:pt>
                <c:pt idx="433">
                  <c:v>102.1418980840136</c:v>
                </c:pt>
                <c:pt idx="434">
                  <c:v>102.45633537849803</c:v>
                </c:pt>
                <c:pt idx="435">
                  <c:v>102.56377332648523</c:v>
                </c:pt>
                <c:pt idx="436">
                  <c:v>103.48058902275774</c:v>
                </c:pt>
                <c:pt idx="437">
                  <c:v>104.19148658637336</c:v>
                </c:pt>
                <c:pt idx="438">
                  <c:v>104.9466792213196</c:v>
                </c:pt>
                <c:pt idx="439">
                  <c:v>105.73622203591763</c:v>
                </c:pt>
                <c:pt idx="440">
                  <c:v>103.17983164330776</c:v>
                </c:pt>
                <c:pt idx="441">
                  <c:v>101.02871115982973</c:v>
                </c:pt>
                <c:pt idx="442">
                  <c:v>104.15752070067161</c:v>
                </c:pt>
                <c:pt idx="443">
                  <c:v>105.11470807562405</c:v>
                </c:pt>
                <c:pt idx="444">
                  <c:v>105.36428791276444</c:v>
                </c:pt>
                <c:pt idx="445">
                  <c:v>104.75857395790079</c:v>
                </c:pt>
                <c:pt idx="446">
                  <c:v>104.32303003918162</c:v>
                </c:pt>
                <c:pt idx="447">
                  <c:v>104.41849318053082</c:v>
                </c:pt>
                <c:pt idx="448">
                  <c:v>105.86702010161262</c:v>
                </c:pt>
                <c:pt idx="449">
                  <c:v>106.33445008985831</c:v>
                </c:pt>
                <c:pt idx="450">
                  <c:v>107.17624169778838</c:v>
                </c:pt>
                <c:pt idx="451">
                  <c:v>106.93471373109026</c:v>
                </c:pt>
                <c:pt idx="452">
                  <c:v>106.98006651934203</c:v>
                </c:pt>
                <c:pt idx="453">
                  <c:v>107.54420608562974</c:v>
                </c:pt>
                <c:pt idx="454">
                  <c:v>108.12164418174443</c:v>
                </c:pt>
                <c:pt idx="455">
                  <c:v>108.88560717937077</c:v>
                </c:pt>
                <c:pt idx="456">
                  <c:v>110.46165902228788</c:v>
                </c:pt>
                <c:pt idx="457">
                  <c:v>111.25142180644872</c:v>
                </c:pt>
                <c:pt idx="458">
                  <c:v>112.27831791027303</c:v>
                </c:pt>
                <c:pt idx="459">
                  <c:v>113.58217798317347</c:v>
                </c:pt>
                <c:pt idx="460">
                  <c:v>114.79322194572848</c:v>
                </c:pt>
                <c:pt idx="461">
                  <c:v>115.7008408178868</c:v>
                </c:pt>
                <c:pt idx="462">
                  <c:v>115.42787693920866</c:v>
                </c:pt>
                <c:pt idx="463">
                  <c:v>114.12515904057332</c:v>
                </c:pt>
                <c:pt idx="464">
                  <c:v>113.29497345215572</c:v>
                </c:pt>
                <c:pt idx="465">
                  <c:v>113.88901951563633</c:v>
                </c:pt>
                <c:pt idx="466">
                  <c:v>115.04405861815106</c:v>
                </c:pt>
                <c:pt idx="467">
                  <c:v>116.15308985396067</c:v>
                </c:pt>
                <c:pt idx="468">
                  <c:v>117.38888081043123</c:v>
                </c:pt>
                <c:pt idx="469">
                  <c:v>117.90321795433557</c:v>
                </c:pt>
                <c:pt idx="470">
                  <c:v>118.55541413745874</c:v>
                </c:pt>
                <c:pt idx="471">
                  <c:v>118.24284737818607</c:v>
                </c:pt>
                <c:pt idx="472">
                  <c:v>118.6047650530134</c:v>
                </c:pt>
                <c:pt idx="473">
                  <c:v>118.62800323283814</c:v>
                </c:pt>
                <c:pt idx="474">
                  <c:v>118.94845411458498</c:v>
                </c:pt>
                <c:pt idx="475">
                  <c:v>118.73268782939121</c:v>
                </c:pt>
                <c:pt idx="476">
                  <c:v>118.85797016097403</c:v>
                </c:pt>
                <c:pt idx="477">
                  <c:v>118.6599706026461</c:v>
                </c:pt>
                <c:pt idx="478">
                  <c:v>118.31794420831535</c:v>
                </c:pt>
                <c:pt idx="479">
                  <c:v>117.94628290354819</c:v>
                </c:pt>
                <c:pt idx="480">
                  <c:v>117.86305236519404</c:v>
                </c:pt>
                <c:pt idx="481">
                  <c:v>117.84011288439115</c:v>
                </c:pt>
                <c:pt idx="482">
                  <c:v>117.61120823620858</c:v>
                </c:pt>
                <c:pt idx="483">
                  <c:v>117.3860359159541</c:v>
                </c:pt>
                <c:pt idx="484">
                  <c:v>117.16172415461307</c:v>
                </c:pt>
                <c:pt idx="485">
                  <c:v>116.70160221660073</c:v>
                </c:pt>
                <c:pt idx="486">
                  <c:v>116.61731070181806</c:v>
                </c:pt>
                <c:pt idx="487">
                  <c:v>116.54716073147287</c:v>
                </c:pt>
                <c:pt idx="488">
                  <c:v>116.76067881592935</c:v>
                </c:pt>
                <c:pt idx="489">
                  <c:v>117.25248123940965</c:v>
                </c:pt>
                <c:pt idx="490">
                  <c:v>117.75989497228466</c:v>
                </c:pt>
                <c:pt idx="491">
                  <c:v>118.3034951029483</c:v>
                </c:pt>
                <c:pt idx="492">
                  <c:v>118.76179968125567</c:v>
                </c:pt>
                <c:pt idx="493">
                  <c:v>119.10054341144392</c:v>
                </c:pt>
                <c:pt idx="494">
                  <c:v>118.80258026538503</c:v>
                </c:pt>
                <c:pt idx="495">
                  <c:v>118.85505361568507</c:v>
                </c:pt>
                <c:pt idx="496">
                  <c:v>119.01860087967202</c:v>
                </c:pt>
                <c:pt idx="497">
                  <c:v>119.17966635500252</c:v>
                </c:pt>
                <c:pt idx="498">
                  <c:v>119.31764995689156</c:v>
                </c:pt>
                <c:pt idx="499">
                  <c:v>119.26183089575055</c:v>
                </c:pt>
                <c:pt idx="500">
                  <c:v>119.12397629177867</c:v>
                </c:pt>
                <c:pt idx="501">
                  <c:v>119.22073446883957</c:v>
                </c:pt>
                <c:pt idx="502">
                  <c:v>119.36763763615788</c:v>
                </c:pt>
                <c:pt idx="503">
                  <c:v>119.27651505823867</c:v>
                </c:pt>
                <c:pt idx="504">
                  <c:v>119.32940799684694</c:v>
                </c:pt>
                <c:pt idx="505">
                  <c:v>119.2471503483595</c:v>
                </c:pt>
                <c:pt idx="506">
                  <c:v>119.27651505823867</c:v>
                </c:pt>
                <c:pt idx="507">
                  <c:v>119.31471080894704</c:v>
                </c:pt>
                <c:pt idx="508">
                  <c:v>119.36469602503793</c:v>
                </c:pt>
                <c:pt idx="509">
                  <c:v>119.55325188201937</c:v>
                </c:pt>
                <c:pt idx="510">
                  <c:v>119.46184580476532</c:v>
                </c:pt>
                <c:pt idx="511">
                  <c:v>119.6182056157858</c:v>
                </c:pt>
                <c:pt idx="512">
                  <c:v>119.63593252155049</c:v>
                </c:pt>
                <c:pt idx="513">
                  <c:v>119.61525164221896</c:v>
                </c:pt>
                <c:pt idx="514">
                  <c:v>119.65070895706769</c:v>
                </c:pt>
                <c:pt idx="515">
                  <c:v>119.56210505529261</c:v>
                </c:pt>
                <c:pt idx="516">
                  <c:v>119.66548904316066</c:v>
                </c:pt>
                <c:pt idx="517">
                  <c:v>119.72760529958506</c:v>
                </c:pt>
                <c:pt idx="518">
                  <c:v>119.67435884765561</c:v>
                </c:pt>
                <c:pt idx="519">
                  <c:v>119.71872760078138</c:v>
                </c:pt>
                <c:pt idx="520">
                  <c:v>119.67435884765561</c:v>
                </c:pt>
                <c:pt idx="521">
                  <c:v>119.65662055336001</c:v>
                </c:pt>
                <c:pt idx="522">
                  <c:v>119.62706841195391</c:v>
                </c:pt>
                <c:pt idx="523">
                  <c:v>119.56505640443369</c:v>
                </c:pt>
                <c:pt idx="524">
                  <c:v>119.5031086548903</c:v>
                </c:pt>
                <c:pt idx="525">
                  <c:v>119.45889954867224</c:v>
                </c:pt>
                <c:pt idx="526">
                  <c:v>119.38823297429232</c:v>
                </c:pt>
                <c:pt idx="527">
                  <c:v>119.08883042804842</c:v>
                </c:pt>
                <c:pt idx="528">
                  <c:v>117.81145108722123</c:v>
                </c:pt>
                <c:pt idx="529">
                  <c:v>116.44349352116771</c:v>
                </c:pt>
                <c:pt idx="530">
                  <c:v>115.79488405450665</c:v>
                </c:pt>
                <c:pt idx="531">
                  <c:v>115.90017228177675</c:v>
                </c:pt>
                <c:pt idx="532">
                  <c:v>115.86690268873825</c:v>
                </c:pt>
                <c:pt idx="533">
                  <c:v>116.35957431474799</c:v>
                </c:pt>
                <c:pt idx="534">
                  <c:v>117.26383576235931</c:v>
                </c:pt>
              </c:numCache>
            </c:numRef>
          </c:val>
          <c:smooth val="0"/>
          <c:extLst>
            <c:ext xmlns:c16="http://schemas.microsoft.com/office/drawing/2014/chart" uri="{C3380CC4-5D6E-409C-BE32-E72D297353CC}">
              <c16:uniqueId val="{00000001-EF82-4DBE-A133-804C43A29F89}"/>
            </c:ext>
          </c:extLst>
        </c:ser>
        <c:ser>
          <c:idx val="3"/>
          <c:order val="2"/>
          <c:tx>
            <c:strRef>
              <c:f>Sheet1!$D$1</c:f>
              <c:strCache>
                <c:ptCount val="1"/>
                <c:pt idx="0">
                  <c:v>Ռուսական ռուբլի</c:v>
                </c:pt>
              </c:strCache>
            </c:strRef>
          </c:tx>
          <c:spPr>
            <a:ln w="28575" cap="rnd">
              <a:solidFill>
                <a:srgbClr val="C00000"/>
              </a:solidFill>
              <a:round/>
            </a:ln>
            <a:effectLst/>
          </c:spPr>
          <c:marker>
            <c:symbol val="picture"/>
            <c:spPr>
              <a:ln w="6350">
                <a:noFill/>
              </a:ln>
            </c:spPr>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Sheet1!$D$2:$D$542</c:f>
              <c:numCache>
                <c:formatCode>0</c:formatCode>
                <c:ptCount val="541"/>
                <c:pt idx="0">
                  <c:v>100</c:v>
                </c:pt>
                <c:pt idx="1">
                  <c:v>100.47024155255187</c:v>
                </c:pt>
                <c:pt idx="2">
                  <c:v>99.706907219852141</c:v>
                </c:pt>
                <c:pt idx="3">
                  <c:v>99.676394369131785</c:v>
                </c:pt>
                <c:pt idx="4">
                  <c:v>99.455248873628761</c:v>
                </c:pt>
                <c:pt idx="5">
                  <c:v>99.623528033657934</c:v>
                </c:pt>
                <c:pt idx="6">
                  <c:v>98.995719034131298</c:v>
                </c:pt>
                <c:pt idx="7">
                  <c:v>99.029179597731343</c:v>
                </c:pt>
                <c:pt idx="8">
                  <c:v>98.841835952317524</c:v>
                </c:pt>
                <c:pt idx="9">
                  <c:v>97.45996730855849</c:v>
                </c:pt>
                <c:pt idx="10">
                  <c:v>98.141790638112354</c:v>
                </c:pt>
                <c:pt idx="11">
                  <c:v>97.141470178104854</c:v>
                </c:pt>
                <c:pt idx="12">
                  <c:v>95.814211121733834</c:v>
                </c:pt>
                <c:pt idx="13">
                  <c:v>96.531524004401419</c:v>
                </c:pt>
                <c:pt idx="14">
                  <c:v>96.928809545668969</c:v>
                </c:pt>
                <c:pt idx="15">
                  <c:v>97.509940650692627</c:v>
                </c:pt>
                <c:pt idx="16">
                  <c:v>96.022003801112731</c:v>
                </c:pt>
                <c:pt idx="17">
                  <c:v>95.754429310857091</c:v>
                </c:pt>
                <c:pt idx="18">
                  <c:v>97.124367535330791</c:v>
                </c:pt>
                <c:pt idx="19">
                  <c:v>96.277452139568823</c:v>
                </c:pt>
                <c:pt idx="20">
                  <c:v>96.723188829304107</c:v>
                </c:pt>
                <c:pt idx="21">
                  <c:v>96.023509560952036</c:v>
                </c:pt>
                <c:pt idx="22">
                  <c:v>96.147897618520474</c:v>
                </c:pt>
                <c:pt idx="23">
                  <c:v>96.06644357739799</c:v>
                </c:pt>
                <c:pt idx="24">
                  <c:v>94.320354028646975</c:v>
                </c:pt>
                <c:pt idx="25">
                  <c:v>93.461766820263819</c:v>
                </c:pt>
                <c:pt idx="26">
                  <c:v>93.330711769753535</c:v>
                </c:pt>
                <c:pt idx="27">
                  <c:v>92.320820656319995</c:v>
                </c:pt>
                <c:pt idx="28">
                  <c:v>92.159226533140057</c:v>
                </c:pt>
                <c:pt idx="29">
                  <c:v>92.668708685440293</c:v>
                </c:pt>
                <c:pt idx="30">
                  <c:v>92.518893895028185</c:v>
                </c:pt>
                <c:pt idx="31">
                  <c:v>85.022660120409654</c:v>
                </c:pt>
                <c:pt idx="32">
                  <c:v>85.675509290351457</c:v>
                </c:pt>
                <c:pt idx="33">
                  <c:v>82.71802062479567</c:v>
                </c:pt>
                <c:pt idx="34">
                  <c:v>82.607768913015903</c:v>
                </c:pt>
                <c:pt idx="35">
                  <c:v>82.872285138909916</c:v>
                </c:pt>
                <c:pt idx="36">
                  <c:v>79.305195620950315</c:v>
                </c:pt>
                <c:pt idx="37">
                  <c:v>76.392579562608361</c:v>
                </c:pt>
                <c:pt idx="38">
                  <c:v>75.708289287414274</c:v>
                </c:pt>
                <c:pt idx="39">
                  <c:v>77.659535341467802</c:v>
                </c:pt>
                <c:pt idx="40">
                  <c:v>78.714225481021344</c:v>
                </c:pt>
                <c:pt idx="41">
                  <c:v>77.784820819513612</c:v>
                </c:pt>
                <c:pt idx="42">
                  <c:v>80.141452267712253</c:v>
                </c:pt>
                <c:pt idx="43">
                  <c:v>81.153005102378856</c:v>
                </c:pt>
                <c:pt idx="44">
                  <c:v>80.837070411974096</c:v>
                </c:pt>
                <c:pt idx="45">
                  <c:v>82.077608739360585</c:v>
                </c:pt>
                <c:pt idx="46">
                  <c:v>83.283803358064262</c:v>
                </c:pt>
                <c:pt idx="47">
                  <c:v>83.521789538293618</c:v>
                </c:pt>
                <c:pt idx="48">
                  <c:v>83.069138364907801</c:v>
                </c:pt>
                <c:pt idx="49">
                  <c:v>81.96016966507338</c:v>
                </c:pt>
                <c:pt idx="50">
                  <c:v>82.010883176612509</c:v>
                </c:pt>
                <c:pt idx="51">
                  <c:v>80.300355905486981</c:v>
                </c:pt>
                <c:pt idx="52">
                  <c:v>79.481734543415456</c:v>
                </c:pt>
                <c:pt idx="53">
                  <c:v>82.197701890034324</c:v>
                </c:pt>
                <c:pt idx="54">
                  <c:v>82.115471781104034</c:v>
                </c:pt>
                <c:pt idx="55">
                  <c:v>83.097433280770318</c:v>
                </c:pt>
                <c:pt idx="56">
                  <c:v>82.780082707081959</c:v>
                </c:pt>
                <c:pt idx="57">
                  <c:v>82.618134325639573</c:v>
                </c:pt>
                <c:pt idx="58">
                  <c:v>83.388032018476764</c:v>
                </c:pt>
                <c:pt idx="59">
                  <c:v>83.218835066775881</c:v>
                </c:pt>
                <c:pt idx="60">
                  <c:v>82.827222581421793</c:v>
                </c:pt>
                <c:pt idx="61">
                  <c:v>83.905409442064752</c:v>
                </c:pt>
                <c:pt idx="62">
                  <c:v>84.586928353763781</c:v>
                </c:pt>
                <c:pt idx="63">
                  <c:v>84.649721239568052</c:v>
                </c:pt>
                <c:pt idx="64">
                  <c:v>86.337488015340327</c:v>
                </c:pt>
                <c:pt idx="65">
                  <c:v>85.526885505096615</c:v>
                </c:pt>
                <c:pt idx="66">
                  <c:v>86.074376447832989</c:v>
                </c:pt>
                <c:pt idx="67">
                  <c:v>87.839291708386256</c:v>
                </c:pt>
                <c:pt idx="68">
                  <c:v>88.766668937754304</c:v>
                </c:pt>
                <c:pt idx="69">
                  <c:v>89.600285625236836</c:v>
                </c:pt>
                <c:pt idx="70">
                  <c:v>88.72551079401461</c:v>
                </c:pt>
                <c:pt idx="71">
                  <c:v>89.638322820341273</c:v>
                </c:pt>
                <c:pt idx="72">
                  <c:v>89.165556356435047</c:v>
                </c:pt>
                <c:pt idx="73">
                  <c:v>89.238585042182592</c:v>
                </c:pt>
                <c:pt idx="74">
                  <c:v>88.588421325223976</c:v>
                </c:pt>
                <c:pt idx="75">
                  <c:v>86.98629164003124</c:v>
                </c:pt>
                <c:pt idx="76">
                  <c:v>87.787660352905405</c:v>
                </c:pt>
                <c:pt idx="77">
                  <c:v>88.129046000270549</c:v>
                </c:pt>
                <c:pt idx="78">
                  <c:v>87.957137521905238</c:v>
                </c:pt>
                <c:pt idx="79">
                  <c:v>88.127397151841777</c:v>
                </c:pt>
                <c:pt idx="80">
                  <c:v>88.954292421583531</c:v>
                </c:pt>
                <c:pt idx="81">
                  <c:v>88.954292421583531</c:v>
                </c:pt>
                <c:pt idx="82">
                  <c:v>88.149598364667582</c:v>
                </c:pt>
                <c:pt idx="83">
                  <c:v>87.538044325123309</c:v>
                </c:pt>
                <c:pt idx="84">
                  <c:v>86.929116867519454</c:v>
                </c:pt>
                <c:pt idx="85">
                  <c:v>86.929116867519454</c:v>
                </c:pt>
                <c:pt idx="86">
                  <c:v>86.832350630603003</c:v>
                </c:pt>
                <c:pt idx="87">
                  <c:v>85.832951364504765</c:v>
                </c:pt>
                <c:pt idx="88">
                  <c:v>84.8446556069606</c:v>
                </c:pt>
                <c:pt idx="89">
                  <c:v>85.957053759305083</c:v>
                </c:pt>
                <c:pt idx="90">
                  <c:v>86.391083521444699</c:v>
                </c:pt>
                <c:pt idx="91">
                  <c:v>86.552392367829995</c:v>
                </c:pt>
                <c:pt idx="92">
                  <c:v>86.090471336684118</c:v>
                </c:pt>
                <c:pt idx="93">
                  <c:v>86.488944884025088</c:v>
                </c:pt>
                <c:pt idx="94">
                  <c:v>85.965380241748676</c:v>
                </c:pt>
                <c:pt idx="95">
                  <c:v>85.091186001656411</c:v>
                </c:pt>
                <c:pt idx="96">
                  <c:v>86.28541797009305</c:v>
                </c:pt>
                <c:pt idx="97">
                  <c:v>86.503239951347751</c:v>
                </c:pt>
                <c:pt idx="98">
                  <c:v>86.290038470752378</c:v>
                </c:pt>
                <c:pt idx="99">
                  <c:v>85.540266815673689</c:v>
                </c:pt>
                <c:pt idx="100">
                  <c:v>85.142297788085585</c:v>
                </c:pt>
                <c:pt idx="101">
                  <c:v>84.770775304977647</c:v>
                </c:pt>
                <c:pt idx="102">
                  <c:v>83.466801520651345</c:v>
                </c:pt>
                <c:pt idx="103">
                  <c:v>82.571677458851696</c:v>
                </c:pt>
                <c:pt idx="104">
                  <c:v>83.447123626680607</c:v>
                </c:pt>
                <c:pt idx="105">
                  <c:v>83.560997044238164</c:v>
                </c:pt>
                <c:pt idx="106">
                  <c:v>83.83659845262234</c:v>
                </c:pt>
                <c:pt idx="107">
                  <c:v>83.001016604540823</c:v>
                </c:pt>
                <c:pt idx="108">
                  <c:v>83.707667028469402</c:v>
                </c:pt>
                <c:pt idx="109">
                  <c:v>83.612912387639241</c:v>
                </c:pt>
                <c:pt idx="110">
                  <c:v>83.190796489993417</c:v>
                </c:pt>
                <c:pt idx="111">
                  <c:v>83.919438216413852</c:v>
                </c:pt>
                <c:pt idx="112">
                  <c:v>83.3885998085306</c:v>
                </c:pt>
                <c:pt idx="113">
                  <c:v>83.608231657363831</c:v>
                </c:pt>
                <c:pt idx="114">
                  <c:v>83.005404555442453</c:v>
                </c:pt>
                <c:pt idx="115">
                  <c:v>82.283413779387899</c:v>
                </c:pt>
                <c:pt idx="116">
                  <c:v>82.179389794477714</c:v>
                </c:pt>
                <c:pt idx="117">
                  <c:v>81.06394273603054</c:v>
                </c:pt>
                <c:pt idx="118">
                  <c:v>81.389877637388807</c:v>
                </c:pt>
                <c:pt idx="119">
                  <c:v>82.968515213965674</c:v>
                </c:pt>
                <c:pt idx="120">
                  <c:v>83.215442298623785</c:v>
                </c:pt>
                <c:pt idx="121">
                  <c:v>82.906843869654011</c:v>
                </c:pt>
                <c:pt idx="122">
                  <c:v>81.139025812264819</c:v>
                </c:pt>
                <c:pt idx="123">
                  <c:v>81.006998187614954</c:v>
                </c:pt>
                <c:pt idx="124">
                  <c:v>80.608705382119297</c:v>
                </c:pt>
                <c:pt idx="125">
                  <c:v>80.495535109824615</c:v>
                </c:pt>
                <c:pt idx="126">
                  <c:v>81.075212439459065</c:v>
                </c:pt>
                <c:pt idx="127">
                  <c:v>81.956988441379764</c:v>
                </c:pt>
                <c:pt idx="128">
                  <c:v>81.440754158886222</c:v>
                </c:pt>
                <c:pt idx="129">
                  <c:v>81.7240063100745</c:v>
                </c:pt>
                <c:pt idx="130">
                  <c:v>81.434580638640526</c:v>
                </c:pt>
                <c:pt idx="131">
                  <c:v>80.530681329491401</c:v>
                </c:pt>
                <c:pt idx="132">
                  <c:v>80.28466876706905</c:v>
                </c:pt>
                <c:pt idx="133">
                  <c:v>80.196975947717561</c:v>
                </c:pt>
                <c:pt idx="134">
                  <c:v>79.341263054238269</c:v>
                </c:pt>
                <c:pt idx="135">
                  <c:v>77.835246144400827</c:v>
                </c:pt>
                <c:pt idx="136">
                  <c:v>76.845559675972126</c:v>
                </c:pt>
                <c:pt idx="137">
                  <c:v>77.723212755776188</c:v>
                </c:pt>
                <c:pt idx="138">
                  <c:v>79.23920835845928</c:v>
                </c:pt>
                <c:pt idx="139">
                  <c:v>78.376410024050259</c:v>
                </c:pt>
                <c:pt idx="140">
                  <c:v>77.993272357438826</c:v>
                </c:pt>
                <c:pt idx="141">
                  <c:v>78.412541089303545</c:v>
                </c:pt>
                <c:pt idx="142">
                  <c:v>78.590065930229756</c:v>
                </c:pt>
                <c:pt idx="143">
                  <c:v>79.499999350850871</c:v>
                </c:pt>
                <c:pt idx="144">
                  <c:v>79.230903597699466</c:v>
                </c:pt>
                <c:pt idx="145">
                  <c:v>79.240746468174464</c:v>
                </c:pt>
                <c:pt idx="146">
                  <c:v>78.559414775081791</c:v>
                </c:pt>
                <c:pt idx="147">
                  <c:v>78.581594140965422</c:v>
                </c:pt>
                <c:pt idx="148">
                  <c:v>78.729203630846811</c:v>
                </c:pt>
                <c:pt idx="149">
                  <c:v>79.491433452504324</c:v>
                </c:pt>
                <c:pt idx="150">
                  <c:v>79.44121046848187</c:v>
                </c:pt>
                <c:pt idx="151">
                  <c:v>80.102767636043552</c:v>
                </c:pt>
                <c:pt idx="152">
                  <c:v>80.0909285912347</c:v>
                </c:pt>
                <c:pt idx="153">
                  <c:v>78.958634206725861</c:v>
                </c:pt>
                <c:pt idx="154">
                  <c:v>77.639251476165242</c:v>
                </c:pt>
                <c:pt idx="155">
                  <c:v>75.996371078338356</c:v>
                </c:pt>
                <c:pt idx="156">
                  <c:v>76.54192593555554</c:v>
                </c:pt>
                <c:pt idx="157">
                  <c:v>78.048942144567903</c:v>
                </c:pt>
                <c:pt idx="158">
                  <c:v>79.57479711246701</c:v>
                </c:pt>
                <c:pt idx="159">
                  <c:v>80.151522687826144</c:v>
                </c:pt>
                <c:pt idx="160">
                  <c:v>80.351671423416391</c:v>
                </c:pt>
                <c:pt idx="161">
                  <c:v>79.406287768366184</c:v>
                </c:pt>
                <c:pt idx="162">
                  <c:v>79.607694777800788</c:v>
                </c:pt>
                <c:pt idx="163">
                  <c:v>80.303725755052298</c:v>
                </c:pt>
                <c:pt idx="164">
                  <c:v>80.648730092668245</c:v>
                </c:pt>
                <c:pt idx="165">
                  <c:v>80.293511769187347</c:v>
                </c:pt>
                <c:pt idx="166">
                  <c:v>80.826293558606167</c:v>
                </c:pt>
                <c:pt idx="167">
                  <c:v>80.768084247625183</c:v>
                </c:pt>
                <c:pt idx="168">
                  <c:v>81.133972946509175</c:v>
                </c:pt>
                <c:pt idx="169">
                  <c:v>81.156446897224484</c:v>
                </c:pt>
                <c:pt idx="170">
                  <c:v>80.359685511398354</c:v>
                </c:pt>
                <c:pt idx="171">
                  <c:v>80.232913130582602</c:v>
                </c:pt>
                <c:pt idx="172">
                  <c:v>80.981179685010048</c:v>
                </c:pt>
                <c:pt idx="173">
                  <c:v>81.428624620343754</c:v>
                </c:pt>
                <c:pt idx="174">
                  <c:v>82.469367250904398</c:v>
                </c:pt>
                <c:pt idx="175">
                  <c:v>83.128568674672664</c:v>
                </c:pt>
                <c:pt idx="176">
                  <c:v>83.532385612578594</c:v>
                </c:pt>
                <c:pt idx="177">
                  <c:v>83.071504929971113</c:v>
                </c:pt>
                <c:pt idx="178">
                  <c:v>83.96592766484936</c:v>
                </c:pt>
                <c:pt idx="179">
                  <c:v>83.373612743089112</c:v>
                </c:pt>
                <c:pt idx="180">
                  <c:v>83.402229089854174</c:v>
                </c:pt>
                <c:pt idx="181">
                  <c:v>83.907363990018965</c:v>
                </c:pt>
                <c:pt idx="182">
                  <c:v>82.003854183825055</c:v>
                </c:pt>
                <c:pt idx="183">
                  <c:v>81.266307276197182</c:v>
                </c:pt>
                <c:pt idx="184">
                  <c:v>81.150746583157883</c:v>
                </c:pt>
                <c:pt idx="185">
                  <c:v>81.820757036419437</c:v>
                </c:pt>
                <c:pt idx="186">
                  <c:v>83.065757791569183</c:v>
                </c:pt>
                <c:pt idx="187">
                  <c:v>83.134324508157448</c:v>
                </c:pt>
                <c:pt idx="188">
                  <c:v>82.175970969876161</c:v>
                </c:pt>
                <c:pt idx="189">
                  <c:v>82.451933110980363</c:v>
                </c:pt>
                <c:pt idx="190">
                  <c:v>83.281651216433843</c:v>
                </c:pt>
                <c:pt idx="191">
                  <c:v>82.977284707457457</c:v>
                </c:pt>
                <c:pt idx="192">
                  <c:v>82.778292226270224</c:v>
                </c:pt>
                <c:pt idx="193">
                  <c:v>83.058096177244153</c:v>
                </c:pt>
                <c:pt idx="194">
                  <c:v>83.476245654692931</c:v>
                </c:pt>
                <c:pt idx="195">
                  <c:v>83.459862013318912</c:v>
                </c:pt>
                <c:pt idx="196">
                  <c:v>81.801410424423139</c:v>
                </c:pt>
                <c:pt idx="197">
                  <c:v>80.959444916004941</c:v>
                </c:pt>
                <c:pt idx="198">
                  <c:v>80.374979983041371</c:v>
                </c:pt>
                <c:pt idx="199">
                  <c:v>81.098942723226045</c:v>
                </c:pt>
                <c:pt idx="200">
                  <c:v>80.671786217263389</c:v>
                </c:pt>
                <c:pt idx="201">
                  <c:v>80.486224387191911</c:v>
                </c:pt>
                <c:pt idx="202">
                  <c:v>80.859059835492999</c:v>
                </c:pt>
                <c:pt idx="203">
                  <c:v>82.45870600941015</c:v>
                </c:pt>
                <c:pt idx="204">
                  <c:v>82.615570594393873</c:v>
                </c:pt>
                <c:pt idx="205">
                  <c:v>82.913803982527355</c:v>
                </c:pt>
                <c:pt idx="206">
                  <c:v>83.020259524742414</c:v>
                </c:pt>
                <c:pt idx="207">
                  <c:v>83.5283975271862</c:v>
                </c:pt>
                <c:pt idx="208">
                  <c:v>83.550849712441732</c:v>
                </c:pt>
                <c:pt idx="209">
                  <c:v>83.010130559912355</c:v>
                </c:pt>
                <c:pt idx="210">
                  <c:v>83.000454080284101</c:v>
                </c:pt>
                <c:pt idx="211">
                  <c:v>83.025550077827106</c:v>
                </c:pt>
                <c:pt idx="212">
                  <c:v>83.340251814570166</c:v>
                </c:pt>
                <c:pt idx="213">
                  <c:v>82.698582479796002</c:v>
                </c:pt>
                <c:pt idx="214">
                  <c:v>82.110076365562392</c:v>
                </c:pt>
                <c:pt idx="215">
                  <c:v>83.290373741646675</c:v>
                </c:pt>
                <c:pt idx="216">
                  <c:v>82.988192946125551</c:v>
                </c:pt>
                <c:pt idx="217">
                  <c:v>82.454486696111161</c:v>
                </c:pt>
                <c:pt idx="218">
                  <c:v>82.704725733495579</c:v>
                </c:pt>
                <c:pt idx="219">
                  <c:v>83.312018024587871</c:v>
                </c:pt>
                <c:pt idx="220">
                  <c:v>83.616794366374094</c:v>
                </c:pt>
                <c:pt idx="221">
                  <c:v>83.925994251794407</c:v>
                </c:pt>
                <c:pt idx="222">
                  <c:v>83.765264651123957</c:v>
                </c:pt>
                <c:pt idx="223">
                  <c:v>83.132631533216923</c:v>
                </c:pt>
                <c:pt idx="224">
                  <c:v>82.07375835193038</c:v>
                </c:pt>
                <c:pt idx="225">
                  <c:v>81.256925230730417</c:v>
                </c:pt>
                <c:pt idx="226">
                  <c:v>80.408648322138831</c:v>
                </c:pt>
                <c:pt idx="227">
                  <c:v>80.386903159997942</c:v>
                </c:pt>
                <c:pt idx="228">
                  <c:v>80.753065791712089</c:v>
                </c:pt>
                <c:pt idx="229">
                  <c:v>80.887899046660394</c:v>
                </c:pt>
                <c:pt idx="230">
                  <c:v>80.957411224356221</c:v>
                </c:pt>
                <c:pt idx="231">
                  <c:v>80.775861955247038</c:v>
                </c:pt>
                <c:pt idx="232">
                  <c:v>79.934521416300711</c:v>
                </c:pt>
                <c:pt idx="233">
                  <c:v>80.169991699419469</c:v>
                </c:pt>
                <c:pt idx="234">
                  <c:v>78.734265104856433</c:v>
                </c:pt>
                <c:pt idx="235">
                  <c:v>79.420397374356511</c:v>
                </c:pt>
                <c:pt idx="236">
                  <c:v>79.001011477169499</c:v>
                </c:pt>
                <c:pt idx="237">
                  <c:v>79.263722679231336</c:v>
                </c:pt>
                <c:pt idx="238">
                  <c:v>80.908953973568558</c:v>
                </c:pt>
                <c:pt idx="239">
                  <c:v>79.544509799846182</c:v>
                </c:pt>
                <c:pt idx="240">
                  <c:v>80.307833141637076</c:v>
                </c:pt>
                <c:pt idx="241">
                  <c:v>80.554623728055446</c:v>
                </c:pt>
                <c:pt idx="242">
                  <c:v>79.711220284353757</c:v>
                </c:pt>
                <c:pt idx="243">
                  <c:v>80.126456229055336</c:v>
                </c:pt>
                <c:pt idx="244">
                  <c:v>81.898673229188944</c:v>
                </c:pt>
                <c:pt idx="245">
                  <c:v>81.691298303845613</c:v>
                </c:pt>
                <c:pt idx="246">
                  <c:v>81.711792257702925</c:v>
                </c:pt>
                <c:pt idx="247">
                  <c:v>82.323348431011112</c:v>
                </c:pt>
                <c:pt idx="248">
                  <c:v>81.366841756282142</c:v>
                </c:pt>
                <c:pt idx="249">
                  <c:v>81.796165462446055</c:v>
                </c:pt>
                <c:pt idx="250">
                  <c:v>82.108424849484408</c:v>
                </c:pt>
                <c:pt idx="251">
                  <c:v>82.573793062528381</c:v>
                </c:pt>
                <c:pt idx="252">
                  <c:v>82.703943814154485</c:v>
                </c:pt>
                <c:pt idx="253">
                  <c:v>82.351801992022203</c:v>
                </c:pt>
                <c:pt idx="254">
                  <c:v>82.912569038518001</c:v>
                </c:pt>
                <c:pt idx="255">
                  <c:v>83.086383569970863</c:v>
                </c:pt>
                <c:pt idx="256">
                  <c:v>83.110516329206305</c:v>
                </c:pt>
                <c:pt idx="257">
                  <c:v>83.197578283902146</c:v>
                </c:pt>
                <c:pt idx="258">
                  <c:v>83.281424681679795</c:v>
                </c:pt>
                <c:pt idx="259">
                  <c:v>83.429273682733296</c:v>
                </c:pt>
                <c:pt idx="260">
                  <c:v>83.341386101421293</c:v>
                </c:pt>
                <c:pt idx="261">
                  <c:v>83.542870396267176</c:v>
                </c:pt>
                <c:pt idx="262">
                  <c:v>83.606062716152493</c:v>
                </c:pt>
                <c:pt idx="263">
                  <c:v>83.313945024279562</c:v>
                </c:pt>
                <c:pt idx="264">
                  <c:v>83.580386440196733</c:v>
                </c:pt>
                <c:pt idx="265">
                  <c:v>83.963394735182206</c:v>
                </c:pt>
                <c:pt idx="266">
                  <c:v>84.083069689779393</c:v>
                </c:pt>
                <c:pt idx="267">
                  <c:v>84.94941241265262</c:v>
                </c:pt>
                <c:pt idx="268">
                  <c:v>84.814688617595607</c:v>
                </c:pt>
                <c:pt idx="269">
                  <c:v>85.246367207838276</c:v>
                </c:pt>
                <c:pt idx="270">
                  <c:v>85.009086201606735</c:v>
                </c:pt>
                <c:pt idx="271">
                  <c:v>84.455098145226202</c:v>
                </c:pt>
                <c:pt idx="272">
                  <c:v>83.654491131673055</c:v>
                </c:pt>
                <c:pt idx="273">
                  <c:v>83.691764355350315</c:v>
                </c:pt>
                <c:pt idx="274">
                  <c:v>84.266469970591871</c:v>
                </c:pt>
                <c:pt idx="275">
                  <c:v>84.663882974310724</c:v>
                </c:pt>
                <c:pt idx="276">
                  <c:v>84.837837725502425</c:v>
                </c:pt>
                <c:pt idx="277">
                  <c:v>84.609719464491207</c:v>
                </c:pt>
                <c:pt idx="278">
                  <c:v>84.201233715695309</c:v>
                </c:pt>
                <c:pt idx="279">
                  <c:v>83.987348543244494</c:v>
                </c:pt>
                <c:pt idx="280">
                  <c:v>83.477383646426858</c:v>
                </c:pt>
                <c:pt idx="281">
                  <c:v>83.577648568230771</c:v>
                </c:pt>
                <c:pt idx="282">
                  <c:v>82.683842393799395</c:v>
                </c:pt>
                <c:pt idx="283">
                  <c:v>81.433389365278586</c:v>
                </c:pt>
                <c:pt idx="284">
                  <c:v>82.046156154868527</c:v>
                </c:pt>
                <c:pt idx="285">
                  <c:v>82.682837579278058</c:v>
                </c:pt>
                <c:pt idx="286">
                  <c:v>82.610666508372447</c:v>
                </c:pt>
                <c:pt idx="287">
                  <c:v>82.503701847353128</c:v>
                </c:pt>
                <c:pt idx="288">
                  <c:v>82.363211081116276</c:v>
                </c:pt>
                <c:pt idx="289">
                  <c:v>82.203219180840577</c:v>
                </c:pt>
                <c:pt idx="290">
                  <c:v>82.19913631439546</c:v>
                </c:pt>
                <c:pt idx="291">
                  <c:v>83.091682554328941</c:v>
                </c:pt>
                <c:pt idx="292">
                  <c:v>82.639207535965809</c:v>
                </c:pt>
                <c:pt idx="293">
                  <c:v>82.919979254432405</c:v>
                </c:pt>
                <c:pt idx="294">
                  <c:v>83.188423123322139</c:v>
                </c:pt>
                <c:pt idx="295">
                  <c:v>83.663977789436785</c:v>
                </c:pt>
                <c:pt idx="296">
                  <c:v>83.864270101183763</c:v>
                </c:pt>
                <c:pt idx="297">
                  <c:v>84.029069990833207</c:v>
                </c:pt>
                <c:pt idx="298">
                  <c:v>84.129162733888577</c:v>
                </c:pt>
                <c:pt idx="299">
                  <c:v>83.689591078066826</c:v>
                </c:pt>
                <c:pt idx="300">
                  <c:v>83.302724336736972</c:v>
                </c:pt>
                <c:pt idx="301">
                  <c:v>83.202665355004669</c:v>
                </c:pt>
                <c:pt idx="302">
                  <c:v>82.782768573533616</c:v>
                </c:pt>
                <c:pt idx="303">
                  <c:v>83.235576772769278</c:v>
                </c:pt>
                <c:pt idx="304">
                  <c:v>83.434161761499809</c:v>
                </c:pt>
                <c:pt idx="305">
                  <c:v>83.339571257279559</c:v>
                </c:pt>
                <c:pt idx="306">
                  <c:v>83.353184515261262</c:v>
                </c:pt>
                <c:pt idx="307">
                  <c:v>82.580920104166708</c:v>
                </c:pt>
                <c:pt idx="308">
                  <c:v>82.674241831000671</c:v>
                </c:pt>
                <c:pt idx="309">
                  <c:v>82.808516968348655</c:v>
                </c:pt>
                <c:pt idx="310">
                  <c:v>83.037259230731593</c:v>
                </c:pt>
                <c:pt idx="311">
                  <c:v>82.758937597647204</c:v>
                </c:pt>
                <c:pt idx="312">
                  <c:v>83.227318197633892</c:v>
                </c:pt>
                <c:pt idx="313">
                  <c:v>83.563847861775827</c:v>
                </c:pt>
                <c:pt idx="314">
                  <c:v>83.66306331908747</c:v>
                </c:pt>
                <c:pt idx="315">
                  <c:v>84.0559457838188</c:v>
                </c:pt>
                <c:pt idx="316">
                  <c:v>83.935312485435915</c:v>
                </c:pt>
                <c:pt idx="317">
                  <c:v>83.663406243125777</c:v>
                </c:pt>
                <c:pt idx="318">
                  <c:v>83.377245476368387</c:v>
                </c:pt>
                <c:pt idx="319">
                  <c:v>83.73422308523287</c:v>
                </c:pt>
                <c:pt idx="320">
                  <c:v>83.785666102476384</c:v>
                </c:pt>
                <c:pt idx="321">
                  <c:v>84.208528667947363</c:v>
                </c:pt>
                <c:pt idx="322">
                  <c:v>84.05259979135775</c:v>
                </c:pt>
                <c:pt idx="323">
                  <c:v>84.538931894208218</c:v>
                </c:pt>
                <c:pt idx="324">
                  <c:v>83.645349401079343</c:v>
                </c:pt>
                <c:pt idx="325">
                  <c:v>84.019615645315682</c:v>
                </c:pt>
                <c:pt idx="326">
                  <c:v>84.199960123479613</c:v>
                </c:pt>
                <c:pt idx="327">
                  <c:v>84.27319632321462</c:v>
                </c:pt>
                <c:pt idx="328">
                  <c:v>84.451021469266195</c:v>
                </c:pt>
                <c:pt idx="329">
                  <c:v>84.157953183582279</c:v>
                </c:pt>
                <c:pt idx="330">
                  <c:v>84.269833012680181</c:v>
                </c:pt>
                <c:pt idx="331">
                  <c:v>83.969727345904346</c:v>
                </c:pt>
                <c:pt idx="332">
                  <c:v>84.380847914938329</c:v>
                </c:pt>
                <c:pt idx="333">
                  <c:v>84.381313026918036</c:v>
                </c:pt>
                <c:pt idx="334">
                  <c:v>84.711435504264955</c:v>
                </c:pt>
                <c:pt idx="335">
                  <c:v>85.477816723969141</c:v>
                </c:pt>
                <c:pt idx="336">
                  <c:v>85.189085713570151</c:v>
                </c:pt>
                <c:pt idx="337">
                  <c:v>85.215641469181378</c:v>
                </c:pt>
                <c:pt idx="338">
                  <c:v>85.302418624607427</c:v>
                </c:pt>
                <c:pt idx="339">
                  <c:v>86.037368943142809</c:v>
                </c:pt>
                <c:pt idx="340">
                  <c:v>86.284688462589799</c:v>
                </c:pt>
                <c:pt idx="341">
                  <c:v>86.177706159269803</c:v>
                </c:pt>
                <c:pt idx="342">
                  <c:v>86.256733304784817</c:v>
                </c:pt>
                <c:pt idx="343">
                  <c:v>87.309384111956248</c:v>
                </c:pt>
                <c:pt idx="344">
                  <c:v>88.039843226565154</c:v>
                </c:pt>
                <c:pt idx="345">
                  <c:v>87.714724453662996</c:v>
                </c:pt>
                <c:pt idx="346">
                  <c:v>86.83124245788818</c:v>
                </c:pt>
                <c:pt idx="347">
                  <c:v>86.140367412567485</c:v>
                </c:pt>
                <c:pt idx="348">
                  <c:v>85.667957967662844</c:v>
                </c:pt>
                <c:pt idx="349">
                  <c:v>85.656813209563552</c:v>
                </c:pt>
                <c:pt idx="350">
                  <c:v>85.764907734864607</c:v>
                </c:pt>
                <c:pt idx="351">
                  <c:v>85.898331523736502</c:v>
                </c:pt>
                <c:pt idx="352">
                  <c:v>86.61715821486662</c:v>
                </c:pt>
                <c:pt idx="353">
                  <c:v>86.007157665275145</c:v>
                </c:pt>
                <c:pt idx="354">
                  <c:v>84.726672976129123</c:v>
                </c:pt>
                <c:pt idx="355">
                  <c:v>84.396315637865115</c:v>
                </c:pt>
                <c:pt idx="356">
                  <c:v>84.086302641480344</c:v>
                </c:pt>
                <c:pt idx="357">
                  <c:v>84.341796805055424</c:v>
                </c:pt>
                <c:pt idx="358">
                  <c:v>83.367596724873522</c:v>
                </c:pt>
                <c:pt idx="359">
                  <c:v>81.827864022011696</c:v>
                </c:pt>
                <c:pt idx="360">
                  <c:v>82.334085402419646</c:v>
                </c:pt>
                <c:pt idx="361">
                  <c:v>82.082669798017122</c:v>
                </c:pt>
                <c:pt idx="362">
                  <c:v>81.665150743246969</c:v>
                </c:pt>
                <c:pt idx="363">
                  <c:v>81.762417114641437</c:v>
                </c:pt>
                <c:pt idx="364">
                  <c:v>82.777061315640722</c:v>
                </c:pt>
                <c:pt idx="365">
                  <c:v>82.677478980931227</c:v>
                </c:pt>
                <c:pt idx="366">
                  <c:v>83.119992832845071</c:v>
                </c:pt>
                <c:pt idx="367">
                  <c:v>82.592504171168244</c:v>
                </c:pt>
                <c:pt idx="368">
                  <c:v>82.922000452296857</c:v>
                </c:pt>
                <c:pt idx="369">
                  <c:v>83.198595648357681</c:v>
                </c:pt>
                <c:pt idx="370">
                  <c:v>83.412908472470562</c:v>
                </c:pt>
                <c:pt idx="371">
                  <c:v>83.345810115176505</c:v>
                </c:pt>
                <c:pt idx="372">
                  <c:v>82.915600330394923</c:v>
                </c:pt>
                <c:pt idx="373">
                  <c:v>83.231390714794387</c:v>
                </c:pt>
                <c:pt idx="374">
                  <c:v>82.420414915195764</c:v>
                </c:pt>
                <c:pt idx="375">
                  <c:v>82.949745734930289</c:v>
                </c:pt>
                <c:pt idx="376">
                  <c:v>82.984031733254128</c:v>
                </c:pt>
                <c:pt idx="377">
                  <c:v>83.615424215072665</c:v>
                </c:pt>
                <c:pt idx="378">
                  <c:v>83.316212196870765</c:v>
                </c:pt>
                <c:pt idx="379">
                  <c:v>83.140306905231881</c:v>
                </c:pt>
                <c:pt idx="380">
                  <c:v>81.502432401855344</c:v>
                </c:pt>
                <c:pt idx="381">
                  <c:v>81.824802399930448</c:v>
                </c:pt>
                <c:pt idx="382">
                  <c:v>82.162739491491024</c:v>
                </c:pt>
                <c:pt idx="383">
                  <c:v>82.117674195304659</c:v>
                </c:pt>
                <c:pt idx="384">
                  <c:v>80.528245511596396</c:v>
                </c:pt>
                <c:pt idx="385">
                  <c:v>80.217777760310781</c:v>
                </c:pt>
                <c:pt idx="386">
                  <c:v>79.659475710195252</c:v>
                </c:pt>
                <c:pt idx="387">
                  <c:v>80.106435306799455</c:v>
                </c:pt>
                <c:pt idx="388">
                  <c:v>79.14958850848376</c:v>
                </c:pt>
                <c:pt idx="389">
                  <c:v>77.864047546991259</c:v>
                </c:pt>
                <c:pt idx="390">
                  <c:v>77.566670931309218</c:v>
                </c:pt>
                <c:pt idx="391">
                  <c:v>79.042005829338194</c:v>
                </c:pt>
                <c:pt idx="392">
                  <c:v>79.390433319244551</c:v>
                </c:pt>
                <c:pt idx="393">
                  <c:v>80.060247186045828</c:v>
                </c:pt>
                <c:pt idx="394">
                  <c:v>79.887697472018914</c:v>
                </c:pt>
                <c:pt idx="395">
                  <c:v>80.911092142504117</c:v>
                </c:pt>
                <c:pt idx="396">
                  <c:v>81.315517593972146</c:v>
                </c:pt>
                <c:pt idx="397">
                  <c:v>81.861994746094624</c:v>
                </c:pt>
                <c:pt idx="398">
                  <c:v>81.946788251715262</c:v>
                </c:pt>
                <c:pt idx="399">
                  <c:v>79.964793238630236</c:v>
                </c:pt>
                <c:pt idx="400">
                  <c:v>80.395452038967477</c:v>
                </c:pt>
                <c:pt idx="401">
                  <c:v>81.62998689579689</c:v>
                </c:pt>
                <c:pt idx="402">
                  <c:v>80.834082481548478</c:v>
                </c:pt>
                <c:pt idx="403">
                  <c:v>79.765941399375492</c:v>
                </c:pt>
                <c:pt idx="404">
                  <c:v>76.14331865196705</c:v>
                </c:pt>
                <c:pt idx="405">
                  <c:v>70.441556768297716</c:v>
                </c:pt>
                <c:pt idx="406">
                  <c:v>65.449679292937375</c:v>
                </c:pt>
                <c:pt idx="407">
                  <c:v>66.743182514275858</c:v>
                </c:pt>
                <c:pt idx="408">
                  <c:v>59.307284256363509</c:v>
                </c:pt>
                <c:pt idx="409">
                  <c:v>54.79238772902491</c:v>
                </c:pt>
                <c:pt idx="410">
                  <c:v>52.749414866903216</c:v>
                </c:pt>
                <c:pt idx="411">
                  <c:v>50.86788753805704</c:v>
                </c:pt>
                <c:pt idx="412">
                  <c:v>53.156221163353337</c:v>
                </c:pt>
                <c:pt idx="413">
                  <c:v>54.927105020258821</c:v>
                </c:pt>
                <c:pt idx="414">
                  <c:v>56.670809729750736</c:v>
                </c:pt>
                <c:pt idx="415">
                  <c:v>58.428720281828831</c:v>
                </c:pt>
                <c:pt idx="416">
                  <c:v>58.495308166932382</c:v>
                </c:pt>
                <c:pt idx="417">
                  <c:v>58.836924844894156</c:v>
                </c:pt>
                <c:pt idx="418">
                  <c:v>59.357242700301846</c:v>
                </c:pt>
                <c:pt idx="419">
                  <c:v>63.755000218645677</c:v>
                </c:pt>
                <c:pt idx="420">
                  <c:v>65.342403628117893</c:v>
                </c:pt>
                <c:pt idx="421">
                  <c:v>70.967719504011711</c:v>
                </c:pt>
                <c:pt idx="422">
                  <c:v>72.823841560514254</c:v>
                </c:pt>
                <c:pt idx="423">
                  <c:v>73.413523846746799</c:v>
                </c:pt>
                <c:pt idx="424">
                  <c:v>73.252369809984501</c:v>
                </c:pt>
                <c:pt idx="425">
                  <c:v>73.464343986946872</c:v>
                </c:pt>
                <c:pt idx="426">
                  <c:v>74.136582554645329</c:v>
                </c:pt>
                <c:pt idx="427">
                  <c:v>80.301935487255165</c:v>
                </c:pt>
                <c:pt idx="428">
                  <c:v>77.355115488203538</c:v>
                </c:pt>
                <c:pt idx="429">
                  <c:v>76.900664846522645</c:v>
                </c:pt>
                <c:pt idx="430">
                  <c:v>76.689071988838634</c:v>
                </c:pt>
                <c:pt idx="431">
                  <c:v>75.329691959452774</c:v>
                </c:pt>
                <c:pt idx="432">
                  <c:v>77.069559449686494</c:v>
                </c:pt>
                <c:pt idx="433">
                  <c:v>77.483243429285764</c:v>
                </c:pt>
                <c:pt idx="434">
                  <c:v>79.441210468481771</c:v>
                </c:pt>
                <c:pt idx="435">
                  <c:v>81.646421952292656</c:v>
                </c:pt>
                <c:pt idx="436">
                  <c:v>83.469304576948772</c:v>
                </c:pt>
                <c:pt idx="437">
                  <c:v>84.21802557871176</c:v>
                </c:pt>
                <c:pt idx="438">
                  <c:v>84.024457849180195</c:v>
                </c:pt>
                <c:pt idx="439">
                  <c:v>84.699835259000182</c:v>
                </c:pt>
                <c:pt idx="440">
                  <c:v>88.213092082516937</c:v>
                </c:pt>
                <c:pt idx="441">
                  <c:v>92.44570320874179</c:v>
                </c:pt>
                <c:pt idx="442">
                  <c:v>88.952612549009302</c:v>
                </c:pt>
                <c:pt idx="443">
                  <c:v>93.072671891244411</c:v>
                </c:pt>
                <c:pt idx="444">
                  <c:v>96.515852437957534</c:v>
                </c:pt>
                <c:pt idx="445">
                  <c:v>96.366543495093026</c:v>
                </c:pt>
                <c:pt idx="446">
                  <c:v>96.333948458490013</c:v>
                </c:pt>
                <c:pt idx="447">
                  <c:v>98.126535380453802</c:v>
                </c:pt>
                <c:pt idx="448">
                  <c:v>105.19733304471663</c:v>
                </c:pt>
                <c:pt idx="449">
                  <c:v>107.48652776071192</c:v>
                </c:pt>
                <c:pt idx="450">
                  <c:v>108.76453829156864</c:v>
                </c:pt>
                <c:pt idx="451">
                  <c:v>98.685726718184625</c:v>
                </c:pt>
                <c:pt idx="452">
                  <c:v>97.046634177265304</c:v>
                </c:pt>
                <c:pt idx="453">
                  <c:v>99.394710657410087</c:v>
                </c:pt>
                <c:pt idx="454">
                  <c:v>99.61072530675915</c:v>
                </c:pt>
                <c:pt idx="455">
                  <c:v>99.446203816483916</c:v>
                </c:pt>
                <c:pt idx="456">
                  <c:v>100.20389661819618</c:v>
                </c:pt>
                <c:pt idx="457">
                  <c:v>100.4552426730537</c:v>
                </c:pt>
                <c:pt idx="458">
                  <c:v>101.66998183575133</c:v>
                </c:pt>
                <c:pt idx="459">
                  <c:v>104.87159506418105</c:v>
                </c:pt>
                <c:pt idx="460">
                  <c:v>104.87159506418105</c:v>
                </c:pt>
                <c:pt idx="461">
                  <c:v>105.98151545570978</c:v>
                </c:pt>
                <c:pt idx="462">
                  <c:v>107.25382974325919</c:v>
                </c:pt>
                <c:pt idx="463">
                  <c:v>108.06813689501325</c:v>
                </c:pt>
                <c:pt idx="464">
                  <c:v>107.67534566223131</c:v>
                </c:pt>
                <c:pt idx="465">
                  <c:v>107.97723862239704</c:v>
                </c:pt>
                <c:pt idx="466">
                  <c:v>109.01024875072763</c:v>
                </c:pt>
                <c:pt idx="467">
                  <c:v>111.92858095967503</c:v>
                </c:pt>
                <c:pt idx="468">
                  <c:v>114.93126722073316</c:v>
                </c:pt>
                <c:pt idx="469">
                  <c:v>114.76110334384099</c:v>
                </c:pt>
                <c:pt idx="470">
                  <c:v>114.83513804446075</c:v>
                </c:pt>
                <c:pt idx="471">
                  <c:v>114.74755500420692</c:v>
                </c:pt>
                <c:pt idx="472">
                  <c:v>115.6015019850896</c:v>
                </c:pt>
                <c:pt idx="473">
                  <c:v>119.69584424723401</c:v>
                </c:pt>
                <c:pt idx="474">
                  <c:v>116.60887068363026</c:v>
                </c:pt>
                <c:pt idx="475">
                  <c:v>113.88642974579481</c:v>
                </c:pt>
                <c:pt idx="476">
                  <c:v>111.16113408537223</c:v>
                </c:pt>
                <c:pt idx="477">
                  <c:v>104.65239490154117</c:v>
                </c:pt>
                <c:pt idx="478">
                  <c:v>97.334329449539766</c:v>
                </c:pt>
                <c:pt idx="479">
                  <c:v>96.977164422807334</c:v>
                </c:pt>
                <c:pt idx="480">
                  <c:v>99.947116200723357</c:v>
                </c:pt>
                <c:pt idx="481">
                  <c:v>99.885000285460251</c:v>
                </c:pt>
                <c:pt idx="482">
                  <c:v>104.04372847431186</c:v>
                </c:pt>
                <c:pt idx="483">
                  <c:v>104.61592080940061</c:v>
                </c:pt>
                <c:pt idx="484">
                  <c:v>105.11047637357353</c:v>
                </c:pt>
                <c:pt idx="485">
                  <c:v>105.88200711367175</c:v>
                </c:pt>
                <c:pt idx="486">
                  <c:v>108.26072812650274</c:v>
                </c:pt>
                <c:pt idx="487">
                  <c:v>110.45691505673101</c:v>
                </c:pt>
                <c:pt idx="488">
                  <c:v>111.64084734298278</c:v>
                </c:pt>
                <c:pt idx="489">
                  <c:v>108.42040217216164</c:v>
                </c:pt>
                <c:pt idx="490">
                  <c:v>106.69487051263505</c:v>
                </c:pt>
                <c:pt idx="491">
                  <c:v>105.97399540688201</c:v>
                </c:pt>
                <c:pt idx="492">
                  <c:v>104.38710887223935</c:v>
                </c:pt>
                <c:pt idx="493">
                  <c:v>101.68416368038415</c:v>
                </c:pt>
                <c:pt idx="494">
                  <c:v>101.71237029322405</c:v>
                </c:pt>
                <c:pt idx="495">
                  <c:v>99.875876894671464</c:v>
                </c:pt>
                <c:pt idx="496">
                  <c:v>98.683977270163325</c:v>
                </c:pt>
                <c:pt idx="497">
                  <c:v>101.78608532318248</c:v>
                </c:pt>
                <c:pt idx="498">
                  <c:v>101.65445387749132</c:v>
                </c:pt>
                <c:pt idx="499">
                  <c:v>101.61970194828895</c:v>
                </c:pt>
                <c:pt idx="500">
                  <c:v>101.43184649227419</c:v>
                </c:pt>
                <c:pt idx="501">
                  <c:v>101.52131095357143</c:v>
                </c:pt>
                <c:pt idx="502">
                  <c:v>101.41202423262786</c:v>
                </c:pt>
                <c:pt idx="503">
                  <c:v>101.28990210771121</c:v>
                </c:pt>
                <c:pt idx="504">
                  <c:v>101.00803491749809</c:v>
                </c:pt>
                <c:pt idx="505">
                  <c:v>100.54959580816194</c:v>
                </c:pt>
                <c:pt idx="506">
                  <c:v>99.770752443596407</c:v>
                </c:pt>
                <c:pt idx="507">
                  <c:v>99.689538573244903</c:v>
                </c:pt>
                <c:pt idx="508">
                  <c:v>100.78808069103543</c:v>
                </c:pt>
                <c:pt idx="509">
                  <c:v>102.12985973280844</c:v>
                </c:pt>
                <c:pt idx="510">
                  <c:v>103.55458372017898</c:v>
                </c:pt>
                <c:pt idx="511">
                  <c:v>102.49757707739452</c:v>
                </c:pt>
                <c:pt idx="512">
                  <c:v>102.23335999051687</c:v>
                </c:pt>
                <c:pt idx="513">
                  <c:v>102.0610893138702</c:v>
                </c:pt>
                <c:pt idx="514">
                  <c:v>102.44956073207409</c:v>
                </c:pt>
                <c:pt idx="515">
                  <c:v>101.89974106542583</c:v>
                </c:pt>
                <c:pt idx="516">
                  <c:v>101.44192857947496</c:v>
                </c:pt>
                <c:pt idx="517">
                  <c:v>101.43503893638477</c:v>
                </c:pt>
                <c:pt idx="518">
                  <c:v>101.65242884130765</c:v>
                </c:pt>
                <c:pt idx="519">
                  <c:v>101.65512890748201</c:v>
                </c:pt>
                <c:pt idx="520">
                  <c:v>101.42899026524184</c:v>
                </c:pt>
                <c:pt idx="521">
                  <c:v>100.54299192326187</c:v>
                </c:pt>
                <c:pt idx="522">
                  <c:v>100.62378398275217</c:v>
                </c:pt>
                <c:pt idx="523">
                  <c:v>100.08597384172305</c:v>
                </c:pt>
                <c:pt idx="524">
                  <c:v>100.71215933948444</c:v>
                </c:pt>
                <c:pt idx="525">
                  <c:v>101.26410626165865</c:v>
                </c:pt>
                <c:pt idx="526">
                  <c:v>101.2855460427941</c:v>
                </c:pt>
                <c:pt idx="527">
                  <c:v>101.9418122248932</c:v>
                </c:pt>
                <c:pt idx="528">
                  <c:v>102.44064836361621</c:v>
                </c:pt>
                <c:pt idx="529">
                  <c:v>102.62744631391581</c:v>
                </c:pt>
                <c:pt idx="530">
                  <c:v>102.00294511557239</c:v>
                </c:pt>
                <c:pt idx="531">
                  <c:v>101.77475060748384</c:v>
                </c:pt>
                <c:pt idx="532">
                  <c:v>102.02979881964406</c:v>
                </c:pt>
                <c:pt idx="533">
                  <c:v>100.60047479402309</c:v>
                </c:pt>
                <c:pt idx="534">
                  <c:v>102.34356980735986</c:v>
                </c:pt>
                <c:pt idx="535">
                  <c:v>105.393059624169</c:v>
                </c:pt>
                <c:pt idx="536">
                  <c:v>105.57768237383391</c:v>
                </c:pt>
              </c:numCache>
            </c:numRef>
          </c:val>
          <c:smooth val="0"/>
          <c:extLst>
            <c:ext xmlns:c16="http://schemas.microsoft.com/office/drawing/2014/chart" uri="{C3380CC4-5D6E-409C-BE32-E72D297353CC}">
              <c16:uniqueId val="{00000002-EF82-4DBE-A133-804C43A29F89}"/>
            </c:ext>
          </c:extLst>
        </c:ser>
        <c:ser>
          <c:idx val="2"/>
          <c:order val="3"/>
          <c:tx>
            <c:strRef>
              <c:f>Sheet1!$E$1</c:f>
              <c:strCache>
                <c:ptCount val="1"/>
                <c:pt idx="0">
                  <c:v>Դոլարի ինդեքս</c:v>
                </c:pt>
              </c:strCache>
            </c:strRef>
          </c:tx>
          <c:spPr>
            <a:ln w="28575">
              <a:solidFill>
                <a:srgbClr val="00B050"/>
              </a:solidFill>
            </a:ln>
          </c:spPr>
          <c:marker>
            <c:symbol val="none"/>
          </c:marker>
          <c:cat>
            <c:numRef>
              <c:f>Sheet1!$A$2:$A$542</c:f>
              <c:numCache>
                <c:formatCode>m\/d\/yyyy</c:formatCode>
                <c:ptCount val="541"/>
                <c:pt idx="0">
                  <c:v>43840</c:v>
                </c:pt>
                <c:pt idx="1">
                  <c:v>43844</c:v>
                </c:pt>
                <c:pt idx="2">
                  <c:v>43845</c:v>
                </c:pt>
                <c:pt idx="3">
                  <c:v>43846</c:v>
                </c:pt>
                <c:pt idx="4">
                  <c:v>43847</c:v>
                </c:pt>
                <c:pt idx="5">
                  <c:v>43851</c:v>
                </c:pt>
                <c:pt idx="6">
                  <c:v>43852</c:v>
                </c:pt>
                <c:pt idx="7">
                  <c:v>43853</c:v>
                </c:pt>
                <c:pt idx="8">
                  <c:v>43854</c:v>
                </c:pt>
                <c:pt idx="9">
                  <c:v>43859</c:v>
                </c:pt>
                <c:pt idx="10">
                  <c:v>43860</c:v>
                </c:pt>
                <c:pt idx="11">
                  <c:v>43861</c:v>
                </c:pt>
                <c:pt idx="12">
                  <c:v>43865</c:v>
                </c:pt>
                <c:pt idx="13">
                  <c:v>43866</c:v>
                </c:pt>
                <c:pt idx="14">
                  <c:v>43867</c:v>
                </c:pt>
                <c:pt idx="15">
                  <c:v>43868</c:v>
                </c:pt>
                <c:pt idx="16">
                  <c:v>43872</c:v>
                </c:pt>
                <c:pt idx="17">
                  <c:v>43873</c:v>
                </c:pt>
                <c:pt idx="18">
                  <c:v>43874</c:v>
                </c:pt>
                <c:pt idx="19">
                  <c:v>43875</c:v>
                </c:pt>
                <c:pt idx="20">
                  <c:v>43879</c:v>
                </c:pt>
                <c:pt idx="21">
                  <c:v>43880</c:v>
                </c:pt>
                <c:pt idx="22">
                  <c:v>43881</c:v>
                </c:pt>
                <c:pt idx="23">
                  <c:v>43882</c:v>
                </c:pt>
                <c:pt idx="24">
                  <c:v>43887</c:v>
                </c:pt>
                <c:pt idx="25">
                  <c:v>43888</c:v>
                </c:pt>
                <c:pt idx="26">
                  <c:v>43889</c:v>
                </c:pt>
                <c:pt idx="27">
                  <c:v>43893</c:v>
                </c:pt>
                <c:pt idx="28">
                  <c:v>43894</c:v>
                </c:pt>
                <c:pt idx="29">
                  <c:v>43895</c:v>
                </c:pt>
                <c:pt idx="30">
                  <c:v>43896</c:v>
                </c:pt>
                <c:pt idx="31">
                  <c:v>43901</c:v>
                </c:pt>
                <c:pt idx="32">
                  <c:v>43902</c:v>
                </c:pt>
                <c:pt idx="33">
                  <c:v>43903</c:v>
                </c:pt>
                <c:pt idx="34">
                  <c:v>43907</c:v>
                </c:pt>
                <c:pt idx="35">
                  <c:v>43908</c:v>
                </c:pt>
                <c:pt idx="36">
                  <c:v>43909</c:v>
                </c:pt>
                <c:pt idx="37">
                  <c:v>43910</c:v>
                </c:pt>
                <c:pt idx="38">
                  <c:v>43914</c:v>
                </c:pt>
                <c:pt idx="39">
                  <c:v>43915</c:v>
                </c:pt>
                <c:pt idx="40">
                  <c:v>43916</c:v>
                </c:pt>
                <c:pt idx="41">
                  <c:v>43917</c:v>
                </c:pt>
                <c:pt idx="42">
                  <c:v>43928</c:v>
                </c:pt>
                <c:pt idx="43">
                  <c:v>43929</c:v>
                </c:pt>
                <c:pt idx="44">
                  <c:v>43930</c:v>
                </c:pt>
                <c:pt idx="45">
                  <c:v>43931</c:v>
                </c:pt>
                <c:pt idx="46">
                  <c:v>43935</c:v>
                </c:pt>
                <c:pt idx="47">
                  <c:v>43936</c:v>
                </c:pt>
                <c:pt idx="48">
                  <c:v>43937</c:v>
                </c:pt>
                <c:pt idx="49">
                  <c:v>43938</c:v>
                </c:pt>
                <c:pt idx="50">
                  <c:v>43942</c:v>
                </c:pt>
                <c:pt idx="51">
                  <c:v>43943</c:v>
                </c:pt>
                <c:pt idx="52">
                  <c:v>43944</c:v>
                </c:pt>
                <c:pt idx="53">
                  <c:v>43949</c:v>
                </c:pt>
                <c:pt idx="54">
                  <c:v>43950</c:v>
                </c:pt>
                <c:pt idx="55">
                  <c:v>43951</c:v>
                </c:pt>
                <c:pt idx="56">
                  <c:v>43958</c:v>
                </c:pt>
                <c:pt idx="57">
                  <c:v>43959</c:v>
                </c:pt>
                <c:pt idx="58">
                  <c:v>43964</c:v>
                </c:pt>
                <c:pt idx="59">
                  <c:v>43965</c:v>
                </c:pt>
                <c:pt idx="60">
                  <c:v>43966</c:v>
                </c:pt>
                <c:pt idx="61">
                  <c:v>43970</c:v>
                </c:pt>
                <c:pt idx="62">
                  <c:v>43971</c:v>
                </c:pt>
                <c:pt idx="63">
                  <c:v>43972</c:v>
                </c:pt>
                <c:pt idx="64">
                  <c:v>43973</c:v>
                </c:pt>
                <c:pt idx="65">
                  <c:v>43977</c:v>
                </c:pt>
                <c:pt idx="66">
                  <c:v>43978</c:v>
                </c:pt>
                <c:pt idx="67">
                  <c:v>43984</c:v>
                </c:pt>
                <c:pt idx="68">
                  <c:v>43985</c:v>
                </c:pt>
                <c:pt idx="69">
                  <c:v>43986</c:v>
                </c:pt>
                <c:pt idx="70">
                  <c:v>43987</c:v>
                </c:pt>
                <c:pt idx="71">
                  <c:v>43991</c:v>
                </c:pt>
                <c:pt idx="72">
                  <c:v>43992</c:v>
                </c:pt>
                <c:pt idx="73">
                  <c:v>43993</c:v>
                </c:pt>
                <c:pt idx="74">
                  <c:v>43994</c:v>
                </c:pt>
                <c:pt idx="75">
                  <c:v>43998</c:v>
                </c:pt>
                <c:pt idx="76">
                  <c:v>43999</c:v>
                </c:pt>
                <c:pt idx="77">
                  <c:v>44000</c:v>
                </c:pt>
                <c:pt idx="78">
                  <c:v>44001</c:v>
                </c:pt>
                <c:pt idx="79">
                  <c:v>44005</c:v>
                </c:pt>
                <c:pt idx="80">
                  <c:v>44006</c:v>
                </c:pt>
                <c:pt idx="81">
                  <c:v>44007</c:v>
                </c:pt>
                <c:pt idx="82">
                  <c:v>44008</c:v>
                </c:pt>
                <c:pt idx="83">
                  <c:v>44012</c:v>
                </c:pt>
                <c:pt idx="84">
                  <c:v>44013</c:v>
                </c:pt>
                <c:pt idx="85">
                  <c:v>44014</c:v>
                </c:pt>
                <c:pt idx="86">
                  <c:v>44015</c:v>
                </c:pt>
                <c:pt idx="87">
                  <c:v>44019</c:v>
                </c:pt>
                <c:pt idx="88">
                  <c:v>44020</c:v>
                </c:pt>
                <c:pt idx="89">
                  <c:v>44021</c:v>
                </c:pt>
                <c:pt idx="90">
                  <c:v>44022</c:v>
                </c:pt>
                <c:pt idx="91">
                  <c:v>44026</c:v>
                </c:pt>
                <c:pt idx="92">
                  <c:v>44027</c:v>
                </c:pt>
                <c:pt idx="93">
                  <c:v>44028</c:v>
                </c:pt>
                <c:pt idx="94">
                  <c:v>44029</c:v>
                </c:pt>
                <c:pt idx="95">
                  <c:v>44033</c:v>
                </c:pt>
                <c:pt idx="96">
                  <c:v>44034</c:v>
                </c:pt>
                <c:pt idx="97">
                  <c:v>44035</c:v>
                </c:pt>
                <c:pt idx="98">
                  <c:v>44036</c:v>
                </c:pt>
                <c:pt idx="99">
                  <c:v>44040</c:v>
                </c:pt>
                <c:pt idx="100">
                  <c:v>44041</c:v>
                </c:pt>
                <c:pt idx="101">
                  <c:v>44042</c:v>
                </c:pt>
                <c:pt idx="102">
                  <c:v>44043</c:v>
                </c:pt>
                <c:pt idx="103">
                  <c:v>44047</c:v>
                </c:pt>
                <c:pt idx="104">
                  <c:v>44048</c:v>
                </c:pt>
                <c:pt idx="105">
                  <c:v>44049</c:v>
                </c:pt>
                <c:pt idx="106">
                  <c:v>44050</c:v>
                </c:pt>
                <c:pt idx="107">
                  <c:v>44054</c:v>
                </c:pt>
                <c:pt idx="108">
                  <c:v>44055</c:v>
                </c:pt>
                <c:pt idx="109">
                  <c:v>44056</c:v>
                </c:pt>
                <c:pt idx="110">
                  <c:v>44057</c:v>
                </c:pt>
                <c:pt idx="111">
                  <c:v>44061</c:v>
                </c:pt>
                <c:pt idx="112">
                  <c:v>44062</c:v>
                </c:pt>
                <c:pt idx="113">
                  <c:v>44063</c:v>
                </c:pt>
                <c:pt idx="114">
                  <c:v>44064</c:v>
                </c:pt>
                <c:pt idx="115">
                  <c:v>44068</c:v>
                </c:pt>
                <c:pt idx="116">
                  <c:v>44069</c:v>
                </c:pt>
                <c:pt idx="117">
                  <c:v>44070</c:v>
                </c:pt>
                <c:pt idx="118">
                  <c:v>44071</c:v>
                </c:pt>
                <c:pt idx="119">
                  <c:v>44075</c:v>
                </c:pt>
                <c:pt idx="120">
                  <c:v>44076</c:v>
                </c:pt>
                <c:pt idx="121">
                  <c:v>44077</c:v>
                </c:pt>
                <c:pt idx="122">
                  <c:v>44078</c:v>
                </c:pt>
                <c:pt idx="123">
                  <c:v>44082</c:v>
                </c:pt>
                <c:pt idx="124">
                  <c:v>44083</c:v>
                </c:pt>
                <c:pt idx="125">
                  <c:v>44084</c:v>
                </c:pt>
                <c:pt idx="126">
                  <c:v>44085</c:v>
                </c:pt>
                <c:pt idx="127">
                  <c:v>44089</c:v>
                </c:pt>
                <c:pt idx="128">
                  <c:v>44090</c:v>
                </c:pt>
                <c:pt idx="129">
                  <c:v>44091</c:v>
                </c:pt>
                <c:pt idx="130">
                  <c:v>44092</c:v>
                </c:pt>
                <c:pt idx="131">
                  <c:v>44096</c:v>
                </c:pt>
                <c:pt idx="132">
                  <c:v>44097</c:v>
                </c:pt>
                <c:pt idx="133">
                  <c:v>44098</c:v>
                </c:pt>
                <c:pt idx="134">
                  <c:v>44099</c:v>
                </c:pt>
                <c:pt idx="135">
                  <c:v>44103</c:v>
                </c:pt>
                <c:pt idx="136">
                  <c:v>44104</c:v>
                </c:pt>
                <c:pt idx="137">
                  <c:v>44105</c:v>
                </c:pt>
                <c:pt idx="138">
                  <c:v>44106</c:v>
                </c:pt>
                <c:pt idx="139">
                  <c:v>44110</c:v>
                </c:pt>
                <c:pt idx="140">
                  <c:v>44111</c:v>
                </c:pt>
                <c:pt idx="141">
                  <c:v>44112</c:v>
                </c:pt>
                <c:pt idx="142">
                  <c:v>44113</c:v>
                </c:pt>
                <c:pt idx="143">
                  <c:v>44117</c:v>
                </c:pt>
                <c:pt idx="144">
                  <c:v>44118</c:v>
                </c:pt>
                <c:pt idx="145">
                  <c:v>44119</c:v>
                </c:pt>
                <c:pt idx="146">
                  <c:v>44120</c:v>
                </c:pt>
                <c:pt idx="147">
                  <c:v>44124</c:v>
                </c:pt>
                <c:pt idx="148">
                  <c:v>44125</c:v>
                </c:pt>
                <c:pt idx="149">
                  <c:v>44126</c:v>
                </c:pt>
                <c:pt idx="150">
                  <c:v>44127</c:v>
                </c:pt>
                <c:pt idx="151">
                  <c:v>44131</c:v>
                </c:pt>
                <c:pt idx="152">
                  <c:v>44132</c:v>
                </c:pt>
                <c:pt idx="153">
                  <c:v>44133</c:v>
                </c:pt>
                <c:pt idx="154">
                  <c:v>44134</c:v>
                </c:pt>
                <c:pt idx="155">
                  <c:v>44138</c:v>
                </c:pt>
                <c:pt idx="156">
                  <c:v>44139</c:v>
                </c:pt>
                <c:pt idx="157">
                  <c:v>44141</c:v>
                </c:pt>
                <c:pt idx="158">
                  <c:v>44145</c:v>
                </c:pt>
                <c:pt idx="159">
                  <c:v>44146</c:v>
                </c:pt>
                <c:pt idx="160">
                  <c:v>44147</c:v>
                </c:pt>
                <c:pt idx="161">
                  <c:v>44148</c:v>
                </c:pt>
                <c:pt idx="162">
                  <c:v>44152</c:v>
                </c:pt>
                <c:pt idx="163">
                  <c:v>44153</c:v>
                </c:pt>
                <c:pt idx="164">
                  <c:v>44154</c:v>
                </c:pt>
                <c:pt idx="165">
                  <c:v>44155</c:v>
                </c:pt>
                <c:pt idx="166">
                  <c:v>44159</c:v>
                </c:pt>
                <c:pt idx="167">
                  <c:v>44160</c:v>
                </c:pt>
                <c:pt idx="168">
                  <c:v>44161</c:v>
                </c:pt>
                <c:pt idx="169">
                  <c:v>44162</c:v>
                </c:pt>
                <c:pt idx="170">
                  <c:v>44166</c:v>
                </c:pt>
                <c:pt idx="171">
                  <c:v>44167</c:v>
                </c:pt>
                <c:pt idx="172">
                  <c:v>44168</c:v>
                </c:pt>
                <c:pt idx="173">
                  <c:v>44169</c:v>
                </c:pt>
                <c:pt idx="174">
                  <c:v>44173</c:v>
                </c:pt>
                <c:pt idx="175">
                  <c:v>44174</c:v>
                </c:pt>
                <c:pt idx="176">
                  <c:v>44175</c:v>
                </c:pt>
                <c:pt idx="177">
                  <c:v>44176</c:v>
                </c:pt>
                <c:pt idx="178">
                  <c:v>44180</c:v>
                </c:pt>
                <c:pt idx="179">
                  <c:v>44181</c:v>
                </c:pt>
                <c:pt idx="180">
                  <c:v>44182</c:v>
                </c:pt>
                <c:pt idx="181">
                  <c:v>44183</c:v>
                </c:pt>
                <c:pt idx="182">
                  <c:v>44187</c:v>
                </c:pt>
                <c:pt idx="183">
                  <c:v>44188</c:v>
                </c:pt>
                <c:pt idx="184">
                  <c:v>44189</c:v>
                </c:pt>
                <c:pt idx="185">
                  <c:v>44190</c:v>
                </c:pt>
                <c:pt idx="186">
                  <c:v>44194</c:v>
                </c:pt>
                <c:pt idx="187">
                  <c:v>44195</c:v>
                </c:pt>
                <c:pt idx="188">
                  <c:v>44208</c:v>
                </c:pt>
                <c:pt idx="189">
                  <c:v>44209</c:v>
                </c:pt>
                <c:pt idx="190">
                  <c:v>44210</c:v>
                </c:pt>
                <c:pt idx="191">
                  <c:v>44211</c:v>
                </c:pt>
                <c:pt idx="192">
                  <c:v>44215</c:v>
                </c:pt>
                <c:pt idx="193">
                  <c:v>44216</c:v>
                </c:pt>
                <c:pt idx="194">
                  <c:v>44217</c:v>
                </c:pt>
                <c:pt idx="195">
                  <c:v>44218</c:v>
                </c:pt>
                <c:pt idx="196">
                  <c:v>44222</c:v>
                </c:pt>
                <c:pt idx="197">
                  <c:v>44223</c:v>
                </c:pt>
                <c:pt idx="198">
                  <c:v>44225</c:v>
                </c:pt>
                <c:pt idx="199">
                  <c:v>44229</c:v>
                </c:pt>
                <c:pt idx="200">
                  <c:v>44230</c:v>
                </c:pt>
                <c:pt idx="201">
                  <c:v>44231</c:v>
                </c:pt>
                <c:pt idx="202">
                  <c:v>44232</c:v>
                </c:pt>
                <c:pt idx="203">
                  <c:v>44236</c:v>
                </c:pt>
                <c:pt idx="204">
                  <c:v>44237</c:v>
                </c:pt>
                <c:pt idx="205">
                  <c:v>44238</c:v>
                </c:pt>
                <c:pt idx="206">
                  <c:v>44239</c:v>
                </c:pt>
                <c:pt idx="207">
                  <c:v>44243</c:v>
                </c:pt>
                <c:pt idx="208">
                  <c:v>44244</c:v>
                </c:pt>
                <c:pt idx="209">
                  <c:v>44245</c:v>
                </c:pt>
                <c:pt idx="210">
                  <c:v>44246</c:v>
                </c:pt>
                <c:pt idx="211">
                  <c:v>44252</c:v>
                </c:pt>
                <c:pt idx="212">
                  <c:v>44253</c:v>
                </c:pt>
                <c:pt idx="213">
                  <c:v>44257</c:v>
                </c:pt>
                <c:pt idx="214">
                  <c:v>44258</c:v>
                </c:pt>
                <c:pt idx="215">
                  <c:v>44259</c:v>
                </c:pt>
                <c:pt idx="216">
                  <c:v>44260</c:v>
                </c:pt>
                <c:pt idx="217">
                  <c:v>44265</c:v>
                </c:pt>
                <c:pt idx="218">
                  <c:v>44266</c:v>
                </c:pt>
                <c:pt idx="219">
                  <c:v>44267</c:v>
                </c:pt>
                <c:pt idx="220">
                  <c:v>44271</c:v>
                </c:pt>
                <c:pt idx="221">
                  <c:v>44272</c:v>
                </c:pt>
                <c:pt idx="222">
                  <c:v>44273</c:v>
                </c:pt>
                <c:pt idx="223">
                  <c:v>44274</c:v>
                </c:pt>
                <c:pt idx="224">
                  <c:v>44278</c:v>
                </c:pt>
                <c:pt idx="225">
                  <c:v>44279</c:v>
                </c:pt>
                <c:pt idx="226">
                  <c:v>44280</c:v>
                </c:pt>
                <c:pt idx="227">
                  <c:v>44281</c:v>
                </c:pt>
                <c:pt idx="228">
                  <c:v>44285</c:v>
                </c:pt>
                <c:pt idx="229">
                  <c:v>44286</c:v>
                </c:pt>
                <c:pt idx="230">
                  <c:v>44287</c:v>
                </c:pt>
                <c:pt idx="231">
                  <c:v>44288</c:v>
                </c:pt>
                <c:pt idx="232">
                  <c:v>44292</c:v>
                </c:pt>
                <c:pt idx="233">
                  <c:v>44293</c:v>
                </c:pt>
                <c:pt idx="234">
                  <c:v>44294</c:v>
                </c:pt>
                <c:pt idx="235">
                  <c:v>44295</c:v>
                </c:pt>
                <c:pt idx="236">
                  <c:v>44299</c:v>
                </c:pt>
                <c:pt idx="237">
                  <c:v>44300</c:v>
                </c:pt>
                <c:pt idx="238">
                  <c:v>44301</c:v>
                </c:pt>
                <c:pt idx="239">
                  <c:v>44302</c:v>
                </c:pt>
                <c:pt idx="240">
                  <c:v>44306</c:v>
                </c:pt>
                <c:pt idx="241">
                  <c:v>44307</c:v>
                </c:pt>
                <c:pt idx="242">
                  <c:v>44308</c:v>
                </c:pt>
                <c:pt idx="243">
                  <c:v>44309</c:v>
                </c:pt>
                <c:pt idx="244">
                  <c:v>44313</c:v>
                </c:pt>
                <c:pt idx="245">
                  <c:v>44314</c:v>
                </c:pt>
                <c:pt idx="246">
                  <c:v>44315</c:v>
                </c:pt>
                <c:pt idx="247">
                  <c:v>44316</c:v>
                </c:pt>
                <c:pt idx="248">
                  <c:v>44321</c:v>
                </c:pt>
                <c:pt idx="249">
                  <c:v>44322</c:v>
                </c:pt>
                <c:pt idx="250">
                  <c:v>44323</c:v>
                </c:pt>
                <c:pt idx="251">
                  <c:v>44328</c:v>
                </c:pt>
                <c:pt idx="252">
                  <c:v>44329</c:v>
                </c:pt>
                <c:pt idx="253">
                  <c:v>44330</c:v>
                </c:pt>
                <c:pt idx="254">
                  <c:v>44334</c:v>
                </c:pt>
                <c:pt idx="255">
                  <c:v>44335</c:v>
                </c:pt>
                <c:pt idx="256">
                  <c:v>44336</c:v>
                </c:pt>
                <c:pt idx="257">
                  <c:v>44337</c:v>
                </c:pt>
                <c:pt idx="258">
                  <c:v>44341</c:v>
                </c:pt>
                <c:pt idx="259">
                  <c:v>44342</c:v>
                </c:pt>
                <c:pt idx="260">
                  <c:v>44343</c:v>
                </c:pt>
                <c:pt idx="261">
                  <c:v>44348</c:v>
                </c:pt>
                <c:pt idx="262">
                  <c:v>44349</c:v>
                </c:pt>
                <c:pt idx="263">
                  <c:v>44350</c:v>
                </c:pt>
                <c:pt idx="264">
                  <c:v>44351</c:v>
                </c:pt>
                <c:pt idx="265">
                  <c:v>44355</c:v>
                </c:pt>
                <c:pt idx="266">
                  <c:v>44356</c:v>
                </c:pt>
                <c:pt idx="267">
                  <c:v>44357</c:v>
                </c:pt>
                <c:pt idx="268">
                  <c:v>44358</c:v>
                </c:pt>
                <c:pt idx="269">
                  <c:v>44363</c:v>
                </c:pt>
                <c:pt idx="270">
                  <c:v>44364</c:v>
                </c:pt>
                <c:pt idx="271">
                  <c:v>44365</c:v>
                </c:pt>
                <c:pt idx="272">
                  <c:v>44369</c:v>
                </c:pt>
                <c:pt idx="273">
                  <c:v>44370</c:v>
                </c:pt>
                <c:pt idx="274">
                  <c:v>44371</c:v>
                </c:pt>
                <c:pt idx="275">
                  <c:v>44372</c:v>
                </c:pt>
                <c:pt idx="276">
                  <c:v>44376</c:v>
                </c:pt>
                <c:pt idx="277">
                  <c:v>44377</c:v>
                </c:pt>
                <c:pt idx="278">
                  <c:v>44378</c:v>
                </c:pt>
                <c:pt idx="279">
                  <c:v>44379</c:v>
                </c:pt>
                <c:pt idx="280">
                  <c:v>44383</c:v>
                </c:pt>
                <c:pt idx="281">
                  <c:v>44384</c:v>
                </c:pt>
                <c:pt idx="282">
                  <c:v>44385</c:v>
                </c:pt>
                <c:pt idx="283">
                  <c:v>44386</c:v>
                </c:pt>
                <c:pt idx="284">
                  <c:v>44390</c:v>
                </c:pt>
                <c:pt idx="285">
                  <c:v>44391</c:v>
                </c:pt>
                <c:pt idx="286">
                  <c:v>44392</c:v>
                </c:pt>
                <c:pt idx="287">
                  <c:v>44393</c:v>
                </c:pt>
                <c:pt idx="288">
                  <c:v>44397</c:v>
                </c:pt>
                <c:pt idx="289">
                  <c:v>44398</c:v>
                </c:pt>
                <c:pt idx="290">
                  <c:v>44399</c:v>
                </c:pt>
                <c:pt idx="291">
                  <c:v>44400</c:v>
                </c:pt>
                <c:pt idx="292">
                  <c:v>44404</c:v>
                </c:pt>
                <c:pt idx="293">
                  <c:v>44405</c:v>
                </c:pt>
                <c:pt idx="294">
                  <c:v>44406</c:v>
                </c:pt>
                <c:pt idx="295">
                  <c:v>44407</c:v>
                </c:pt>
                <c:pt idx="296">
                  <c:v>44411</c:v>
                </c:pt>
                <c:pt idx="297">
                  <c:v>44412</c:v>
                </c:pt>
                <c:pt idx="298">
                  <c:v>44413</c:v>
                </c:pt>
                <c:pt idx="299">
                  <c:v>44414</c:v>
                </c:pt>
                <c:pt idx="300">
                  <c:v>44418</c:v>
                </c:pt>
                <c:pt idx="301">
                  <c:v>44419</c:v>
                </c:pt>
                <c:pt idx="302">
                  <c:v>44420</c:v>
                </c:pt>
                <c:pt idx="303">
                  <c:v>44421</c:v>
                </c:pt>
                <c:pt idx="304">
                  <c:v>44425</c:v>
                </c:pt>
                <c:pt idx="305">
                  <c:v>44426</c:v>
                </c:pt>
                <c:pt idx="306">
                  <c:v>44427</c:v>
                </c:pt>
                <c:pt idx="307">
                  <c:v>44428</c:v>
                </c:pt>
                <c:pt idx="308">
                  <c:v>44432</c:v>
                </c:pt>
                <c:pt idx="309">
                  <c:v>44433</c:v>
                </c:pt>
                <c:pt idx="310">
                  <c:v>44434</c:v>
                </c:pt>
                <c:pt idx="311">
                  <c:v>44435</c:v>
                </c:pt>
                <c:pt idx="312">
                  <c:v>44439</c:v>
                </c:pt>
                <c:pt idx="313">
                  <c:v>44440</c:v>
                </c:pt>
                <c:pt idx="314">
                  <c:v>44441</c:v>
                </c:pt>
                <c:pt idx="315">
                  <c:v>44442</c:v>
                </c:pt>
                <c:pt idx="316">
                  <c:v>44446</c:v>
                </c:pt>
                <c:pt idx="317">
                  <c:v>44447</c:v>
                </c:pt>
                <c:pt idx="318">
                  <c:v>44448</c:v>
                </c:pt>
                <c:pt idx="319">
                  <c:v>44449</c:v>
                </c:pt>
                <c:pt idx="320">
                  <c:v>44453</c:v>
                </c:pt>
                <c:pt idx="321">
                  <c:v>44454</c:v>
                </c:pt>
                <c:pt idx="322">
                  <c:v>44455</c:v>
                </c:pt>
                <c:pt idx="323">
                  <c:v>44456</c:v>
                </c:pt>
                <c:pt idx="324">
                  <c:v>44461</c:v>
                </c:pt>
                <c:pt idx="325">
                  <c:v>44462</c:v>
                </c:pt>
                <c:pt idx="326">
                  <c:v>44463</c:v>
                </c:pt>
                <c:pt idx="327">
                  <c:v>44467</c:v>
                </c:pt>
                <c:pt idx="328">
                  <c:v>44468</c:v>
                </c:pt>
                <c:pt idx="329">
                  <c:v>44469</c:v>
                </c:pt>
                <c:pt idx="330">
                  <c:v>44470</c:v>
                </c:pt>
                <c:pt idx="331">
                  <c:v>44474</c:v>
                </c:pt>
                <c:pt idx="332">
                  <c:v>44475</c:v>
                </c:pt>
                <c:pt idx="333">
                  <c:v>44476</c:v>
                </c:pt>
                <c:pt idx="334">
                  <c:v>44477</c:v>
                </c:pt>
                <c:pt idx="335">
                  <c:v>44481</c:v>
                </c:pt>
                <c:pt idx="336">
                  <c:v>44482</c:v>
                </c:pt>
                <c:pt idx="337">
                  <c:v>44483</c:v>
                </c:pt>
                <c:pt idx="338">
                  <c:v>44484</c:v>
                </c:pt>
                <c:pt idx="339">
                  <c:v>44488</c:v>
                </c:pt>
                <c:pt idx="340">
                  <c:v>44489</c:v>
                </c:pt>
                <c:pt idx="341">
                  <c:v>44490</c:v>
                </c:pt>
                <c:pt idx="342">
                  <c:v>44491</c:v>
                </c:pt>
                <c:pt idx="343">
                  <c:v>44495</c:v>
                </c:pt>
                <c:pt idx="344">
                  <c:v>44496</c:v>
                </c:pt>
                <c:pt idx="345">
                  <c:v>44497</c:v>
                </c:pt>
                <c:pt idx="346">
                  <c:v>44498</c:v>
                </c:pt>
                <c:pt idx="347">
                  <c:v>44502</c:v>
                </c:pt>
                <c:pt idx="348">
                  <c:v>44503</c:v>
                </c:pt>
                <c:pt idx="349">
                  <c:v>44504</c:v>
                </c:pt>
                <c:pt idx="350">
                  <c:v>44509</c:v>
                </c:pt>
                <c:pt idx="351">
                  <c:v>44510</c:v>
                </c:pt>
                <c:pt idx="352">
                  <c:v>44511</c:v>
                </c:pt>
                <c:pt idx="353">
                  <c:v>44512</c:v>
                </c:pt>
                <c:pt idx="354">
                  <c:v>44516</c:v>
                </c:pt>
                <c:pt idx="355">
                  <c:v>44517</c:v>
                </c:pt>
                <c:pt idx="356">
                  <c:v>44518</c:v>
                </c:pt>
                <c:pt idx="357">
                  <c:v>44519</c:v>
                </c:pt>
                <c:pt idx="358">
                  <c:v>44523</c:v>
                </c:pt>
                <c:pt idx="359">
                  <c:v>44524</c:v>
                </c:pt>
                <c:pt idx="360">
                  <c:v>44525</c:v>
                </c:pt>
                <c:pt idx="361">
                  <c:v>44526</c:v>
                </c:pt>
                <c:pt idx="362">
                  <c:v>44530</c:v>
                </c:pt>
                <c:pt idx="363">
                  <c:v>44531</c:v>
                </c:pt>
                <c:pt idx="364">
                  <c:v>44532</c:v>
                </c:pt>
                <c:pt idx="365">
                  <c:v>44533</c:v>
                </c:pt>
                <c:pt idx="366">
                  <c:v>44537</c:v>
                </c:pt>
                <c:pt idx="367">
                  <c:v>44538</c:v>
                </c:pt>
                <c:pt idx="368">
                  <c:v>44539</c:v>
                </c:pt>
                <c:pt idx="369">
                  <c:v>44540</c:v>
                </c:pt>
                <c:pt idx="370">
                  <c:v>44544</c:v>
                </c:pt>
                <c:pt idx="371">
                  <c:v>44545</c:v>
                </c:pt>
                <c:pt idx="372">
                  <c:v>44546</c:v>
                </c:pt>
                <c:pt idx="373">
                  <c:v>44547</c:v>
                </c:pt>
                <c:pt idx="374">
                  <c:v>44551</c:v>
                </c:pt>
                <c:pt idx="375">
                  <c:v>44552</c:v>
                </c:pt>
                <c:pt idx="376">
                  <c:v>44553</c:v>
                </c:pt>
                <c:pt idx="377">
                  <c:v>44558</c:v>
                </c:pt>
                <c:pt idx="378">
                  <c:v>44559</c:v>
                </c:pt>
                <c:pt idx="379">
                  <c:v>44560</c:v>
                </c:pt>
                <c:pt idx="380">
                  <c:v>44572</c:v>
                </c:pt>
                <c:pt idx="381">
                  <c:v>44573</c:v>
                </c:pt>
                <c:pt idx="382">
                  <c:v>44574</c:v>
                </c:pt>
                <c:pt idx="383">
                  <c:v>44575</c:v>
                </c:pt>
                <c:pt idx="384">
                  <c:v>44579</c:v>
                </c:pt>
                <c:pt idx="385">
                  <c:v>44580</c:v>
                </c:pt>
                <c:pt idx="386">
                  <c:v>44581</c:v>
                </c:pt>
                <c:pt idx="387">
                  <c:v>44582</c:v>
                </c:pt>
                <c:pt idx="388">
                  <c:v>44586</c:v>
                </c:pt>
                <c:pt idx="389">
                  <c:v>44587</c:v>
                </c:pt>
                <c:pt idx="390">
                  <c:v>44588</c:v>
                </c:pt>
                <c:pt idx="391">
                  <c:v>44593</c:v>
                </c:pt>
                <c:pt idx="392">
                  <c:v>44594</c:v>
                </c:pt>
                <c:pt idx="393">
                  <c:v>44595</c:v>
                </c:pt>
                <c:pt idx="394">
                  <c:v>44596</c:v>
                </c:pt>
                <c:pt idx="395">
                  <c:v>44600</c:v>
                </c:pt>
                <c:pt idx="396">
                  <c:v>44601</c:v>
                </c:pt>
                <c:pt idx="397">
                  <c:v>44602</c:v>
                </c:pt>
                <c:pt idx="398">
                  <c:v>44603</c:v>
                </c:pt>
                <c:pt idx="399">
                  <c:v>44607</c:v>
                </c:pt>
                <c:pt idx="400">
                  <c:v>44608</c:v>
                </c:pt>
                <c:pt idx="401">
                  <c:v>44609</c:v>
                </c:pt>
                <c:pt idx="402">
                  <c:v>44610</c:v>
                </c:pt>
                <c:pt idx="403">
                  <c:v>44614</c:v>
                </c:pt>
                <c:pt idx="404">
                  <c:v>44615</c:v>
                </c:pt>
                <c:pt idx="405">
                  <c:v>44617</c:v>
                </c:pt>
                <c:pt idx="406">
                  <c:v>44621</c:v>
                </c:pt>
                <c:pt idx="407">
                  <c:v>44622</c:v>
                </c:pt>
                <c:pt idx="408">
                  <c:v>44623</c:v>
                </c:pt>
                <c:pt idx="409">
                  <c:v>44624</c:v>
                </c:pt>
                <c:pt idx="410">
                  <c:v>44630</c:v>
                </c:pt>
                <c:pt idx="411">
                  <c:v>44631</c:v>
                </c:pt>
                <c:pt idx="412">
                  <c:v>44635</c:v>
                </c:pt>
                <c:pt idx="413">
                  <c:v>44636</c:v>
                </c:pt>
                <c:pt idx="414">
                  <c:v>44637</c:v>
                </c:pt>
                <c:pt idx="415">
                  <c:v>44638</c:v>
                </c:pt>
                <c:pt idx="416">
                  <c:v>44642</c:v>
                </c:pt>
                <c:pt idx="417">
                  <c:v>44643</c:v>
                </c:pt>
                <c:pt idx="418">
                  <c:v>44644</c:v>
                </c:pt>
                <c:pt idx="419">
                  <c:v>44645</c:v>
                </c:pt>
                <c:pt idx="420">
                  <c:v>44649</c:v>
                </c:pt>
                <c:pt idx="421">
                  <c:v>44650</c:v>
                </c:pt>
                <c:pt idx="422">
                  <c:v>44651</c:v>
                </c:pt>
                <c:pt idx="423">
                  <c:v>44652</c:v>
                </c:pt>
                <c:pt idx="424">
                  <c:v>44656</c:v>
                </c:pt>
                <c:pt idx="425">
                  <c:v>44657</c:v>
                </c:pt>
                <c:pt idx="426">
                  <c:v>44658</c:v>
                </c:pt>
                <c:pt idx="427">
                  <c:v>44659</c:v>
                </c:pt>
                <c:pt idx="428">
                  <c:v>44663</c:v>
                </c:pt>
                <c:pt idx="429">
                  <c:v>44664</c:v>
                </c:pt>
                <c:pt idx="430">
                  <c:v>44665</c:v>
                </c:pt>
                <c:pt idx="431">
                  <c:v>44666</c:v>
                </c:pt>
                <c:pt idx="432">
                  <c:v>44670</c:v>
                </c:pt>
                <c:pt idx="433">
                  <c:v>44671</c:v>
                </c:pt>
                <c:pt idx="434">
                  <c:v>44672</c:v>
                </c:pt>
                <c:pt idx="435">
                  <c:v>44673</c:v>
                </c:pt>
                <c:pt idx="436">
                  <c:v>44677</c:v>
                </c:pt>
                <c:pt idx="437">
                  <c:v>44678</c:v>
                </c:pt>
                <c:pt idx="438">
                  <c:v>44679</c:v>
                </c:pt>
                <c:pt idx="439">
                  <c:v>44680</c:v>
                </c:pt>
                <c:pt idx="440">
                  <c:v>44686</c:v>
                </c:pt>
                <c:pt idx="441">
                  <c:v>44687</c:v>
                </c:pt>
                <c:pt idx="442">
                  <c:v>44693</c:v>
                </c:pt>
                <c:pt idx="443">
                  <c:v>44694</c:v>
                </c:pt>
                <c:pt idx="444">
                  <c:v>44698</c:v>
                </c:pt>
                <c:pt idx="445">
                  <c:v>44699</c:v>
                </c:pt>
                <c:pt idx="446">
                  <c:v>44700</c:v>
                </c:pt>
                <c:pt idx="447">
                  <c:v>44701</c:v>
                </c:pt>
                <c:pt idx="448">
                  <c:v>44705</c:v>
                </c:pt>
                <c:pt idx="449">
                  <c:v>44706</c:v>
                </c:pt>
                <c:pt idx="450">
                  <c:v>44707</c:v>
                </c:pt>
                <c:pt idx="451">
                  <c:v>44708</c:v>
                </c:pt>
                <c:pt idx="452">
                  <c:v>44712</c:v>
                </c:pt>
                <c:pt idx="453">
                  <c:v>44713</c:v>
                </c:pt>
                <c:pt idx="454">
                  <c:v>44714</c:v>
                </c:pt>
                <c:pt idx="455">
                  <c:v>44715</c:v>
                </c:pt>
                <c:pt idx="456">
                  <c:v>44719</c:v>
                </c:pt>
                <c:pt idx="457">
                  <c:v>44720</c:v>
                </c:pt>
                <c:pt idx="458">
                  <c:v>44721</c:v>
                </c:pt>
                <c:pt idx="459">
                  <c:v>44722</c:v>
                </c:pt>
              </c:numCache>
            </c:numRef>
          </c:cat>
          <c:val>
            <c:numRef>
              <c:f>Sheet1!$E$2:$E$542</c:f>
              <c:numCache>
                <c:formatCode>0</c:formatCode>
                <c:ptCount val="541"/>
                <c:pt idx="0">
                  <c:v>100</c:v>
                </c:pt>
                <c:pt idx="1">
                  <c:v>100.01027115858669</c:v>
                </c:pt>
                <c:pt idx="2">
                  <c:v>99.866474938373045</c:v>
                </c:pt>
                <c:pt idx="3">
                  <c:v>99.95891536565324</c:v>
                </c:pt>
                <c:pt idx="4">
                  <c:v>100.28759244042728</c:v>
                </c:pt>
                <c:pt idx="5">
                  <c:v>100.1746096959737</c:v>
                </c:pt>
                <c:pt idx="6">
                  <c:v>100.1746096959737</c:v>
                </c:pt>
                <c:pt idx="7">
                  <c:v>100.33894823336071</c:v>
                </c:pt>
                <c:pt idx="8">
                  <c:v>100.50328677074772</c:v>
                </c:pt>
                <c:pt idx="9">
                  <c:v>100.64708299096137</c:v>
                </c:pt>
                <c:pt idx="10">
                  <c:v>100.52382908792111</c:v>
                </c:pt>
                <c:pt idx="11">
                  <c:v>100.03081347576006</c:v>
                </c:pt>
                <c:pt idx="12">
                  <c:v>100.6162695152013</c:v>
                </c:pt>
                <c:pt idx="13">
                  <c:v>100.96548890714872</c:v>
                </c:pt>
                <c:pt idx="14">
                  <c:v>101.17091207888251</c:v>
                </c:pt>
                <c:pt idx="15">
                  <c:v>101.35579293344291</c:v>
                </c:pt>
                <c:pt idx="16">
                  <c:v>101.39687756778967</c:v>
                </c:pt>
                <c:pt idx="17">
                  <c:v>101.73582580115038</c:v>
                </c:pt>
                <c:pt idx="18">
                  <c:v>101.75636811832376</c:v>
                </c:pt>
                <c:pt idx="19">
                  <c:v>101.80772391125723</c:v>
                </c:pt>
                <c:pt idx="20">
                  <c:v>102.13640098603126</c:v>
                </c:pt>
                <c:pt idx="21">
                  <c:v>102.41372226787186</c:v>
                </c:pt>
                <c:pt idx="22">
                  <c:v>102.5677896466722</c:v>
                </c:pt>
                <c:pt idx="23">
                  <c:v>101.95152013147089</c:v>
                </c:pt>
                <c:pt idx="24">
                  <c:v>101.68447000821698</c:v>
                </c:pt>
                <c:pt idx="25">
                  <c:v>101.18118323746924</c:v>
                </c:pt>
                <c:pt idx="26">
                  <c:v>100.79087921117507</c:v>
                </c:pt>
                <c:pt idx="27">
                  <c:v>99.784305669679597</c:v>
                </c:pt>
                <c:pt idx="28">
                  <c:v>99.979457682826691</c:v>
                </c:pt>
                <c:pt idx="29">
                  <c:v>99.445357436318886</c:v>
                </c:pt>
                <c:pt idx="30">
                  <c:v>98.551766639276991</c:v>
                </c:pt>
                <c:pt idx="31">
                  <c:v>99.126951520131556</c:v>
                </c:pt>
                <c:pt idx="32">
                  <c:v>100.11298274445366</c:v>
                </c:pt>
                <c:pt idx="33">
                  <c:v>101.4276910435498</c:v>
                </c:pt>
                <c:pt idx="34">
                  <c:v>102.26992604765826</c:v>
                </c:pt>
                <c:pt idx="35">
                  <c:v>103.90304026294176</c:v>
                </c:pt>
                <c:pt idx="36">
                  <c:v>105.53615447822524</c:v>
                </c:pt>
                <c:pt idx="37">
                  <c:v>105.60805258833206</c:v>
                </c:pt>
                <c:pt idx="38">
                  <c:v>104.80690221857036</c:v>
                </c:pt>
                <c:pt idx="39">
                  <c:v>103.79005751848818</c:v>
                </c:pt>
                <c:pt idx="40">
                  <c:v>102.04396055875112</c:v>
                </c:pt>
                <c:pt idx="41">
                  <c:v>101.02711585866895</c:v>
                </c:pt>
                <c:pt idx="42">
                  <c:v>102.608874281019</c:v>
                </c:pt>
                <c:pt idx="43">
                  <c:v>102.83483976992613</c:v>
                </c:pt>
                <c:pt idx="44">
                  <c:v>102.21857025472481</c:v>
                </c:pt>
                <c:pt idx="45">
                  <c:v>102.21857025472481</c:v>
                </c:pt>
                <c:pt idx="46">
                  <c:v>101.57148726376343</c:v>
                </c:pt>
                <c:pt idx="47">
                  <c:v>102.15694330320468</c:v>
                </c:pt>
                <c:pt idx="48">
                  <c:v>102.74239934264595</c:v>
                </c:pt>
                <c:pt idx="49">
                  <c:v>102.48562037797875</c:v>
                </c:pt>
                <c:pt idx="50">
                  <c:v>102.97863599013979</c:v>
                </c:pt>
                <c:pt idx="51">
                  <c:v>103.11216105176673</c:v>
                </c:pt>
                <c:pt idx="52">
                  <c:v>103.15324568611348</c:v>
                </c:pt>
                <c:pt idx="53">
                  <c:v>102.56778964667222</c:v>
                </c:pt>
                <c:pt idx="54">
                  <c:v>102.26992604765826</c:v>
                </c:pt>
                <c:pt idx="55">
                  <c:v>101.7050123253904</c:v>
                </c:pt>
                <c:pt idx="56">
                  <c:v>102.59860312243231</c:v>
                </c:pt>
                <c:pt idx="57">
                  <c:v>102.4342645850453</c:v>
                </c:pt>
                <c:pt idx="58">
                  <c:v>102.95809367296641</c:v>
                </c:pt>
                <c:pt idx="59">
                  <c:v>103.19433032046025</c:v>
                </c:pt>
                <c:pt idx="60">
                  <c:v>103.12243221035344</c:v>
                </c:pt>
                <c:pt idx="61">
                  <c:v>102.06450287592452</c:v>
                </c:pt>
                <c:pt idx="62">
                  <c:v>101.8077239112573</c:v>
                </c:pt>
                <c:pt idx="63">
                  <c:v>102.06450287592452</c:v>
                </c:pt>
                <c:pt idx="64">
                  <c:v>102.56778964667224</c:v>
                </c:pt>
                <c:pt idx="65">
                  <c:v>101.59202958093681</c:v>
                </c:pt>
                <c:pt idx="66">
                  <c:v>101.74609695973714</c:v>
                </c:pt>
                <c:pt idx="67">
                  <c:v>100.31840591618743</c:v>
                </c:pt>
                <c:pt idx="68">
                  <c:v>99.917830731306566</c:v>
                </c:pt>
                <c:pt idx="69">
                  <c:v>99.301561216105256</c:v>
                </c:pt>
                <c:pt idx="70">
                  <c:v>99.568611339359137</c:v>
                </c:pt>
                <c:pt idx="71">
                  <c:v>98.931799506984433</c:v>
                </c:pt>
                <c:pt idx="72">
                  <c:v>98.562037797863638</c:v>
                </c:pt>
                <c:pt idx="73">
                  <c:v>99.352917009038677</c:v>
                </c:pt>
                <c:pt idx="74">
                  <c:v>99.958915365653297</c:v>
                </c:pt>
                <c:pt idx="75">
                  <c:v>99.589153656532503</c:v>
                </c:pt>
                <c:pt idx="76">
                  <c:v>99.794576828266273</c:v>
                </c:pt>
                <c:pt idx="77">
                  <c:v>100.06162695152018</c:v>
                </c:pt>
                <c:pt idx="78">
                  <c:v>100.26705012325397</c:v>
                </c:pt>
                <c:pt idx="79">
                  <c:v>99.270747740345186</c:v>
                </c:pt>
                <c:pt idx="80">
                  <c:v>99.784305669679611</c:v>
                </c:pt>
                <c:pt idx="81">
                  <c:v>100.07189811010689</c:v>
                </c:pt>
                <c:pt idx="82">
                  <c:v>100.07189811010689</c:v>
                </c:pt>
                <c:pt idx="83">
                  <c:v>100.03081347576013</c:v>
                </c:pt>
                <c:pt idx="84">
                  <c:v>99.835661462613047</c:v>
                </c:pt>
                <c:pt idx="85">
                  <c:v>99.958915365653297</c:v>
                </c:pt>
                <c:pt idx="86">
                  <c:v>99.804847986852977</c:v>
                </c:pt>
                <c:pt idx="87">
                  <c:v>99.506984387838997</c:v>
                </c:pt>
                <c:pt idx="88">
                  <c:v>99.044782251438022</c:v>
                </c:pt>
                <c:pt idx="89">
                  <c:v>99.322103533278607</c:v>
                </c:pt>
                <c:pt idx="90">
                  <c:v>99.270747740345158</c:v>
                </c:pt>
                <c:pt idx="91">
                  <c:v>98.870172555464308</c:v>
                </c:pt>
                <c:pt idx="92">
                  <c:v>98.685291700903903</c:v>
                </c:pt>
                <c:pt idx="93">
                  <c:v>98.962612982744503</c:v>
                </c:pt>
                <c:pt idx="94">
                  <c:v>98.541495480690273</c:v>
                </c:pt>
                <c:pt idx="95">
                  <c:v>97.699260476581813</c:v>
                </c:pt>
                <c:pt idx="96">
                  <c:v>97.565735414954844</c:v>
                </c:pt>
                <c:pt idx="97">
                  <c:v>97.257600657354189</c:v>
                </c:pt>
                <c:pt idx="98">
                  <c:v>96.990550534100294</c:v>
                </c:pt>
                <c:pt idx="99">
                  <c:v>96.240755957272029</c:v>
                </c:pt>
                <c:pt idx="100">
                  <c:v>95.983976992604809</c:v>
                </c:pt>
                <c:pt idx="101">
                  <c:v>95.542317173377199</c:v>
                </c:pt>
                <c:pt idx="102">
                  <c:v>95.88126540673791</c:v>
                </c:pt>
                <c:pt idx="103">
                  <c:v>95.912078882497966</c:v>
                </c:pt>
                <c:pt idx="104">
                  <c:v>95.388249794576851</c:v>
                </c:pt>
                <c:pt idx="105">
                  <c:v>95.306080525883345</c:v>
                </c:pt>
                <c:pt idx="106">
                  <c:v>95.963434675431401</c:v>
                </c:pt>
                <c:pt idx="107">
                  <c:v>96.168857847165157</c:v>
                </c:pt>
                <c:pt idx="108">
                  <c:v>95.973705834018077</c:v>
                </c:pt>
                <c:pt idx="109">
                  <c:v>95.860723089564502</c:v>
                </c:pt>
                <c:pt idx="110">
                  <c:v>95.624486442070662</c:v>
                </c:pt>
                <c:pt idx="111">
                  <c:v>94.771980279375512</c:v>
                </c:pt>
                <c:pt idx="112">
                  <c:v>95.408792111750216</c:v>
                </c:pt>
                <c:pt idx="113">
                  <c:v>95.306080525883331</c:v>
                </c:pt>
                <c:pt idx="114">
                  <c:v>95.778553820871011</c:v>
                </c:pt>
                <c:pt idx="115">
                  <c:v>95.542317173377171</c:v>
                </c:pt>
                <c:pt idx="116">
                  <c:v>95.532046014790495</c:v>
                </c:pt>
                <c:pt idx="117">
                  <c:v>95.521774856203791</c:v>
                </c:pt>
                <c:pt idx="118">
                  <c:v>94.874691865242411</c:v>
                </c:pt>
                <c:pt idx="119">
                  <c:v>94.843878389482342</c:v>
                </c:pt>
                <c:pt idx="120">
                  <c:v>95.367707477403442</c:v>
                </c:pt>
                <c:pt idx="121">
                  <c:v>95.254724732949867</c:v>
                </c:pt>
                <c:pt idx="122">
                  <c:v>95.234182415776502</c:v>
                </c:pt>
                <c:pt idx="123">
                  <c:v>95.973705834018091</c:v>
                </c:pt>
                <c:pt idx="124">
                  <c:v>95.778553820871011</c:v>
                </c:pt>
                <c:pt idx="125">
                  <c:v>95.87099424815122</c:v>
                </c:pt>
                <c:pt idx="126">
                  <c:v>95.860723089564516</c:v>
                </c:pt>
                <c:pt idx="127">
                  <c:v>95.573130649137227</c:v>
                </c:pt>
                <c:pt idx="128">
                  <c:v>95.737469186524237</c:v>
                </c:pt>
                <c:pt idx="129">
                  <c:v>95.490961380443707</c:v>
                </c:pt>
                <c:pt idx="130">
                  <c:v>95.449876746096962</c:v>
                </c:pt>
                <c:pt idx="131">
                  <c:v>96.538619556285937</c:v>
                </c:pt>
                <c:pt idx="132">
                  <c:v>96.949465899753477</c:v>
                </c:pt>
                <c:pt idx="133">
                  <c:v>96.908381265406717</c:v>
                </c:pt>
                <c:pt idx="134">
                  <c:v>97.206244864420697</c:v>
                </c:pt>
                <c:pt idx="135">
                  <c:v>96.435907970419052</c:v>
                </c:pt>
                <c:pt idx="136">
                  <c:v>96.435907970419052</c:v>
                </c:pt>
                <c:pt idx="137">
                  <c:v>96.251027115858648</c:v>
                </c:pt>
                <c:pt idx="138">
                  <c:v>96.384552177485602</c:v>
                </c:pt>
                <c:pt idx="139">
                  <c:v>96.230484798685268</c:v>
                </c:pt>
                <c:pt idx="140">
                  <c:v>96.168857847165128</c:v>
                </c:pt>
                <c:pt idx="141">
                  <c:v>96.148315529991748</c:v>
                </c:pt>
                <c:pt idx="142">
                  <c:v>95.583401807723874</c:v>
                </c:pt>
                <c:pt idx="143">
                  <c:v>96.066146261298229</c:v>
                </c:pt>
                <c:pt idx="144">
                  <c:v>95.912078882497894</c:v>
                </c:pt>
                <c:pt idx="145">
                  <c:v>96.405094494658954</c:v>
                </c:pt>
                <c:pt idx="146">
                  <c:v>96.220213640098564</c:v>
                </c:pt>
                <c:pt idx="147">
                  <c:v>95.59367296631055</c:v>
                </c:pt>
                <c:pt idx="148">
                  <c:v>95.121199671322884</c:v>
                </c:pt>
                <c:pt idx="149">
                  <c:v>95.470419063270299</c:v>
                </c:pt>
                <c:pt idx="150">
                  <c:v>95.285538208709895</c:v>
                </c:pt>
                <c:pt idx="151">
                  <c:v>95.460147904683609</c:v>
                </c:pt>
                <c:pt idx="152">
                  <c:v>95.932621199671303</c:v>
                </c:pt>
                <c:pt idx="153">
                  <c:v>96.507806080525853</c:v>
                </c:pt>
                <c:pt idx="154">
                  <c:v>96.589975349219372</c:v>
                </c:pt>
                <c:pt idx="155">
                  <c:v>96.086688578471623</c:v>
                </c:pt>
                <c:pt idx="156">
                  <c:v>95.942892358257978</c:v>
                </c:pt>
                <c:pt idx="157">
                  <c:v>94.730895645028724</c:v>
                </c:pt>
                <c:pt idx="158">
                  <c:v>95.264995891536529</c:v>
                </c:pt>
                <c:pt idx="159">
                  <c:v>95.562859490550508</c:v>
                </c:pt>
                <c:pt idx="160">
                  <c:v>95.480690221856989</c:v>
                </c:pt>
                <c:pt idx="161">
                  <c:v>95.264995891536543</c:v>
                </c:pt>
                <c:pt idx="162">
                  <c:v>94.926047658175833</c:v>
                </c:pt>
                <c:pt idx="163">
                  <c:v>94.823336072308933</c:v>
                </c:pt>
                <c:pt idx="164">
                  <c:v>94.792522596548892</c:v>
                </c:pt>
                <c:pt idx="165">
                  <c:v>94.895234182415777</c:v>
                </c:pt>
                <c:pt idx="166">
                  <c:v>94.730895645028752</c:v>
                </c:pt>
                <c:pt idx="167">
                  <c:v>94.484387838948223</c:v>
                </c:pt>
                <c:pt idx="168">
                  <c:v>94.484387838948223</c:v>
                </c:pt>
                <c:pt idx="169">
                  <c:v>94.278964667214453</c:v>
                </c:pt>
                <c:pt idx="170">
                  <c:v>93.785949055053393</c:v>
                </c:pt>
                <c:pt idx="171">
                  <c:v>93.590797041906313</c:v>
                </c:pt>
                <c:pt idx="172">
                  <c:v>93.169679539852069</c:v>
                </c:pt>
                <c:pt idx="173">
                  <c:v>93.159408381265393</c:v>
                </c:pt>
                <c:pt idx="174">
                  <c:v>93.426458504519289</c:v>
                </c:pt>
                <c:pt idx="175">
                  <c:v>93.559983566146258</c:v>
                </c:pt>
                <c:pt idx="176">
                  <c:v>93.282662284305658</c:v>
                </c:pt>
                <c:pt idx="177">
                  <c:v>93.447000821692683</c:v>
                </c:pt>
                <c:pt idx="178">
                  <c:v>92.923171733771554</c:v>
                </c:pt>
                <c:pt idx="179">
                  <c:v>92.902629416598174</c:v>
                </c:pt>
                <c:pt idx="180">
                  <c:v>92.25554642563678</c:v>
                </c:pt>
                <c:pt idx="181">
                  <c:v>92.460969597370564</c:v>
                </c:pt>
                <c:pt idx="182">
                  <c:v>93.108052588331958</c:v>
                </c:pt>
                <c:pt idx="183">
                  <c:v>92.861544782251414</c:v>
                </c:pt>
                <c:pt idx="184">
                  <c:v>92.769104354971219</c:v>
                </c:pt>
                <c:pt idx="185">
                  <c:v>92.769104354971219</c:v>
                </c:pt>
                <c:pt idx="186">
                  <c:v>92.430156121610494</c:v>
                </c:pt>
                <c:pt idx="187">
                  <c:v>92.111750205423164</c:v>
                </c:pt>
                <c:pt idx="188">
                  <c:v>92.532867707477394</c:v>
                </c:pt>
                <c:pt idx="189">
                  <c:v>92.810188989317993</c:v>
                </c:pt>
                <c:pt idx="190">
                  <c:v>92.686935086277728</c:v>
                </c:pt>
                <c:pt idx="191">
                  <c:v>93.231306491372209</c:v>
                </c:pt>
                <c:pt idx="192">
                  <c:v>92.953985209531623</c:v>
                </c:pt>
                <c:pt idx="193">
                  <c:v>92.923171733771554</c:v>
                </c:pt>
                <c:pt idx="194">
                  <c:v>92.573952341824139</c:v>
                </c:pt>
                <c:pt idx="195">
                  <c:v>92.686935086277714</c:v>
                </c:pt>
                <c:pt idx="196">
                  <c:v>92.615036976170899</c:v>
                </c:pt>
                <c:pt idx="197">
                  <c:v>93.108052588331958</c:v>
                </c:pt>
                <c:pt idx="198">
                  <c:v>93.036154478225129</c:v>
                </c:pt>
                <c:pt idx="199">
                  <c:v>93.672966310599833</c:v>
                </c:pt>
                <c:pt idx="200">
                  <c:v>93.642152834839763</c:v>
                </c:pt>
                <c:pt idx="201">
                  <c:v>94.011914543960557</c:v>
                </c:pt>
                <c:pt idx="202">
                  <c:v>93.508627773212822</c:v>
                </c:pt>
                <c:pt idx="203">
                  <c:v>92.892358258011498</c:v>
                </c:pt>
                <c:pt idx="204">
                  <c:v>92.820460147904683</c:v>
                </c:pt>
                <c:pt idx="205">
                  <c:v>92.871815940838133</c:v>
                </c:pt>
                <c:pt idx="206">
                  <c:v>92.933442892358272</c:v>
                </c:pt>
                <c:pt idx="207">
                  <c:v>92.964256368118342</c:v>
                </c:pt>
                <c:pt idx="208">
                  <c:v>93.416187345932642</c:v>
                </c:pt>
                <c:pt idx="209">
                  <c:v>93.046425636811847</c:v>
                </c:pt>
                <c:pt idx="210">
                  <c:v>92.810188989318007</c:v>
                </c:pt>
                <c:pt idx="211">
                  <c:v>92.573952341824167</c:v>
                </c:pt>
                <c:pt idx="212">
                  <c:v>93.344289235825812</c:v>
                </c:pt>
                <c:pt idx="213">
                  <c:v>93.251848808545617</c:v>
                </c:pt>
                <c:pt idx="214">
                  <c:v>93.416187345932627</c:v>
                </c:pt>
                <c:pt idx="215">
                  <c:v>94.114626129827442</c:v>
                </c:pt>
                <c:pt idx="216">
                  <c:v>94.474116680361547</c:v>
                </c:pt>
                <c:pt idx="217">
                  <c:v>94.309778142974523</c:v>
                </c:pt>
                <c:pt idx="218">
                  <c:v>93.898931799506983</c:v>
                </c:pt>
                <c:pt idx="219">
                  <c:v>94.165981922760892</c:v>
                </c:pt>
                <c:pt idx="220">
                  <c:v>94.350862777321282</c:v>
                </c:pt>
                <c:pt idx="221">
                  <c:v>93.919474116680362</c:v>
                </c:pt>
                <c:pt idx="222">
                  <c:v>94.350862777321282</c:v>
                </c:pt>
                <c:pt idx="223">
                  <c:v>94.412489728841408</c:v>
                </c:pt>
                <c:pt idx="224">
                  <c:v>94.843878389482342</c:v>
                </c:pt>
                <c:pt idx="225">
                  <c:v>95.039030402629422</c:v>
                </c:pt>
                <c:pt idx="226">
                  <c:v>95.039030402629422</c:v>
                </c:pt>
                <c:pt idx="227">
                  <c:v>95.285538208709951</c:v>
                </c:pt>
                <c:pt idx="228">
                  <c:v>95.82990961380446</c:v>
                </c:pt>
                <c:pt idx="229">
                  <c:v>95.758011503697645</c:v>
                </c:pt>
                <c:pt idx="230">
                  <c:v>95.44987674609699</c:v>
                </c:pt>
                <c:pt idx="231">
                  <c:v>95.542317173377171</c:v>
                </c:pt>
                <c:pt idx="232">
                  <c:v>94.833607230895666</c:v>
                </c:pt>
                <c:pt idx="233">
                  <c:v>94.967132292522606</c:v>
                </c:pt>
                <c:pt idx="234">
                  <c:v>94.556285949055066</c:v>
                </c:pt>
                <c:pt idx="235">
                  <c:v>94.658997534921937</c:v>
                </c:pt>
                <c:pt idx="236">
                  <c:v>94.340591618734592</c:v>
                </c:pt>
                <c:pt idx="237">
                  <c:v>94.176253081347582</c:v>
                </c:pt>
                <c:pt idx="238">
                  <c:v>94.176253081347582</c:v>
                </c:pt>
                <c:pt idx="239">
                  <c:v>94.042728019720627</c:v>
                </c:pt>
                <c:pt idx="240">
                  <c:v>93.714050944946578</c:v>
                </c:pt>
                <c:pt idx="241">
                  <c:v>93.621610517666397</c:v>
                </c:pt>
                <c:pt idx="242">
                  <c:v>93.806491372226787</c:v>
                </c:pt>
                <c:pt idx="243">
                  <c:v>93.323746918652432</c:v>
                </c:pt>
                <c:pt idx="244">
                  <c:v>93.375102711585882</c:v>
                </c:pt>
                <c:pt idx="245">
                  <c:v>93.066967953985227</c:v>
                </c:pt>
                <c:pt idx="246">
                  <c:v>93.066967953985227</c:v>
                </c:pt>
                <c:pt idx="247">
                  <c:v>93.755135579293366</c:v>
                </c:pt>
                <c:pt idx="248">
                  <c:v>93.785949055053436</c:v>
                </c:pt>
                <c:pt idx="249">
                  <c:v>93.416187345932642</c:v>
                </c:pt>
                <c:pt idx="250">
                  <c:v>92.676663927691067</c:v>
                </c:pt>
                <c:pt idx="251">
                  <c:v>93.169679539852112</c:v>
                </c:pt>
                <c:pt idx="252">
                  <c:v>93.210764174198886</c:v>
                </c:pt>
                <c:pt idx="253">
                  <c:v>92.769104354971262</c:v>
                </c:pt>
                <c:pt idx="254">
                  <c:v>92.183648315530021</c:v>
                </c:pt>
                <c:pt idx="255">
                  <c:v>92.635579293344307</c:v>
                </c:pt>
                <c:pt idx="256">
                  <c:v>92.245275267050147</c:v>
                </c:pt>
                <c:pt idx="257">
                  <c:v>92.460969597370593</c:v>
                </c:pt>
                <c:pt idx="258">
                  <c:v>92.070665571076432</c:v>
                </c:pt>
                <c:pt idx="259">
                  <c:v>92.481511914543987</c:v>
                </c:pt>
                <c:pt idx="260">
                  <c:v>92.409613804437157</c:v>
                </c:pt>
                <c:pt idx="261">
                  <c:v>92.265817584223512</c:v>
                </c:pt>
                <c:pt idx="262">
                  <c:v>92.347986852917018</c:v>
                </c:pt>
                <c:pt idx="263">
                  <c:v>92.964256368118342</c:v>
                </c:pt>
                <c:pt idx="264">
                  <c:v>92.584223500410857</c:v>
                </c:pt>
                <c:pt idx="265">
                  <c:v>92.522596548890718</c:v>
                </c:pt>
                <c:pt idx="266">
                  <c:v>92.563681183237478</c:v>
                </c:pt>
                <c:pt idx="267">
                  <c:v>92.512325390304028</c:v>
                </c:pt>
                <c:pt idx="268">
                  <c:v>93.015612161051777</c:v>
                </c:pt>
                <c:pt idx="269">
                  <c:v>93.601068200493003</c:v>
                </c:pt>
                <c:pt idx="270">
                  <c:v>94.381676253081338</c:v>
                </c:pt>
                <c:pt idx="271">
                  <c:v>94.720624486442063</c:v>
                </c:pt>
                <c:pt idx="272">
                  <c:v>94.248151191454397</c:v>
                </c:pt>
                <c:pt idx="273">
                  <c:v>94.289235825801143</c:v>
                </c:pt>
                <c:pt idx="274">
                  <c:v>94.299506984387833</c:v>
                </c:pt>
                <c:pt idx="275">
                  <c:v>94.340591618734578</c:v>
                </c:pt>
                <c:pt idx="276">
                  <c:v>94.546014790468348</c:v>
                </c:pt>
                <c:pt idx="277">
                  <c:v>94.946589975349212</c:v>
                </c:pt>
                <c:pt idx="278">
                  <c:v>95.110928512736223</c:v>
                </c:pt>
                <c:pt idx="279">
                  <c:v>94.730895645028752</c:v>
                </c:pt>
                <c:pt idx="280">
                  <c:v>95.059572719802773</c:v>
                </c:pt>
                <c:pt idx="281">
                  <c:v>95.152013147082982</c:v>
                </c:pt>
                <c:pt idx="282">
                  <c:v>94.926047658175833</c:v>
                </c:pt>
                <c:pt idx="283">
                  <c:v>94.628184059161853</c:v>
                </c:pt>
                <c:pt idx="284">
                  <c:v>95.264995891536557</c:v>
                </c:pt>
                <c:pt idx="285">
                  <c:v>94.915776499589143</c:v>
                </c:pt>
                <c:pt idx="286">
                  <c:v>95.131470829909617</c:v>
                </c:pt>
                <c:pt idx="287">
                  <c:v>95.203368940016418</c:v>
                </c:pt>
                <c:pt idx="288">
                  <c:v>95.490961380443707</c:v>
                </c:pt>
                <c:pt idx="289">
                  <c:v>95.264995891536557</c:v>
                </c:pt>
                <c:pt idx="290">
                  <c:v>95.336894001643358</c:v>
                </c:pt>
                <c:pt idx="291">
                  <c:v>95.429334428923553</c:v>
                </c:pt>
                <c:pt idx="292">
                  <c:v>94.936318816762508</c:v>
                </c:pt>
                <c:pt idx="293">
                  <c:v>94.823336072308919</c:v>
                </c:pt>
                <c:pt idx="294">
                  <c:v>94.350862777321254</c:v>
                </c:pt>
                <c:pt idx="295">
                  <c:v>94.669268693508599</c:v>
                </c:pt>
                <c:pt idx="296">
                  <c:v>94.576828266228404</c:v>
                </c:pt>
                <c:pt idx="297">
                  <c:v>94.771980279375498</c:v>
                </c:pt>
                <c:pt idx="298">
                  <c:v>94.741166803615428</c:v>
                </c:pt>
                <c:pt idx="299">
                  <c:v>95.316351684469979</c:v>
                </c:pt>
                <c:pt idx="300">
                  <c:v>95.583401807723874</c:v>
                </c:pt>
                <c:pt idx="301">
                  <c:v>95.439605587510243</c:v>
                </c:pt>
                <c:pt idx="302">
                  <c:v>95.562859490550522</c:v>
                </c:pt>
                <c:pt idx="303">
                  <c:v>95.028759244042703</c:v>
                </c:pt>
                <c:pt idx="304">
                  <c:v>95.655299917830703</c:v>
                </c:pt>
                <c:pt idx="305">
                  <c:v>95.665571076417407</c:v>
                </c:pt>
                <c:pt idx="306">
                  <c:v>96.107230895645003</c:v>
                </c:pt>
                <c:pt idx="307">
                  <c:v>96.035332785538188</c:v>
                </c:pt>
                <c:pt idx="308">
                  <c:v>95.408792111750188</c:v>
                </c:pt>
                <c:pt idx="309">
                  <c:v>95.336894001643358</c:v>
                </c:pt>
                <c:pt idx="310">
                  <c:v>95.583401807723888</c:v>
                </c:pt>
                <c:pt idx="311">
                  <c:v>95.203368940016404</c:v>
                </c:pt>
                <c:pt idx="312">
                  <c:v>95.141741988496264</c:v>
                </c:pt>
                <c:pt idx="313">
                  <c:v>94.956861133935874</c:v>
                </c:pt>
                <c:pt idx="314">
                  <c:v>94.720624486442034</c:v>
                </c:pt>
                <c:pt idx="315">
                  <c:v>94.535743631881644</c:v>
                </c:pt>
                <c:pt idx="316">
                  <c:v>95.018488085455999</c:v>
                </c:pt>
                <c:pt idx="317">
                  <c:v>95.162284305669644</c:v>
                </c:pt>
                <c:pt idx="318">
                  <c:v>94.987674609695929</c:v>
                </c:pt>
                <c:pt idx="319">
                  <c:v>95.0903861955628</c:v>
                </c:pt>
                <c:pt idx="320">
                  <c:v>95.131470829909574</c:v>
                </c:pt>
                <c:pt idx="321">
                  <c:v>95.059572719802745</c:v>
                </c:pt>
                <c:pt idx="322">
                  <c:v>95.449876746096919</c:v>
                </c:pt>
                <c:pt idx="323">
                  <c:v>95.7169268693508</c:v>
                </c:pt>
                <c:pt idx="324">
                  <c:v>95.994248151191385</c:v>
                </c:pt>
                <c:pt idx="325">
                  <c:v>95.55258833196379</c:v>
                </c:pt>
                <c:pt idx="326">
                  <c:v>95.860723089564445</c:v>
                </c:pt>
                <c:pt idx="327">
                  <c:v>96.312654067378745</c:v>
                </c:pt>
                <c:pt idx="328">
                  <c:v>96.898110106820013</c:v>
                </c:pt>
                <c:pt idx="329">
                  <c:v>96.785127362366438</c:v>
                </c:pt>
                <c:pt idx="330">
                  <c:v>96.589975349219358</c:v>
                </c:pt>
                <c:pt idx="331">
                  <c:v>96.518077239112529</c:v>
                </c:pt>
                <c:pt idx="332">
                  <c:v>96.826211996713184</c:v>
                </c:pt>
                <c:pt idx="333">
                  <c:v>96.774856203779748</c:v>
                </c:pt>
                <c:pt idx="334">
                  <c:v>96.620788824979414</c:v>
                </c:pt>
                <c:pt idx="335">
                  <c:v>97.082990961380403</c:v>
                </c:pt>
                <c:pt idx="336">
                  <c:v>96.631059983566104</c:v>
                </c:pt>
                <c:pt idx="337">
                  <c:v>96.507806080525839</c:v>
                </c:pt>
                <c:pt idx="338">
                  <c:v>96.487263763352459</c:v>
                </c:pt>
                <c:pt idx="339">
                  <c:v>96.271569433032013</c:v>
                </c:pt>
                <c:pt idx="340">
                  <c:v>96.096959737058299</c:v>
                </c:pt>
                <c:pt idx="341">
                  <c:v>96.312654067378759</c:v>
                </c:pt>
                <c:pt idx="342">
                  <c:v>96.179129005751818</c:v>
                </c:pt>
                <c:pt idx="343">
                  <c:v>96.497534921939177</c:v>
                </c:pt>
                <c:pt idx="344">
                  <c:v>96.343467543138843</c:v>
                </c:pt>
                <c:pt idx="345">
                  <c:v>95.881265406737853</c:v>
                </c:pt>
                <c:pt idx="346">
                  <c:v>96.672144617912878</c:v>
                </c:pt>
                <c:pt idx="347">
                  <c:v>96.641331142152808</c:v>
                </c:pt>
                <c:pt idx="348">
                  <c:v>96.405094494658968</c:v>
                </c:pt>
                <c:pt idx="349">
                  <c:v>96.908381265406703</c:v>
                </c:pt>
                <c:pt idx="350">
                  <c:v>96.507806080525853</c:v>
                </c:pt>
                <c:pt idx="351">
                  <c:v>97.421939194741128</c:v>
                </c:pt>
                <c:pt idx="352">
                  <c:v>97.760887428101881</c:v>
                </c:pt>
                <c:pt idx="353">
                  <c:v>97.709531635168432</c:v>
                </c:pt>
                <c:pt idx="354">
                  <c:v>98.52095316351685</c:v>
                </c:pt>
                <c:pt idx="355">
                  <c:v>98.428512736236641</c:v>
                </c:pt>
                <c:pt idx="356">
                  <c:v>98.130649137222676</c:v>
                </c:pt>
                <c:pt idx="357">
                  <c:v>98.633935907970397</c:v>
                </c:pt>
                <c:pt idx="358">
                  <c:v>99.106409202958062</c:v>
                </c:pt>
                <c:pt idx="359">
                  <c:v>99.506984387838912</c:v>
                </c:pt>
                <c:pt idx="360">
                  <c:v>99.394001643385337</c:v>
                </c:pt>
                <c:pt idx="361">
                  <c:v>98.695562859490522</c:v>
                </c:pt>
                <c:pt idx="362">
                  <c:v>98.592851273623623</c:v>
                </c:pt>
                <c:pt idx="363">
                  <c:v>98.633935907970383</c:v>
                </c:pt>
                <c:pt idx="364">
                  <c:v>98.767460969597323</c:v>
                </c:pt>
                <c:pt idx="365">
                  <c:v>98.726376335250578</c:v>
                </c:pt>
                <c:pt idx="366">
                  <c:v>98.983155299917797</c:v>
                </c:pt>
                <c:pt idx="367">
                  <c:v>98.490139687756752</c:v>
                </c:pt>
                <c:pt idx="368">
                  <c:v>98.880443714050912</c:v>
                </c:pt>
                <c:pt idx="369">
                  <c:v>98.705834018077198</c:v>
                </c:pt>
                <c:pt idx="370">
                  <c:v>99.188578471651553</c:v>
                </c:pt>
                <c:pt idx="371">
                  <c:v>99.126951520131442</c:v>
                </c:pt>
                <c:pt idx="372">
                  <c:v>98.644207066557087</c:v>
                </c:pt>
                <c:pt idx="373">
                  <c:v>99.188578471651581</c:v>
                </c:pt>
                <c:pt idx="374">
                  <c:v>99.106409202958076</c:v>
                </c:pt>
                <c:pt idx="375">
                  <c:v>98.685291700903846</c:v>
                </c:pt>
                <c:pt idx="376">
                  <c:v>98.623664749383707</c:v>
                </c:pt>
                <c:pt idx="377">
                  <c:v>98.808545603944111</c:v>
                </c:pt>
                <c:pt idx="378">
                  <c:v>98.531224322103512</c:v>
                </c:pt>
                <c:pt idx="379">
                  <c:v>98.572308956450257</c:v>
                </c:pt>
                <c:pt idx="380">
                  <c:v>98.212818405916153</c:v>
                </c:pt>
                <c:pt idx="381">
                  <c:v>97.493837304847943</c:v>
                </c:pt>
                <c:pt idx="382">
                  <c:v>97.360312243221003</c:v>
                </c:pt>
                <c:pt idx="383">
                  <c:v>97.750616269515163</c:v>
                </c:pt>
                <c:pt idx="384">
                  <c:v>98.325801150369713</c:v>
                </c:pt>
                <c:pt idx="385">
                  <c:v>98.099835661462564</c:v>
                </c:pt>
                <c:pt idx="386">
                  <c:v>98.336072308956389</c:v>
                </c:pt>
                <c:pt idx="387">
                  <c:v>98.233360723089504</c:v>
                </c:pt>
                <c:pt idx="388">
                  <c:v>98.551766639276849</c:v>
                </c:pt>
                <c:pt idx="389">
                  <c:v>99.003697617091149</c:v>
                </c:pt>
                <c:pt idx="390">
                  <c:v>99.887017255546368</c:v>
                </c:pt>
                <c:pt idx="391">
                  <c:v>99.003697617091149</c:v>
                </c:pt>
                <c:pt idx="392">
                  <c:v>98.541495480690159</c:v>
                </c:pt>
                <c:pt idx="393">
                  <c:v>97.966310599835595</c:v>
                </c:pt>
                <c:pt idx="394">
                  <c:v>98.079293344289169</c:v>
                </c:pt>
                <c:pt idx="395">
                  <c:v>98.23336072308949</c:v>
                </c:pt>
                <c:pt idx="396">
                  <c:v>98.079293344289155</c:v>
                </c:pt>
                <c:pt idx="397">
                  <c:v>98.140920295809295</c:v>
                </c:pt>
                <c:pt idx="398">
                  <c:v>98.68529170090379</c:v>
                </c:pt>
                <c:pt idx="399">
                  <c:v>98.59285127362358</c:v>
                </c:pt>
                <c:pt idx="400">
                  <c:v>98.294987674609629</c:v>
                </c:pt>
                <c:pt idx="401">
                  <c:v>98.397699260476514</c:v>
                </c:pt>
                <c:pt idx="402">
                  <c:v>98.644207066557058</c:v>
                </c:pt>
                <c:pt idx="403">
                  <c:v>98.633935907970368</c:v>
                </c:pt>
                <c:pt idx="404">
                  <c:v>98.798274445357393</c:v>
                </c:pt>
                <c:pt idx="405">
                  <c:v>99.229663105998313</c:v>
                </c:pt>
                <c:pt idx="406">
                  <c:v>100.05135579293338</c:v>
                </c:pt>
                <c:pt idx="407">
                  <c:v>100.03081347576001</c:v>
                </c:pt>
                <c:pt idx="408">
                  <c:v>100.44165981922755</c:v>
                </c:pt>
                <c:pt idx="409">
                  <c:v>101.32497945768276</c:v>
                </c:pt>
                <c:pt idx="410">
                  <c:v>101.18118323746911</c:v>
                </c:pt>
                <c:pt idx="411">
                  <c:v>101.80772391125711</c:v>
                </c:pt>
                <c:pt idx="412">
                  <c:v>101.78718159408373</c:v>
                </c:pt>
                <c:pt idx="413">
                  <c:v>101.29416598192269</c:v>
                </c:pt>
                <c:pt idx="414">
                  <c:v>100.62654067378791</c:v>
                </c:pt>
                <c:pt idx="415">
                  <c:v>100.89359079704184</c:v>
                </c:pt>
                <c:pt idx="416">
                  <c:v>101.16064092029573</c:v>
                </c:pt>
                <c:pt idx="417">
                  <c:v>101.29416598192269</c:v>
                </c:pt>
                <c:pt idx="418">
                  <c:v>101.46877567789639</c:v>
                </c:pt>
                <c:pt idx="419">
                  <c:v>101.46877567789639</c:v>
                </c:pt>
                <c:pt idx="420">
                  <c:v>101.06820049301554</c:v>
                </c:pt>
                <c:pt idx="421">
                  <c:v>100.44165981922754</c:v>
                </c:pt>
                <c:pt idx="422">
                  <c:v>100.97576006573534</c:v>
                </c:pt>
                <c:pt idx="423">
                  <c:v>101.30443714050938</c:v>
                </c:pt>
                <c:pt idx="424">
                  <c:v>102.16721446179122</c:v>
                </c:pt>
                <c:pt idx="425">
                  <c:v>102.30073952341816</c:v>
                </c:pt>
                <c:pt idx="426">
                  <c:v>102.45480690221849</c:v>
                </c:pt>
                <c:pt idx="427">
                  <c:v>102.50616269515194</c:v>
                </c:pt>
                <c:pt idx="428">
                  <c:v>103.00944946589971</c:v>
                </c:pt>
                <c:pt idx="429">
                  <c:v>102.58833196384546</c:v>
                </c:pt>
                <c:pt idx="430">
                  <c:v>103.04026294165976</c:v>
                </c:pt>
                <c:pt idx="431">
                  <c:v>103.04026294165976</c:v>
                </c:pt>
                <c:pt idx="432">
                  <c:v>103.69761709120783</c:v>
                </c:pt>
                <c:pt idx="433">
                  <c:v>103.11216105176659</c:v>
                </c:pt>
                <c:pt idx="434">
                  <c:v>103.30731306491366</c:v>
                </c:pt>
                <c:pt idx="435">
                  <c:v>103.96466721446174</c:v>
                </c:pt>
                <c:pt idx="436">
                  <c:v>105.0739523418241</c:v>
                </c:pt>
                <c:pt idx="437">
                  <c:v>105.74157764995886</c:v>
                </c:pt>
                <c:pt idx="438">
                  <c:v>106.429745275267</c:v>
                </c:pt>
                <c:pt idx="439">
                  <c:v>105.75184880854553</c:v>
                </c:pt>
                <c:pt idx="440">
                  <c:v>106.56327033689394</c:v>
                </c:pt>
                <c:pt idx="441">
                  <c:v>106.47082990961373</c:v>
                </c:pt>
                <c:pt idx="442">
                  <c:v>107.69309778142967</c:v>
                </c:pt>
                <c:pt idx="443">
                  <c:v>107.39523418241572</c:v>
                </c:pt>
                <c:pt idx="444">
                  <c:v>106.16269515201309</c:v>
                </c:pt>
                <c:pt idx="445">
                  <c:v>106.62489728841406</c:v>
                </c:pt>
                <c:pt idx="446">
                  <c:v>105.505341002465</c:v>
                </c:pt>
                <c:pt idx="447">
                  <c:v>105.94700082169261</c:v>
                </c:pt>
                <c:pt idx="448">
                  <c:v>104.62202136400978</c:v>
                </c:pt>
                <c:pt idx="449">
                  <c:v>104.82744453574357</c:v>
                </c:pt>
                <c:pt idx="450">
                  <c:v>104.59120788824973</c:v>
                </c:pt>
                <c:pt idx="451">
                  <c:v>104.42686935086272</c:v>
                </c:pt>
                <c:pt idx="452">
                  <c:v>104.50903861955621</c:v>
                </c:pt>
                <c:pt idx="453">
                  <c:v>105.27937551355785</c:v>
                </c:pt>
                <c:pt idx="454">
                  <c:v>104.58093672966302</c:v>
                </c:pt>
                <c:pt idx="455">
                  <c:v>104.90961380443707</c:v>
                </c:pt>
                <c:pt idx="456">
                  <c:v>105.09449465899745</c:v>
                </c:pt>
                <c:pt idx="457">
                  <c:v>105.32046014790461</c:v>
                </c:pt>
                <c:pt idx="458">
                  <c:v>106.01889893179943</c:v>
                </c:pt>
                <c:pt idx="459">
                  <c:v>106.97411668036148</c:v>
                </c:pt>
                <c:pt idx="460">
                  <c:v>107.92933442892362</c:v>
                </c:pt>
                <c:pt idx="461">
                  <c:v>108.38126540673792</c:v>
                </c:pt>
                <c:pt idx="462">
                  <c:v>108.01150369761713</c:v>
                </c:pt>
                <c:pt idx="463">
                  <c:v>106.44001643385378</c:v>
                </c:pt>
                <c:pt idx="464">
                  <c:v>107.53903040262948</c:v>
                </c:pt>
                <c:pt idx="465">
                  <c:v>107.53903040262948</c:v>
                </c:pt>
                <c:pt idx="466">
                  <c:v>107.26170912078889</c:v>
                </c:pt>
                <c:pt idx="467">
                  <c:v>107.02547247329505</c:v>
                </c:pt>
                <c:pt idx="468">
                  <c:v>107.26170912078889</c:v>
                </c:pt>
                <c:pt idx="469">
                  <c:v>107.00493015612167</c:v>
                </c:pt>
                <c:pt idx="470">
                  <c:v>106.75842235004114</c:v>
                </c:pt>
                <c:pt idx="471">
                  <c:v>107.3438783894824</c:v>
                </c:pt>
                <c:pt idx="472">
                  <c:v>107.96014790468372</c:v>
                </c:pt>
                <c:pt idx="473">
                  <c:v>107.51848808545613</c:v>
                </c:pt>
                <c:pt idx="474">
                  <c:v>107.99096138044379</c:v>
                </c:pt>
                <c:pt idx="475">
                  <c:v>107.99096138044379</c:v>
                </c:pt>
                <c:pt idx="476">
                  <c:v>109.4289235825802</c:v>
                </c:pt>
                <c:pt idx="477">
                  <c:v>110.00410846343473</c:v>
                </c:pt>
                <c:pt idx="478">
                  <c:v>110.0349219391948</c:v>
                </c:pt>
                <c:pt idx="479">
                  <c:v>109.91166803615455</c:v>
                </c:pt>
                <c:pt idx="480">
                  <c:v>110.94905505341011</c:v>
                </c:pt>
                <c:pt idx="481">
                  <c:v>111.00041084634356</c:v>
                </c:pt>
                <c:pt idx="482">
                  <c:v>110.88742810188998</c:v>
                </c:pt>
                <c:pt idx="483">
                  <c:v>111.48315529991793</c:v>
                </c:pt>
                <c:pt idx="484">
                  <c:v>110.99013968775687</c:v>
                </c:pt>
                <c:pt idx="485">
                  <c:v>110.28142974527536</c:v>
                </c:pt>
                <c:pt idx="486">
                  <c:v>109.57271980279384</c:v>
                </c:pt>
                <c:pt idx="487">
                  <c:v>109.98356614626137</c:v>
                </c:pt>
                <c:pt idx="488">
                  <c:v>109.80895645028767</c:v>
                </c:pt>
                <c:pt idx="489">
                  <c:v>109.62407559572728</c:v>
                </c:pt>
                <c:pt idx="490">
                  <c:v>109.36729663106006</c:v>
                </c:pt>
                <c:pt idx="491">
                  <c:v>110.09654889071494</c:v>
                </c:pt>
                <c:pt idx="492">
                  <c:v>109.3364831553</c:v>
                </c:pt>
                <c:pt idx="493">
                  <c:v>109.2337715694331</c:v>
                </c:pt>
                <c:pt idx="494">
                  <c:v>108.77156943303213</c:v>
                </c:pt>
                <c:pt idx="495">
                  <c:v>108.30936729663114</c:v>
                </c:pt>
                <c:pt idx="496">
                  <c:v>109.12078882497954</c:v>
                </c:pt>
                <c:pt idx="497">
                  <c:v>109.39811010682014</c:v>
                </c:pt>
                <c:pt idx="498">
                  <c:v>108.55587510271167</c:v>
                </c:pt>
                <c:pt idx="499">
                  <c:v>109.51109285127372</c:v>
                </c:pt>
                <c:pt idx="500">
                  <c:v>109.31594083812664</c:v>
                </c:pt>
                <c:pt idx="501">
                  <c:v>109.2543138866065</c:v>
                </c:pt>
                <c:pt idx="502">
                  <c:v>108.05258833196393</c:v>
                </c:pt>
                <c:pt idx="503">
                  <c:v>107.93960558751036</c:v>
                </c:pt>
                <c:pt idx="504">
                  <c:v>108.49424815119153</c:v>
                </c:pt>
                <c:pt idx="505">
                  <c:v>109.43919474116689</c:v>
                </c:pt>
                <c:pt idx="506">
                  <c:v>109.38783894823345</c:v>
                </c:pt>
                <c:pt idx="507">
                  <c:v>109.45973705834025</c:v>
                </c:pt>
                <c:pt idx="508">
                  <c:v>110.39441248972894</c:v>
                </c:pt>
                <c:pt idx="509">
                  <c:v>111.10312243221044</c:v>
                </c:pt>
                <c:pt idx="510">
                  <c:v>112.00698438783903</c:v>
                </c:pt>
                <c:pt idx="511">
                  <c:v>111.56532456861142</c:v>
                </c:pt>
                <c:pt idx="512">
                  <c:v>111.62695152013154</c:v>
                </c:pt>
                <c:pt idx="513">
                  <c:v>111.41125718981108</c:v>
                </c:pt>
                <c:pt idx="514">
                  <c:v>111.75020542317179</c:v>
                </c:pt>
                <c:pt idx="515">
                  <c:v>111.78101889893185</c:v>
                </c:pt>
                <c:pt idx="516">
                  <c:v>111.71939194741172</c:v>
                </c:pt>
                <c:pt idx="517">
                  <c:v>111.64749383730491</c:v>
                </c:pt>
                <c:pt idx="518">
                  <c:v>112.66433853738707</c:v>
                </c:pt>
                <c:pt idx="519">
                  <c:v>112.50000000000004</c:v>
                </c:pt>
                <c:pt idx="520">
                  <c:v>113.01355792933447</c:v>
                </c:pt>
                <c:pt idx="521">
                  <c:v>112.8081347576007</c:v>
                </c:pt>
                <c:pt idx="522">
                  <c:v>113.19843878389487</c:v>
                </c:pt>
                <c:pt idx="523">
                  <c:v>112.8184059161874</c:v>
                </c:pt>
                <c:pt idx="524">
                  <c:v>112.68488085456045</c:v>
                </c:pt>
                <c:pt idx="525">
                  <c:v>111.95562859490556</c:v>
                </c:pt>
                <c:pt idx="526">
                  <c:v>111.70912078882505</c:v>
                </c:pt>
                <c:pt idx="527">
                  <c:v>111.26746096959744</c:v>
                </c:pt>
                <c:pt idx="528">
                  <c:v>112.79786359901404</c:v>
                </c:pt>
                <c:pt idx="529">
                  <c:v>112.63352506162703</c:v>
                </c:pt>
                <c:pt idx="530">
                  <c:v>112.71569433032053</c:v>
                </c:pt>
                <c:pt idx="531">
                  <c:v>112.73623664749393</c:v>
                </c:pt>
                <c:pt idx="532">
                  <c:v>112.52054231717345</c:v>
                </c:pt>
                <c:pt idx="533">
                  <c:v>112.71569433032052</c:v>
                </c:pt>
                <c:pt idx="534">
                  <c:v>113.19843878389487</c:v>
                </c:pt>
                <c:pt idx="535">
                  <c:v>113.6400986031225</c:v>
                </c:pt>
                <c:pt idx="536">
                  <c:v>114.3693508627774</c:v>
                </c:pt>
                <c:pt idx="537">
                  <c:v>116.08463434675438</c:v>
                </c:pt>
                <c:pt idx="538">
                  <c:v>116.20788824979465</c:v>
                </c:pt>
                <c:pt idx="539">
                  <c:v>116.96795398520959</c:v>
                </c:pt>
                <c:pt idx="540">
                  <c:v>116.55710764174205</c:v>
                </c:pt>
              </c:numCache>
            </c:numRef>
          </c:val>
          <c:smooth val="0"/>
          <c:extLst>
            <c:ext xmlns:c16="http://schemas.microsoft.com/office/drawing/2014/chart" uri="{C3380CC4-5D6E-409C-BE32-E72D297353CC}">
              <c16:uniqueId val="{00000003-EF82-4DBE-A133-804C43A29F89}"/>
            </c:ext>
          </c:extLst>
        </c:ser>
        <c:dLbls>
          <c:showLegendKey val="0"/>
          <c:showVal val="0"/>
          <c:showCatName val="0"/>
          <c:showSerName val="0"/>
          <c:showPercent val="0"/>
          <c:showBubbleSize val="0"/>
        </c:dLbls>
        <c:smooth val="0"/>
        <c:axId val="426740352"/>
        <c:axId val="426881792"/>
      </c:lineChart>
      <c:dateAx>
        <c:axId val="42674035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26881792"/>
        <c:crosses val="autoZero"/>
        <c:auto val="1"/>
        <c:lblOffset val="100"/>
        <c:baseTimeUnit val="days"/>
      </c:dateAx>
      <c:valAx>
        <c:axId val="426881792"/>
        <c:scaling>
          <c:orientation val="minMax"/>
          <c:max val="11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a:t>
                </a:r>
                <a:r>
                  <a:rPr lang="en-US" sz="800" b="0" i="0" u="none" strike="noStrike" baseline="0">
                    <a:effectLst/>
                  </a:rPr>
                  <a:t>2020</a:t>
                </a:r>
                <a:r>
                  <a:rPr lang="hy-AM" sz="800" b="0" i="0" u="none" strike="noStrike" baseline="0">
                    <a:effectLst/>
                  </a:rPr>
                  <a:t> թ. հունվարի </a:t>
                </a:r>
                <a:r>
                  <a:rPr lang="en-US" sz="800" b="0" i="0" u="none" strike="noStrike" baseline="0">
                    <a:effectLst/>
                  </a:rPr>
                  <a:t>10</a:t>
                </a:r>
                <a:r>
                  <a:rPr lang="hy-AM" sz="800" b="0" i="0" u="none" strike="noStrike" baseline="0">
                    <a:effectLst/>
                  </a:rPr>
                  <a:t>=100</a:t>
                </a:r>
                <a:endParaRPr lang="en-US" sz="800"/>
              </a:p>
            </c:rich>
          </c:tx>
          <c:layout>
            <c:manualLayout>
              <c:xMode val="edge"/>
              <c:yMode val="edge"/>
              <c:x val="7.75193798449614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6740352"/>
        <c:crosses val="autoZero"/>
        <c:crossBetween val="between"/>
      </c:valAx>
      <c:spPr>
        <a:noFill/>
        <a:ln>
          <a:noFill/>
        </a:ln>
        <a:effectLst/>
      </c:spPr>
    </c:plotArea>
    <c:legend>
      <c:legendPos val="b"/>
      <c:layout>
        <c:manualLayout>
          <c:xMode val="edge"/>
          <c:yMode val="edge"/>
          <c:x val="0"/>
          <c:y val="0.8741543909882078"/>
          <c:w val="1"/>
          <c:h val="0.125845609011792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3"/>
          <c:order val="2"/>
          <c:tx>
            <c:strRef>
              <c:f>Sheet1!$A$5</c:f>
              <c:strCache>
                <c:ptCount val="1"/>
                <c:pt idx="0">
                  <c:v>2022  12 ամսյա աճը, %</c:v>
                </c:pt>
              </c:strCache>
            </c:strRef>
          </c:tx>
          <c:spPr>
            <a:solidFill>
              <a:srgbClr val="4F81BD"/>
            </a:solidFill>
            <a:ln>
              <a:solidFill>
                <a:srgbClr val="4F81BD"/>
              </a:solidFill>
            </a:ln>
          </c:spPr>
          <c:invertIfNegative val="0"/>
          <c:dLbls>
            <c:dLbl>
              <c:idx val="2"/>
              <c:layout>
                <c:manualLayout>
                  <c:x val="0"/>
                  <c:y val="5.27577937649880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7E5-40C7-BE45-79FFB0A74C5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10.465495021027209</c:v>
                </c:pt>
                <c:pt idx="1">
                  <c:v>36.036816259051363</c:v>
                </c:pt>
                <c:pt idx="2">
                  <c:v>20.407827685047209</c:v>
                </c:pt>
                <c:pt idx="3">
                  <c:v>28.429747589104466</c:v>
                </c:pt>
                <c:pt idx="4">
                  <c:v>23.353110136931647</c:v>
                </c:pt>
                <c:pt idx="5">
                  <c:v>25.963309740001449</c:v>
                </c:pt>
                <c:pt idx="6">
                  <c:v>29.854231544912608</c:v>
                </c:pt>
                <c:pt idx="7">
                  <c:v>30.582312007088177</c:v>
                </c:pt>
              </c:numCache>
            </c:numRef>
          </c:val>
          <c:extLst>
            <c:ext xmlns:c16="http://schemas.microsoft.com/office/drawing/2014/chart" uri="{C3380CC4-5D6E-409C-BE32-E72D297353CC}">
              <c16:uniqueId val="{00000001-17E5-40C7-BE45-79FFB0A74C50}"/>
            </c:ext>
          </c:extLst>
        </c:ser>
        <c:dLbls>
          <c:showLegendKey val="0"/>
          <c:showVal val="0"/>
          <c:showCatName val="0"/>
          <c:showSerName val="0"/>
          <c:showPercent val="0"/>
          <c:showBubbleSize val="0"/>
        </c:dLbls>
        <c:gapWidth val="150"/>
        <c:axId val="334767232"/>
        <c:axId val="334768768"/>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spPr>
              <a:noFill/>
              <a:ln>
                <a:noFill/>
              </a:ln>
              <a:effectLst/>
            </c:spPr>
            <c:txPr>
              <a:bodyPr wrap="square" lIns="38100" tIns="19050" rIns="38100" bIns="19050" anchor="ctr">
                <a:spAutoFit/>
              </a:bodyPr>
              <a:lstStyle/>
              <a:p>
                <a:pPr>
                  <a:defRPr sz="800">
                    <a:solidFill>
                      <a:sysClr val="windowText" lastClr="0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-4.6241859555737088</c:v>
                </c:pt>
                <c:pt idx="3">
                  <c:v>2.447882635918802</c:v>
                </c:pt>
                <c:pt idx="4">
                  <c:v>5.9468334154336437</c:v>
                </c:pt>
                <c:pt idx="5">
                  <c:v>10.27686684687737</c:v>
                </c:pt>
                <c:pt idx="6">
                  <c:v>10.473631807306081</c:v>
                </c:pt>
                <c:pt idx="7">
                  <c:v>10.857868136693853</c:v>
                </c:pt>
                <c:pt idx="8">
                  <c:v>11.854661163811445</c:v>
                </c:pt>
                <c:pt idx="9">
                  <c:v>12.700907835308442</c:v>
                </c:pt>
                <c:pt idx="10">
                  <c:v>13.376380238254027</c:v>
                </c:pt>
                <c:pt idx="11">
                  <c:v>14.560636925162942</c:v>
                </c:pt>
              </c:numCache>
            </c:numRef>
          </c:val>
          <c:smooth val="0"/>
          <c:extLst>
            <c:ext xmlns:c16="http://schemas.microsoft.com/office/drawing/2014/chart" uri="{C3380CC4-5D6E-409C-BE32-E72D297353CC}">
              <c16:uniqueId val="{00000002-17E5-40C7-BE45-79FFB0A74C50}"/>
            </c:ext>
          </c:extLst>
        </c:ser>
        <c:ser>
          <c:idx val="2"/>
          <c:order val="1"/>
          <c:tx>
            <c:strRef>
              <c:f>Sheet1!$A$4</c:f>
              <c:strCache>
                <c:ptCount val="1"/>
                <c:pt idx="0">
                  <c:v>2022  աճը, %</c:v>
                </c:pt>
              </c:strCache>
            </c:strRef>
          </c:tx>
          <c:spPr>
            <a:ln>
              <a:solidFill>
                <a:srgbClr val="1F497D"/>
              </a:solidFill>
            </a:ln>
          </c:spPr>
          <c:marker>
            <c:spPr>
              <a:solidFill>
                <a:srgbClr val="00B050"/>
              </a:solidFill>
              <a:ln>
                <a:solidFill>
                  <a:srgbClr val="1F497D"/>
                </a:solidFill>
              </a:ln>
            </c:spPr>
          </c:marker>
          <c:dLbls>
            <c:dLbl>
              <c:idx val="9"/>
              <c:spPr>
                <a:noFill/>
                <a:ln>
                  <a:noFill/>
                </a:ln>
                <a:effectLst/>
              </c:spPr>
              <c:txPr>
                <a:bodyPr wrap="square" lIns="38100" tIns="19050" rIns="38100" bIns="19050" anchor="ctr">
                  <a:noAutofit/>
                </a:bodyPr>
                <a:lstStyle/>
                <a:p>
                  <a:pPr>
                    <a:defRPr sz="900" b="0">
                      <a:solidFill>
                        <a:sysClr val="windowText" lastClr="000000"/>
                      </a:solidFill>
                    </a:defRPr>
                  </a:pPr>
                  <a:endParaRPr lang="en-US"/>
                </a:p>
              </c:txPr>
              <c:dLblPos val="b"/>
              <c:showLegendKey val="0"/>
              <c:showVal val="1"/>
              <c:showCatName val="0"/>
              <c:showSerName val="0"/>
              <c:showPercent val="0"/>
              <c:showBubbleSize val="0"/>
              <c:extLst>
                <c:ext xmlns:c16="http://schemas.microsoft.com/office/drawing/2014/chart" uri="{C3380CC4-5D6E-409C-BE32-E72D297353CC}">
                  <c16:uniqueId val="{00000000-9D92-43E6-BCC3-8B0473797C26}"/>
                </c:ext>
              </c:extLst>
            </c:dLbl>
            <c:spPr>
              <a:noFill/>
              <a:effectLst/>
            </c:spPr>
            <c:txPr>
              <a:bodyPr wrap="square" lIns="38100" tIns="19050" rIns="38100" bIns="19050" anchor="ctr">
                <a:spAutoFit/>
              </a:bodyPr>
              <a:lstStyle/>
              <a:p>
                <a:pPr>
                  <a:defRPr sz="900" b="0">
                    <a:solidFill>
                      <a:sysClr val="windowText" lastClr="0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10.465495021107399</c:v>
                </c:pt>
                <c:pt idx="1">
                  <c:v>20.27752807035057</c:v>
                </c:pt>
                <c:pt idx="2">
                  <c:v>20.324942076471565</c:v>
                </c:pt>
                <c:pt idx="3">
                  <c:v>23.170028686693176</c:v>
                </c:pt>
                <c:pt idx="4">
                  <c:v>23.201233589844325</c:v>
                </c:pt>
                <c:pt idx="5">
                  <c:v>23.686651790698491</c:v>
                </c:pt>
                <c:pt idx="6">
                  <c:v>24.550950594910109</c:v>
                </c:pt>
                <c:pt idx="7">
                  <c:v>25.233917168127338</c:v>
                </c:pt>
              </c:numCache>
            </c:numRef>
          </c:val>
          <c:smooth val="0"/>
          <c:extLst>
            <c:ext xmlns:c16="http://schemas.microsoft.com/office/drawing/2014/chart" uri="{C3380CC4-5D6E-409C-BE32-E72D297353CC}">
              <c16:uniqueId val="{00000004-17E5-40C7-BE45-79FFB0A74C50}"/>
            </c:ext>
          </c:extLst>
        </c:ser>
        <c:dLbls>
          <c:showLegendKey val="0"/>
          <c:showVal val="0"/>
          <c:showCatName val="0"/>
          <c:showSerName val="0"/>
          <c:showPercent val="0"/>
          <c:showBubbleSize val="0"/>
        </c:dLbls>
        <c:marker val="1"/>
        <c:smooth val="0"/>
        <c:axId val="334767232"/>
        <c:axId val="334768768"/>
      </c:lineChart>
      <c:catAx>
        <c:axId val="334767232"/>
        <c:scaling>
          <c:orientation val="minMax"/>
        </c:scaling>
        <c:delete val="0"/>
        <c:axPos val="b"/>
        <c:numFmt formatCode="General" sourceLinked="1"/>
        <c:majorTickMark val="out"/>
        <c:minorTickMark val="none"/>
        <c:tickLblPos val="low"/>
        <c:txPr>
          <a:bodyPr/>
          <a:lstStyle/>
          <a:p>
            <a:pPr>
              <a:defRPr sz="900"/>
            </a:pPr>
            <a:endParaRPr lang="en-US"/>
          </a:p>
        </c:txPr>
        <c:crossAx val="334768768"/>
        <c:crosses val="autoZero"/>
        <c:auto val="1"/>
        <c:lblAlgn val="ctr"/>
        <c:lblOffset val="100"/>
        <c:noMultiLvlLbl val="0"/>
      </c:catAx>
      <c:valAx>
        <c:axId val="334768768"/>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334767232"/>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712"/>
        </c:manualLayout>
      </c:layou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1341.690590901</c:v>
                </c:pt>
                <c:pt idx="1">
                  <c:v>1565.4731594</c:v>
                </c:pt>
                <c:pt idx="2">
                  <c:v>1560.6553879319999</c:v>
                </c:pt>
                <c:pt idx="3">
                  <c:v>1683.8314631499998</c:v>
                </c:pt>
                <c:pt idx="4">
                  <c:v>2042.5147775</c:v>
                </c:pt>
                <c:pt idx="5">
                  <c:v>2302.0259999999998</c:v>
                </c:pt>
              </c:numCache>
            </c:numRef>
          </c:val>
          <c:extLst>
            <c:ext xmlns:c16="http://schemas.microsoft.com/office/drawing/2014/chart" uri="{C3380CC4-5D6E-409C-BE32-E72D297353CC}">
              <c16:uniqueId val="{00000000-63C8-4D77-8E47-E5711F40317F}"/>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1447.0830114800001</c:v>
                </c:pt>
                <c:pt idx="1">
                  <c:v>1629.43686245</c:v>
                </c:pt>
                <c:pt idx="2">
                  <c:v>1894.6471421200001</c:v>
                </c:pt>
                <c:pt idx="3">
                  <c:v>2004.3009903700001</c:v>
                </c:pt>
                <c:pt idx="4">
                  <c:v>2246.6964887198997</c:v>
                </c:pt>
                <c:pt idx="5">
                  <c:v>2591</c:v>
                </c:pt>
              </c:numCache>
            </c:numRef>
          </c:val>
          <c:extLst>
            <c:ext xmlns:c16="http://schemas.microsoft.com/office/drawing/2014/chart" uri="{C3380CC4-5D6E-409C-BE32-E72D297353CC}">
              <c16:uniqueId val="{00000001-63C8-4D77-8E47-E5711F40317F}"/>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91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3C8-4D77-8E47-E5711F40317F}"/>
                </c:ext>
              </c:extLst>
            </c:dLbl>
            <c:dLbl>
              <c:idx val="1"/>
              <c:layout>
                <c:manualLayout>
                  <c:x val="-3.9173336640061982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3C8-4D77-8E47-E5711F40317F}"/>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3C8-4D77-8E47-E5711F40317F}"/>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3C8-4D77-8E47-E5711F40317F}"/>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Sheet1!$D$2:$D$8</c:f>
              <c:numCache>
                <c:formatCode>0.0</c:formatCode>
                <c:ptCount val="6"/>
                <c:pt idx="0">
                  <c:v>-105.39242057900015</c:v>
                </c:pt>
                <c:pt idx="1">
                  <c:v>-63.963703050000049</c:v>
                </c:pt>
                <c:pt idx="2">
                  <c:v>-333.99175418800019</c:v>
                </c:pt>
                <c:pt idx="3">
                  <c:v>-320.46952722000037</c:v>
                </c:pt>
                <c:pt idx="4">
                  <c:v>-204.18171121989963</c:v>
                </c:pt>
                <c:pt idx="5">
                  <c:v>-288.97400000000016</c:v>
                </c:pt>
              </c:numCache>
            </c:numRef>
          </c:val>
          <c:extLst>
            <c:ext xmlns:c16="http://schemas.microsoft.com/office/drawing/2014/chart" uri="{C3380CC4-5D6E-409C-BE32-E72D297353CC}">
              <c16:uniqueId val="{00000006-63C8-4D77-8E47-E5711F40317F}"/>
            </c:ext>
          </c:extLst>
        </c:ser>
        <c:dLbls>
          <c:showLegendKey val="0"/>
          <c:showVal val="0"/>
          <c:showCatName val="0"/>
          <c:showSerName val="0"/>
          <c:showPercent val="0"/>
          <c:showBubbleSize val="0"/>
        </c:dLbls>
        <c:gapWidth val="150"/>
        <c:axId val="334938880"/>
        <c:axId val="334940416"/>
      </c:barChart>
      <c:catAx>
        <c:axId val="334938880"/>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334940416"/>
        <c:crosses val="autoZero"/>
        <c:auto val="1"/>
        <c:lblAlgn val="ctr"/>
        <c:lblOffset val="100"/>
        <c:noMultiLvlLbl val="0"/>
      </c:catAx>
      <c:valAx>
        <c:axId val="334940416"/>
        <c:scaling>
          <c:orientation val="minMax"/>
          <c:max val="2600"/>
          <c:min val="-500"/>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334938880"/>
        <c:crosses val="autoZero"/>
        <c:crossBetween val="between"/>
      </c:valAx>
      <c:spPr>
        <a:noFill/>
        <a:ln w="25412">
          <a:noFill/>
        </a:ln>
      </c:spPr>
    </c:plotArea>
    <c:legend>
      <c:legendPos val="b"/>
      <c:layout>
        <c:manualLayout>
          <c:xMode val="edge"/>
          <c:yMode val="edge"/>
          <c:x val="0.05"/>
          <c:y val="0.91428556430446195"/>
          <c:w val="0.9"/>
          <c:h val="8.5714435695538063E-2"/>
        </c:manualLayout>
      </c:layout>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82"/>
          <c:y val="5.203364604466193E-2"/>
          <c:w val="0.82012848918713577"/>
          <c:h val="0.72564276710820164"/>
        </c:manualLayout>
      </c:layou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dLbl>
              <c:idx val="3"/>
              <c:layout>
                <c:manualLayout>
                  <c:x val="-6.0240963855421686E-2"/>
                  <c:y val="3.1111111111111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893-4A36-9E7E-451E3BE52DF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-1.7515672931246962</c:v>
                </c:pt>
                <c:pt idx="1">
                  <c:v>-0.97754175944701427</c:v>
                </c:pt>
                <c:pt idx="2">
                  <c:v>-5.4027340092352834</c:v>
                </c:pt>
                <c:pt idx="3">
                  <c:v>-4.5893061464958533</c:v>
                </c:pt>
                <c:pt idx="4">
                  <c:v>-2.4618997996842782</c:v>
                </c:pt>
                <c:pt idx="5">
                  <c:v>-3.0999999999999979</c:v>
                </c:pt>
              </c:numCache>
            </c:numRef>
          </c:val>
          <c:smooth val="0"/>
          <c:extLst>
            <c:ext xmlns:c16="http://schemas.microsoft.com/office/drawing/2014/chart" uri="{C3380CC4-5D6E-409C-BE32-E72D297353CC}">
              <c16:uniqueId val="{00000001-6893-4A36-9E7E-451E3BE52DFE}"/>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dLbl>
              <c:idx val="3"/>
              <c:layout>
                <c:manualLayout>
                  <c:x val="-5.163511187607573E-2"/>
                  <c:y val="0.0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893-4A36-9E7E-451E3BE52DFE}"/>
                </c:ext>
              </c:extLst>
            </c:dLbl>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0.558788129758653</c:v>
                </c:pt>
                <c:pt idx="1">
                  <c:v>1.4302980078100385</c:v>
                </c:pt>
                <c:pt idx="2">
                  <c:v>-2.7374160483861427</c:v>
                </c:pt>
                <c:pt idx="3">
                  <c:v>-1.999628985978378</c:v>
                </c:pt>
                <c:pt idx="4">
                  <c:v>0.1153099912526363</c:v>
                </c:pt>
                <c:pt idx="5">
                  <c:v>-0.2</c:v>
                </c:pt>
              </c:numCache>
            </c:numRef>
          </c:val>
          <c:smooth val="0"/>
          <c:extLst>
            <c:ext xmlns:c16="http://schemas.microsoft.com/office/drawing/2014/chart" uri="{C3380CC4-5D6E-409C-BE32-E72D297353CC}">
              <c16:uniqueId val="{00000003-6893-4A36-9E7E-451E3BE52DFE}"/>
            </c:ext>
          </c:extLst>
        </c:ser>
        <c:dLbls>
          <c:showLegendKey val="0"/>
          <c:showVal val="0"/>
          <c:showCatName val="0"/>
          <c:showSerName val="0"/>
          <c:showPercent val="0"/>
          <c:showBubbleSize val="0"/>
        </c:dLbls>
        <c:marker val="1"/>
        <c:smooth val="0"/>
        <c:axId val="335333248"/>
        <c:axId val="335334784"/>
      </c:lineChart>
      <c:catAx>
        <c:axId val="335333248"/>
        <c:scaling>
          <c:orientation val="minMax"/>
        </c:scaling>
        <c:delete val="0"/>
        <c:axPos val="b"/>
        <c:numFmt formatCode="0"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a:pPr>
            <a:endParaRPr lang="en-US"/>
          </a:p>
        </c:txPr>
        <c:crossAx val="335334784"/>
        <c:crosses val="autoZero"/>
        <c:auto val="1"/>
        <c:lblAlgn val="ctr"/>
        <c:lblOffset val="100"/>
        <c:noMultiLvlLbl val="0"/>
      </c:catAx>
      <c:valAx>
        <c:axId val="335334784"/>
        <c:scaling>
          <c:orientation val="minMax"/>
        </c:scaling>
        <c:delete val="0"/>
        <c:axPos val="l"/>
        <c:majorGridlines>
          <c:spPr>
            <a:ln w="12700" cap="flat" cmpd="sng" algn="ctr">
              <a:solidFill>
                <a:srgbClr val="44546A">
                  <a:lumMod val="15000"/>
                  <a:lumOff val="85000"/>
                </a:srgb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335333248"/>
        <c:crosses val="autoZero"/>
        <c:crossBetween val="between"/>
      </c:valAx>
      <c:spPr>
        <a:noFill/>
        <a:ln w="25400">
          <a:noFill/>
        </a:ln>
      </c:spPr>
    </c:plotArea>
    <c:legend>
      <c:legendPos val="b"/>
      <c:layout>
        <c:manualLayout>
          <c:xMode val="edge"/>
          <c:yMode val="edge"/>
          <c:x val="7.6856052056876012E-2"/>
          <c:y val="0.87435501653803793"/>
          <c:w val="0.82882226260179048"/>
          <c:h val="9.4774327409735307E-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Եկամուտների ազդակ</c:v>
                </c:pt>
              </c:strCache>
            </c:strRef>
          </c:tx>
          <c:spPr>
            <a:solidFill>
              <a:schemeClr val="accent1"/>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#,##0.0</c:formatCode>
                <c:ptCount val="6"/>
                <c:pt idx="0">
                  <c:v>-1.2287752256907658</c:v>
                </c:pt>
                <c:pt idx="1">
                  <c:v>-1.1514948662770299</c:v>
                </c:pt>
                <c:pt idx="2">
                  <c:v>0.59026955719524488</c:v>
                </c:pt>
                <c:pt idx="3">
                  <c:v>-0.45268667551633374</c:v>
                </c:pt>
                <c:pt idx="4">
                  <c:v>-0.16475319059265253</c:v>
                </c:pt>
                <c:pt idx="5">
                  <c:v>-0.31736040849928615</c:v>
                </c:pt>
              </c:numCache>
            </c:numRef>
          </c:val>
          <c:extLst>
            <c:ext xmlns:c16="http://schemas.microsoft.com/office/drawing/2014/chart" uri="{C3380CC4-5D6E-409C-BE32-E72D297353CC}">
              <c16:uniqueId val="{00000000-64E4-4BA9-86CB-CD963FC87DF3}"/>
            </c:ext>
          </c:extLst>
        </c:ser>
        <c:ser>
          <c:idx val="1"/>
          <c:order val="1"/>
          <c:tx>
            <c:strRef>
              <c:f>Sheet1!$C$1</c:f>
              <c:strCache>
                <c:ptCount val="1"/>
                <c:pt idx="0">
                  <c:v>Ծախսերի ազդակ</c:v>
                </c:pt>
              </c:strCache>
            </c:strRef>
          </c:tx>
          <c:spPr>
            <a:solidFill>
              <a:schemeClr val="accent2"/>
            </a:solidFill>
            <a:ln>
              <a:noFill/>
            </a:ln>
            <a:effectLst/>
          </c:spPr>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#,##0.0</c:formatCode>
                <c:ptCount val="6"/>
                <c:pt idx="0">
                  <c:v>-0.82880570080322513</c:v>
                </c:pt>
                <c:pt idx="1">
                  <c:v>1.0313231004659387</c:v>
                </c:pt>
                <c:pt idx="2">
                  <c:v>3.9958437023243434</c:v>
                </c:pt>
                <c:pt idx="3">
                  <c:v>-1.7611678003082079</c:v>
                </c:pt>
                <c:pt idx="4">
                  <c:v>-1.173568478853612</c:v>
                </c:pt>
                <c:pt idx="5">
                  <c:v>0.58376593183811831</c:v>
                </c:pt>
              </c:numCache>
            </c:numRef>
          </c:val>
          <c:extLst>
            <c:ext xmlns:c16="http://schemas.microsoft.com/office/drawing/2014/chart" uri="{C3380CC4-5D6E-409C-BE32-E72D297353CC}">
              <c16:uniqueId val="{00000001-64E4-4BA9-86CB-CD963FC87DF3}"/>
            </c:ext>
          </c:extLst>
        </c:ser>
        <c:dLbls>
          <c:showLegendKey val="0"/>
          <c:showVal val="0"/>
          <c:showCatName val="0"/>
          <c:showSerName val="0"/>
          <c:showPercent val="0"/>
          <c:showBubbleSize val="0"/>
        </c:dLbls>
        <c:gapWidth val="219"/>
        <c:axId val="335401344"/>
        <c:axId val="335402880"/>
      </c:barChart>
      <c:lineChart>
        <c:grouping val="standard"/>
        <c:varyColors val="0"/>
        <c:ser>
          <c:idx val="2"/>
          <c:order val="2"/>
          <c:tx>
            <c:strRef>
              <c:f>Sheet1!$D$1</c:f>
              <c:strCache>
                <c:ptCount val="1"/>
                <c:pt idx="0">
                  <c:v>Հարկաբյուջետային ազդակ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0586362874853801E-3"/>
                  <c:y val="5.6170783995512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4E4-4BA9-86CB-CD963FC87DF3}"/>
                </c:ext>
              </c:extLst>
            </c:dLbl>
            <c:dLbl>
              <c:idx val="2"/>
              <c:layout>
                <c:manualLayout>
                  <c:x val="-3.1484168202379037E-2"/>
                  <c:y val="-5.06994450121215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4E4-4BA9-86CB-CD963FC87D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2018</c:v>
                </c:pt>
                <c:pt idx="1">
                  <c:v>2019</c:v>
                </c:pt>
                <c:pt idx="2">
                  <c:v>2020</c:v>
                </c:pt>
                <c:pt idx="3">
                  <c:v>2021</c:v>
                </c:pt>
                <c:pt idx="4">
                  <c:v>2022</c:v>
                </c:pt>
                <c:pt idx="5">
                  <c:v>2023</c:v>
                </c:pt>
              </c:numCache>
            </c:numRef>
          </c:cat>
          <c:val>
            <c:numRef>
              <c:f>Sheet1!$D$2:$D$7</c:f>
              <c:numCache>
                <c:formatCode>#,##0.0</c:formatCode>
                <c:ptCount val="6"/>
                <c:pt idx="0">
                  <c:v>-2.057580926493991</c:v>
                </c:pt>
                <c:pt idx="1">
                  <c:v>-0.12017176581109124</c:v>
                </c:pt>
                <c:pt idx="2">
                  <c:v>4.5861132595195881</c:v>
                </c:pt>
                <c:pt idx="3">
                  <c:v>-2.2138544758245415</c:v>
                </c:pt>
                <c:pt idx="4">
                  <c:v>-1.3383216694462645</c:v>
                </c:pt>
                <c:pt idx="5">
                  <c:v>0.26640552333883216</c:v>
                </c:pt>
              </c:numCache>
            </c:numRef>
          </c:val>
          <c:smooth val="0"/>
          <c:extLst>
            <c:ext xmlns:c16="http://schemas.microsoft.com/office/drawing/2014/chart" uri="{C3380CC4-5D6E-409C-BE32-E72D297353CC}">
              <c16:uniqueId val="{00000004-64E4-4BA9-86CB-CD963FC87DF3}"/>
            </c:ext>
          </c:extLst>
        </c:ser>
        <c:dLbls>
          <c:showLegendKey val="0"/>
          <c:showVal val="0"/>
          <c:showCatName val="0"/>
          <c:showSerName val="0"/>
          <c:showPercent val="0"/>
          <c:showBubbleSize val="0"/>
        </c:dLbls>
        <c:marker val="1"/>
        <c:smooth val="0"/>
        <c:axId val="335401344"/>
        <c:axId val="335402880"/>
      </c:lineChart>
      <c:catAx>
        <c:axId val="3354013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5402880"/>
        <c:crosses val="autoZero"/>
        <c:auto val="1"/>
        <c:lblAlgn val="ctr"/>
        <c:lblOffset val="100"/>
        <c:noMultiLvlLbl val="0"/>
      </c:catAx>
      <c:valAx>
        <c:axId val="335402880"/>
        <c:scaling>
          <c:orientation val="minMax"/>
        </c:scaling>
        <c:delete val="0"/>
        <c:axPos val="l"/>
        <c:majorGridlines>
          <c:spPr>
            <a:ln w="317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35401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21.588337472248792</c:v>
                </c:pt>
                <c:pt idx="1">
                  <c:v>21.963506331753393</c:v>
                </c:pt>
                <c:pt idx="2">
                  <c:v>26.989400038590066</c:v>
                </c:pt>
                <c:pt idx="3">
                  <c:v>25.604697072481784</c:v>
                </c:pt>
                <c:pt idx="4">
                  <c:v>22.391095063714658</c:v>
                </c:pt>
                <c:pt idx="5">
                  <c:v>21.9</c:v>
                </c:pt>
              </c:numCache>
            </c:numRef>
          </c:val>
          <c:extLst>
            <c:ext xmlns:c16="http://schemas.microsoft.com/office/drawing/2014/chart" uri="{C3380CC4-5D6E-409C-BE32-E72D297353CC}">
              <c16:uniqueId val="{00000000-FE13-4D56-8B75-EE89FA3A88C6}"/>
            </c:ext>
          </c:extLst>
        </c:ser>
        <c:dLbls>
          <c:showLegendKey val="0"/>
          <c:showVal val="0"/>
          <c:showCatName val="0"/>
          <c:showSerName val="0"/>
          <c:showPercent val="0"/>
          <c:showBubbleSize val="0"/>
        </c:dLbls>
        <c:gapWidth val="219"/>
        <c:overlap val="-27"/>
        <c:axId val="335525376"/>
        <c:axId val="335526912"/>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20.909320563240183</c:v>
                </c:pt>
                <c:pt idx="1">
                  <c:v>22.29106408890242</c:v>
                </c:pt>
                <c:pt idx="2">
                  <c:v>22.400763757595897</c:v>
                </c:pt>
                <c:pt idx="3">
                  <c:v>22.725314602362541</c:v>
                </c:pt>
                <c:pt idx="4">
                  <c:v>23.150200804728755</c:v>
                </c:pt>
                <c:pt idx="5">
                  <c:v>23.650200804728755</c:v>
                </c:pt>
              </c:numCache>
            </c:numRef>
          </c:val>
          <c:smooth val="0"/>
          <c:extLst>
            <c:ext xmlns:c16="http://schemas.microsoft.com/office/drawing/2014/chart" uri="{C3380CC4-5D6E-409C-BE32-E72D297353CC}">
              <c16:uniqueId val="{00000001-FE13-4D56-8B75-EE89FA3A88C6}"/>
            </c:ext>
          </c:extLst>
        </c:ser>
        <c:dLbls>
          <c:showLegendKey val="0"/>
          <c:showVal val="0"/>
          <c:showCatName val="0"/>
          <c:showSerName val="0"/>
          <c:showPercent val="0"/>
          <c:showBubbleSize val="0"/>
        </c:dLbls>
        <c:marker val="1"/>
        <c:smooth val="0"/>
        <c:axId val="335525376"/>
        <c:axId val="335526912"/>
      </c:lineChart>
      <c:catAx>
        <c:axId val="335525376"/>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335526912"/>
        <c:crosses val="autoZero"/>
        <c:auto val="1"/>
        <c:lblAlgn val="ctr"/>
        <c:lblOffset val="100"/>
        <c:noMultiLvlLbl val="0"/>
      </c:catAx>
      <c:valAx>
        <c:axId val="335526912"/>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335525376"/>
        <c:crosses val="autoZero"/>
        <c:crossBetween val="between"/>
      </c:valAx>
      <c:spPr>
        <a:noFill/>
        <a:ln w="25412">
          <a:noFill/>
        </a:ln>
      </c:spPr>
    </c:plotArea>
    <c:legend>
      <c:legendPos val="b"/>
      <c:layout>
        <c:manualLayout>
          <c:xMode val="edge"/>
          <c:yMode val="edge"/>
          <c:x val="4.0371417036737994E-2"/>
          <c:y val="0.81086469695875174"/>
          <c:w val="0.91117177425992479"/>
          <c:h val="0.18913530304124829"/>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8"/>
          <c:h val="0.63564952617015436"/>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Sheet1!$C$2:$C$8</c:f>
              <c:numCache>
                <c:formatCode>0.0</c:formatCode>
                <c:ptCount val="6"/>
                <c:pt idx="0">
                  <c:v>2.461430617524059</c:v>
                </c:pt>
                <c:pt idx="1">
                  <c:v>2.9387820204716206</c:v>
                </c:pt>
                <c:pt idx="2">
                  <c:v>3.6588852016206146</c:v>
                </c:pt>
                <c:pt idx="3">
                  <c:v>3.0980346172559297</c:v>
                </c:pt>
                <c:pt idx="4">
                  <c:v>4.6982147597982014</c:v>
                </c:pt>
                <c:pt idx="5">
                  <c:v>5.9</c:v>
                </c:pt>
              </c:numCache>
            </c:numRef>
          </c:val>
          <c:extLst>
            <c:ext xmlns:c16="http://schemas.microsoft.com/office/drawing/2014/chart" uri="{C3380CC4-5D6E-409C-BE32-E72D297353CC}">
              <c16:uniqueId val="{00000000-7E40-47DD-AE9E-E6EB622D6BBD}"/>
            </c:ext>
          </c:extLst>
        </c:ser>
        <c:dLbls>
          <c:showLegendKey val="0"/>
          <c:showVal val="0"/>
          <c:showCatName val="0"/>
          <c:showSerName val="0"/>
          <c:showPercent val="0"/>
          <c:showBubbleSize val="0"/>
        </c:dLbls>
        <c:gapWidth val="219"/>
        <c:axId val="335797632"/>
        <c:axId val="335946880"/>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E40-47DD-AE9E-E6EB622D6BBD}"/>
                </c:ext>
              </c:extLst>
            </c:dLbl>
            <c:dLbl>
              <c:idx val="5"/>
              <c:layout>
                <c:manualLayout>
                  <c:x val="-2.1166561496886059E-3"/>
                  <c:y val="2.4888261585509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40-47DD-AE9E-E6EB622D6BBD}"/>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Sheet1!$A$2:$A$8</c:f>
              <c:numCache>
                <c:formatCode>0</c:formatCode>
                <c:ptCount val="6"/>
                <c:pt idx="0">
                  <c:v>2018</c:v>
                </c:pt>
                <c:pt idx="1">
                  <c:v>2019</c:v>
                </c:pt>
                <c:pt idx="2">
                  <c:v>2020</c:v>
                </c:pt>
                <c:pt idx="3">
                  <c:v>2021</c:v>
                </c:pt>
                <c:pt idx="4">
                  <c:v>2022</c:v>
                </c:pt>
                <c:pt idx="5">
                  <c:v>2023</c:v>
                </c:pt>
              </c:numCache>
            </c:numRef>
          </c:cat>
          <c:val>
            <c:numRef>
              <c:f>Sheet1!$B$2:$B$8</c:f>
              <c:numCache>
                <c:formatCode>0.0</c:formatCode>
                <c:ptCount val="6"/>
                <c:pt idx="0">
                  <c:v>1.7515672931246957</c:v>
                </c:pt>
                <c:pt idx="1">
                  <c:v>0.973720551834374</c:v>
                </c:pt>
                <c:pt idx="2">
                  <c:v>5.4</c:v>
                </c:pt>
                <c:pt idx="3">
                  <c:v>4.5893061464958498</c:v>
                </c:pt>
                <c:pt idx="4">
                  <c:v>2.46189979968428</c:v>
                </c:pt>
                <c:pt idx="5">
                  <c:v>3.1</c:v>
                </c:pt>
              </c:numCache>
            </c:numRef>
          </c:val>
          <c:smooth val="0"/>
          <c:extLst>
            <c:ext xmlns:c16="http://schemas.microsoft.com/office/drawing/2014/chart" uri="{C3380CC4-5D6E-409C-BE32-E72D297353CC}">
              <c16:uniqueId val="{00000003-7E40-47DD-AE9E-E6EB622D6BBD}"/>
            </c:ext>
          </c:extLst>
        </c:ser>
        <c:dLbls>
          <c:showLegendKey val="0"/>
          <c:showVal val="0"/>
          <c:showCatName val="0"/>
          <c:showSerName val="0"/>
          <c:showPercent val="0"/>
          <c:showBubbleSize val="0"/>
        </c:dLbls>
        <c:marker val="1"/>
        <c:smooth val="0"/>
        <c:axId val="335797632"/>
        <c:axId val="335946880"/>
      </c:lineChart>
      <c:catAx>
        <c:axId val="335797632"/>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335946880"/>
        <c:crosses val="autoZero"/>
        <c:auto val="1"/>
        <c:lblAlgn val="ctr"/>
        <c:lblOffset val="100"/>
        <c:noMultiLvlLbl val="0"/>
      </c:catAx>
      <c:valAx>
        <c:axId val="335946880"/>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335797632"/>
        <c:crosses val="autoZero"/>
        <c:crossBetween val="between"/>
      </c:valAx>
      <c:spPr>
        <a:noFill/>
        <a:ln w="25412">
          <a:noFill/>
        </a:ln>
      </c:spPr>
    </c:plotArea>
    <c:legend>
      <c:legendPos val="b"/>
      <c:layout>
        <c:manualLayout>
          <c:xMode val="edge"/>
          <c:yMode val="edge"/>
          <c:x val="0"/>
          <c:y val="0.8767285925196856"/>
          <c:w val="0.99584174404521597"/>
          <c:h val="0.123271407480315"/>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layout/>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c:formatCode>
                <c:ptCount val="7"/>
                <c:pt idx="0">
                  <c:v>2988.3796278717332</c:v>
                </c:pt>
                <c:pt idx="1">
                  <c:v>3082.8664640448101</c:v>
                </c:pt>
                <c:pt idx="2">
                  <c:v>3277.2813769668846</c:v>
                </c:pt>
                <c:pt idx="3">
                  <c:v>3923.8890671175195</c:v>
                </c:pt>
                <c:pt idx="4">
                  <c:v>4209.8379084366843</c:v>
                </c:pt>
                <c:pt idx="5">
                  <c:v>4158</c:v>
                </c:pt>
                <c:pt idx="6">
                  <c:v>4645</c:v>
                </c:pt>
              </c:numCache>
            </c:numRef>
          </c:val>
          <c:extLst>
            <c:ext xmlns:c16="http://schemas.microsoft.com/office/drawing/2014/chart" uri="{C3380CC4-5D6E-409C-BE32-E72D297353CC}">
              <c16:uniqueId val="{00000000-9869-4CF0-A03A-D68E9C95B316}"/>
            </c:ext>
          </c:extLst>
        </c:ser>
        <c:dLbls>
          <c:showLegendKey val="0"/>
          <c:showVal val="0"/>
          <c:showCatName val="0"/>
          <c:showSerName val="0"/>
          <c:showPercent val="0"/>
          <c:showBubbleSize val="0"/>
        </c:dLbls>
        <c:gapWidth val="219"/>
        <c:axId val="335999744"/>
        <c:axId val="336001280"/>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c:formatCode>
                <c:ptCount val="7"/>
                <c:pt idx="0">
                  <c:v>53.704433930610207</c:v>
                </c:pt>
                <c:pt idx="1">
                  <c:v>51.235639506393603</c:v>
                </c:pt>
                <c:pt idx="2">
                  <c:v>49.890110777392067</c:v>
                </c:pt>
                <c:pt idx="3">
                  <c:v>63.476258231461003</c:v>
                </c:pt>
                <c:pt idx="4">
                  <c:v>60.287276473798691</c:v>
                </c:pt>
                <c:pt idx="5">
                  <c:v>50.1</c:v>
                </c:pt>
                <c:pt idx="6">
                  <c:v>49.8</c:v>
                </c:pt>
              </c:numCache>
            </c:numRef>
          </c:val>
          <c:smooth val="0"/>
          <c:extLst>
            <c:ext xmlns:c16="http://schemas.microsoft.com/office/drawing/2014/chart" uri="{C3380CC4-5D6E-409C-BE32-E72D297353CC}">
              <c16:uniqueId val="{00000001-9869-4CF0-A03A-D68E9C95B316}"/>
            </c:ext>
          </c:extLst>
        </c:ser>
        <c:dLbls>
          <c:showLegendKey val="0"/>
          <c:showVal val="0"/>
          <c:showCatName val="0"/>
          <c:showSerName val="0"/>
          <c:showPercent val="0"/>
          <c:showBubbleSize val="0"/>
        </c:dLbls>
        <c:marker val="1"/>
        <c:smooth val="0"/>
        <c:axId val="346625536"/>
        <c:axId val="346624000"/>
      </c:lineChart>
      <c:catAx>
        <c:axId val="33599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001280"/>
        <c:crosses val="autoZero"/>
        <c:auto val="1"/>
        <c:lblAlgn val="ctr"/>
        <c:lblOffset val="100"/>
        <c:noMultiLvlLbl val="0"/>
      </c:catAx>
      <c:valAx>
        <c:axId val="336001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999744"/>
        <c:crosses val="autoZero"/>
        <c:crossBetween val="between"/>
      </c:valAx>
      <c:valAx>
        <c:axId val="34662400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25536"/>
        <c:crosses val="max"/>
        <c:crossBetween val="between"/>
      </c:valAx>
      <c:catAx>
        <c:axId val="346625536"/>
        <c:scaling>
          <c:orientation val="minMax"/>
        </c:scaling>
        <c:delete val="1"/>
        <c:axPos val="b"/>
        <c:numFmt formatCode="General" sourceLinked="1"/>
        <c:majorTickMark val="out"/>
        <c:minorTickMark val="none"/>
        <c:tickLblPos val="none"/>
        <c:crossAx val="346624000"/>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21861594033419091"/>
          <c:w val="0.49000876204041866"/>
          <c:h val="0.65598537806536561"/>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Sheet1!$B$2:$B$10</c:f>
              <c:numCache>
                <c:formatCode>0.0</c:formatCode>
                <c:ptCount val="6"/>
                <c:pt idx="0">
                  <c:v>-0.57258085880967613</c:v>
                </c:pt>
                <c:pt idx="1">
                  <c:v>-1.4284363292094469</c:v>
                </c:pt>
                <c:pt idx="2">
                  <c:v>2.7324762509823195</c:v>
                </c:pt>
                <c:pt idx="3">
                  <c:v>2.1826159296250589</c:v>
                </c:pt>
                <c:pt idx="4">
                  <c:v>-0.24280671108465185</c:v>
                </c:pt>
                <c:pt idx="5">
                  <c:v>0.17956666846794012</c:v>
                </c:pt>
              </c:numCache>
            </c:numRef>
          </c:val>
          <c:extLst>
            <c:ext xmlns:c16="http://schemas.microsoft.com/office/drawing/2014/chart" uri="{C3380CC4-5D6E-409C-BE32-E72D297353CC}">
              <c16:uniqueId val="{00000000-0AA4-481A-AB1B-8D7BCEE93AF7}"/>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Sheet1!$C$2:$C$10</c:f>
              <c:numCache>
                <c:formatCode>0.0</c:formatCode>
                <c:ptCount val="6"/>
                <c:pt idx="0">
                  <c:v>0.98012789078743601</c:v>
                </c:pt>
                <c:pt idx="1">
                  <c:v>1.6930478859443168</c:v>
                </c:pt>
                <c:pt idx="2">
                  <c:v>1.6692093790760498</c:v>
                </c:pt>
                <c:pt idx="3">
                  <c:v>-1.5186370629788788</c:v>
                </c:pt>
                <c:pt idx="4">
                  <c:v>-1.0848719047896622</c:v>
                </c:pt>
                <c:pt idx="5">
                  <c:v>9.2318147622608843E-2</c:v>
                </c:pt>
              </c:numCache>
            </c:numRef>
          </c:val>
          <c:extLst>
            <c:ext xmlns:c16="http://schemas.microsoft.com/office/drawing/2014/chart" uri="{C3380CC4-5D6E-409C-BE32-E72D297353CC}">
              <c16:uniqueId val="{00000001-0AA4-481A-AB1B-8D7BCEE93AF7}"/>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Sheet1!$D$2:$D$10</c:f>
              <c:numCache>
                <c:formatCode>0.0</c:formatCode>
                <c:ptCount val="6"/>
                <c:pt idx="0">
                  <c:v>-2.6039370723394306</c:v>
                </c:pt>
                <c:pt idx="1">
                  <c:v>-3.5727954124852048</c:v>
                </c:pt>
                <c:pt idx="2">
                  <c:v>3.927730789386175</c:v>
                </c:pt>
                <c:pt idx="3">
                  <c:v>-3.1805094702168866</c:v>
                </c:pt>
                <c:pt idx="4">
                  <c:v>-5.5835652202726713</c:v>
                </c:pt>
                <c:pt idx="5">
                  <c:v>-3.1589756071415152</c:v>
                </c:pt>
              </c:numCache>
            </c:numRef>
          </c:val>
          <c:extLst>
            <c:ext xmlns:c16="http://schemas.microsoft.com/office/drawing/2014/chart" uri="{C3380CC4-5D6E-409C-BE32-E72D297353CC}">
              <c16:uniqueId val="{00000002-0AA4-481A-AB1B-8D7BCEE93AF7}"/>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Sheet1!$E$2:$E$10</c:f>
              <c:numCache>
                <c:formatCode>0.0</c:formatCode>
                <c:ptCount val="6"/>
                <c:pt idx="0">
                  <c:v>-3.0355942288865109E-2</c:v>
                </c:pt>
                <c:pt idx="1">
                  <c:v>-0.33045922768254016</c:v>
                </c:pt>
                <c:pt idx="2">
                  <c:v>3.869772584163178</c:v>
                </c:pt>
                <c:pt idx="3">
                  <c:v>-4.106412737413172</c:v>
                </c:pt>
              </c:numCache>
            </c:numRef>
          </c:val>
          <c:extLst>
            <c:ext xmlns:c16="http://schemas.microsoft.com/office/drawing/2014/chart" uri="{C3380CC4-5D6E-409C-BE32-E72D297353CC}">
              <c16:uniqueId val="{00000003-0AA4-481A-AB1B-8D7BCEE93AF7}"/>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Sheet1!$F$2:$F$10</c:f>
              <c:numCache>
                <c:formatCode>0.0</c:formatCode>
                <c:ptCount val="6"/>
                <c:pt idx="0">
                  <c:v>0.81037920761112525</c:v>
                </c:pt>
                <c:pt idx="1">
                  <c:v>1.0104016885491129</c:v>
                </c:pt>
                <c:pt idx="2">
                  <c:v>1.6545023656332283</c:v>
                </c:pt>
                <c:pt idx="3">
                  <c:v>1.8936427014800208</c:v>
                </c:pt>
                <c:pt idx="4">
                  <c:v>1.9841688083045161</c:v>
                </c:pt>
                <c:pt idx="5">
                  <c:v>1.6222418914093861</c:v>
                </c:pt>
              </c:numCache>
            </c:numRef>
          </c:val>
          <c:extLst>
            <c:ext xmlns:c16="http://schemas.microsoft.com/office/drawing/2014/chart" uri="{C3380CC4-5D6E-409C-BE32-E72D297353CC}">
              <c16:uniqueId val="{00000004-0AA4-481A-AB1B-8D7BCEE93AF7}"/>
            </c:ext>
          </c:extLst>
        </c:ser>
        <c:ser>
          <c:idx val="5"/>
          <c:order val="5"/>
          <c:tx>
            <c:strRef>
              <c:f>Sheet1!$G$1</c:f>
              <c:strCache>
                <c:ptCount val="1"/>
                <c:pt idx="0">
                  <c:v>Մնացորդ</c:v>
                </c:pt>
              </c:strCache>
            </c:strRef>
          </c:tx>
          <c:spPr>
            <a:solidFill>
              <a:srgbClr val="F79646"/>
            </a:solidFill>
            <a:ln w="25384">
              <a:noFill/>
            </a:ln>
          </c:spPr>
          <c:invertIfNegative val="0"/>
          <c:cat>
            <c:numRef>
              <c:f>Sheet1!$A$2:$A$10</c:f>
              <c:numCache>
                <c:formatCode>General</c:formatCode>
                <c:ptCount val="6"/>
                <c:pt idx="0">
                  <c:v>2018</c:v>
                </c:pt>
                <c:pt idx="1">
                  <c:v>2019</c:v>
                </c:pt>
                <c:pt idx="2">
                  <c:v>2020</c:v>
                </c:pt>
                <c:pt idx="3">
                  <c:v>2021</c:v>
                </c:pt>
                <c:pt idx="4">
                  <c:v>2022</c:v>
                </c:pt>
                <c:pt idx="5">
                  <c:v>2023</c:v>
                </c:pt>
              </c:numCache>
            </c:numRef>
          </c:cat>
          <c:val>
            <c:numRef>
              <c:f>Sheet1!$G$2:$G$10</c:f>
              <c:numCache>
                <c:formatCode>0.0</c:formatCode>
                <c:ptCount val="6"/>
                <c:pt idx="0">
                  <c:v>-0.90772701057372629</c:v>
                </c:pt>
                <c:pt idx="1">
                  <c:v>1.3324296052555091</c:v>
                </c:pt>
                <c:pt idx="2">
                  <c:v>-0.48467011139045901</c:v>
                </c:pt>
                <c:pt idx="3">
                  <c:v>1.5413022514064032</c:v>
                </c:pt>
                <c:pt idx="4">
                  <c:v>-5.2729249721575266</c:v>
                </c:pt>
                <c:pt idx="5">
                  <c:v>0.96484889964157583</c:v>
                </c:pt>
              </c:numCache>
            </c:numRef>
          </c:val>
          <c:extLst>
            <c:ext xmlns:c16="http://schemas.microsoft.com/office/drawing/2014/chart" uri="{C3380CC4-5D6E-409C-BE32-E72D297353CC}">
              <c16:uniqueId val="{00000005-0AA4-481A-AB1B-8D7BCEE93AF7}"/>
            </c:ext>
          </c:extLst>
        </c:ser>
        <c:dLbls>
          <c:showLegendKey val="0"/>
          <c:showVal val="0"/>
          <c:showCatName val="0"/>
          <c:showSerName val="0"/>
          <c:showPercent val="0"/>
          <c:showBubbleSize val="0"/>
        </c:dLbls>
        <c:gapWidth val="81"/>
        <c:overlap val="100"/>
        <c:axId val="347695360"/>
        <c:axId val="347697536"/>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Sheet1!$A$2:$A$10</c:f>
              <c:numCache>
                <c:formatCode>General</c:formatCode>
                <c:ptCount val="6"/>
                <c:pt idx="0">
                  <c:v>2018</c:v>
                </c:pt>
                <c:pt idx="1">
                  <c:v>2019</c:v>
                </c:pt>
                <c:pt idx="2">
                  <c:v>2020</c:v>
                </c:pt>
                <c:pt idx="3">
                  <c:v>2021</c:v>
                </c:pt>
                <c:pt idx="4">
                  <c:v>2022</c:v>
                </c:pt>
                <c:pt idx="5">
                  <c:v>2023</c:v>
                </c:pt>
              </c:numCache>
            </c:numRef>
          </c:cat>
          <c:val>
            <c:numRef>
              <c:f>Sheet1!$H$2:$H$10</c:f>
              <c:numCache>
                <c:formatCode>0.0</c:formatCode>
                <c:ptCount val="6"/>
                <c:pt idx="0">
                  <c:v>-2.3240937856131367</c:v>
                </c:pt>
                <c:pt idx="1">
                  <c:v>-1.2958117896282531</c:v>
                </c:pt>
                <c:pt idx="2">
                  <c:v>13.369021257850491</c:v>
                </c:pt>
                <c:pt idx="3">
                  <c:v>-3.1879983880974549</c:v>
                </c:pt>
                <c:pt idx="4">
                  <c:v>-10.199999999999996</c:v>
                </c:pt>
                <c:pt idx="5">
                  <c:v>-0.30000000000000426</c:v>
                </c:pt>
              </c:numCache>
            </c:numRef>
          </c:val>
          <c:smooth val="0"/>
          <c:extLst>
            <c:ext xmlns:c16="http://schemas.microsoft.com/office/drawing/2014/chart" uri="{C3380CC4-5D6E-409C-BE32-E72D297353CC}">
              <c16:uniqueId val="{00000006-0AA4-481A-AB1B-8D7BCEE93AF7}"/>
            </c:ext>
          </c:extLst>
        </c:ser>
        <c:dLbls>
          <c:showLegendKey val="0"/>
          <c:showVal val="0"/>
          <c:showCatName val="0"/>
          <c:showSerName val="0"/>
          <c:showPercent val="0"/>
          <c:showBubbleSize val="0"/>
        </c:dLbls>
        <c:marker val="1"/>
        <c:smooth val="0"/>
        <c:axId val="347695360"/>
        <c:axId val="347697536"/>
      </c:lineChart>
      <c:catAx>
        <c:axId val="347695360"/>
        <c:scaling>
          <c:orientation val="minMax"/>
        </c:scaling>
        <c:delete val="0"/>
        <c:axPos val="b"/>
        <c:numFmt formatCode="General" sourceLinked="1"/>
        <c:majorTickMark val="none"/>
        <c:minorTickMark val="none"/>
        <c:tickLblPos val="low"/>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7697536"/>
        <c:crosses val="autoZero"/>
        <c:auto val="1"/>
        <c:lblAlgn val="ctr"/>
        <c:lblOffset val="100"/>
        <c:noMultiLvlLbl val="0"/>
      </c:catAx>
      <c:valAx>
        <c:axId val="347697536"/>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47695360"/>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235197988129122"/>
          <c:y val="0.18021083998163598"/>
          <c:w val="0.34414221460698219"/>
          <c:h val="0.81679270289233652"/>
        </c:manualLayout>
      </c:layout>
      <c:overlay val="0"/>
      <c:spPr>
        <a:noFill/>
        <a:ln w="25384">
          <a:noFill/>
        </a:ln>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'[FANCHART.xlsx]Budget 2023'!$B$3</c:f>
              <c:strCache>
                <c:ptCount val="1"/>
              </c:strCache>
            </c:strRef>
          </c:tx>
          <c:spPr>
            <a:no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2023'!$B$4:$B$91</c:f>
              <c:numCache>
                <c:formatCode>General</c:formatCode>
                <c:ptCount val="9"/>
                <c:pt idx="0">
                  <c:v>8.6471304773412214</c:v>
                </c:pt>
                <c:pt idx="1">
                  <c:v>16.389092714898766</c:v>
                </c:pt>
                <c:pt idx="2">
                  <c:v>-5.402548022928471</c:v>
                </c:pt>
                <c:pt idx="3">
                  <c:v>14.560636925162981</c:v>
                </c:pt>
                <c:pt idx="4">
                  <c:v>16.944190799661762</c:v>
                </c:pt>
                <c:pt idx="5">
                  <c:v>13.590575709249087</c:v>
                </c:pt>
                <c:pt idx="6">
                  <c:v>11.297069409813201</c:v>
                </c:pt>
                <c:pt idx="7">
                  <c:v>10.610578339529372</c:v>
                </c:pt>
                <c:pt idx="8">
                  <c:v>9.4437517478051198</c:v>
                </c:pt>
              </c:numCache>
            </c:numRef>
          </c:val>
          <c:extLst>
            <c:ext xmlns:c16="http://schemas.microsoft.com/office/drawing/2014/chart" uri="{C3380CC4-5D6E-409C-BE32-E72D297353CC}">
              <c16:uniqueId val="{00000000-60AA-4DAF-9AA1-C11B1A796E16}"/>
            </c:ext>
          </c:extLst>
        </c:ser>
        <c:ser>
          <c:idx val="1"/>
          <c:order val="1"/>
          <c:tx>
            <c:strRef>
              <c:f>'[FANCHART.xlsx]Budget 2023'!$C$3</c:f>
              <c:strCache>
                <c:ptCount val="1"/>
              </c:strCache>
            </c:strRef>
          </c:tx>
          <c:spPr>
            <a:solidFill>
              <a:srgbClr val="FF0000">
                <a:alpha val="2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2023'!$C$4:$C$91</c:f>
              <c:numCache>
                <c:formatCode>General</c:formatCode>
                <c:ptCount val="9"/>
                <c:pt idx="4">
                  <c:v>0.8937374070251991</c:v>
                </c:pt>
                <c:pt idx="5">
                  <c:v>1.1126151711837746</c:v>
                </c:pt>
                <c:pt idx="6">
                  <c:v>1.1475809452702173</c:v>
                </c:pt>
                <c:pt idx="7">
                  <c:v>1.1669637082217772</c:v>
                </c:pt>
                <c:pt idx="8">
                  <c:v>1.1778645144327946</c:v>
                </c:pt>
              </c:numCache>
            </c:numRef>
          </c:val>
          <c:extLst>
            <c:ext xmlns:c16="http://schemas.microsoft.com/office/drawing/2014/chart" uri="{C3380CC4-5D6E-409C-BE32-E72D297353CC}">
              <c16:uniqueId val="{00000001-60AA-4DAF-9AA1-C11B1A796E16}"/>
            </c:ext>
          </c:extLst>
        </c:ser>
        <c:ser>
          <c:idx val="2"/>
          <c:order val="2"/>
          <c:tx>
            <c:strRef>
              <c:f>'[FANCHART.xlsx]Budget 2023'!$D$3</c:f>
              <c:strCache>
                <c:ptCount val="1"/>
              </c:strCache>
            </c:strRef>
          </c:tx>
          <c:spPr>
            <a:solidFill>
              <a:srgbClr val="FF0000">
                <a:alpha val="3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2023'!$D$4:$D$91</c:f>
              <c:numCache>
                <c:formatCode>General</c:formatCode>
                <c:ptCount val="9"/>
                <c:pt idx="4">
                  <c:v>0.6030003854920416</c:v>
                </c:pt>
                <c:pt idx="5">
                  <c:v>0.7506761738453207</c:v>
                </c:pt>
                <c:pt idx="6">
                  <c:v>0.77426741562105938</c:v>
                </c:pt>
                <c:pt idx="7">
                  <c:v>0.78734487376460294</c:v>
                </c:pt>
                <c:pt idx="8">
                  <c:v>0.79469959596348261</c:v>
                </c:pt>
              </c:numCache>
            </c:numRef>
          </c:val>
          <c:extLst>
            <c:ext xmlns:c16="http://schemas.microsoft.com/office/drawing/2014/chart" uri="{C3380CC4-5D6E-409C-BE32-E72D297353CC}">
              <c16:uniqueId val="{00000002-60AA-4DAF-9AA1-C11B1A796E16}"/>
            </c:ext>
          </c:extLst>
        </c:ser>
        <c:ser>
          <c:idx val="3"/>
          <c:order val="3"/>
          <c:tx>
            <c:strRef>
              <c:f>'[FANCHART.xlsx]Budget 2023'!$E$3</c:f>
              <c:strCache>
                <c:ptCount val="1"/>
              </c:strCache>
            </c:strRef>
          </c:tx>
          <c:spPr>
            <a:solidFill>
              <a:srgbClr val="FF0000">
                <a:alpha val="4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2023'!$E$4:$E$91</c:f>
              <c:numCache>
                <c:formatCode>General</c:formatCode>
                <c:ptCount val="9"/>
                <c:pt idx="4">
                  <c:v>0.47924559088785301</c:v>
                </c:pt>
                <c:pt idx="5">
                  <c:v>0.59661362605327817</c:v>
                </c:pt>
                <c:pt idx="6">
                  <c:v>0.61536319715905208</c:v>
                </c:pt>
                <c:pt idx="7">
                  <c:v>0.62575674632768141</c:v>
                </c:pt>
                <c:pt idx="8">
                  <c:v>0.63160204638191253</c:v>
                </c:pt>
              </c:numCache>
            </c:numRef>
          </c:val>
          <c:extLst>
            <c:ext xmlns:c16="http://schemas.microsoft.com/office/drawing/2014/chart" uri="{C3380CC4-5D6E-409C-BE32-E72D297353CC}">
              <c16:uniqueId val="{00000003-60AA-4DAF-9AA1-C11B1A796E16}"/>
            </c:ext>
          </c:extLst>
        </c:ser>
        <c:ser>
          <c:idx val="4"/>
          <c:order val="4"/>
          <c:tx>
            <c:strRef>
              <c:f>'[FANCHART.xlsx]Budget 2023'!$F$3</c:f>
              <c:strCache>
                <c:ptCount val="1"/>
              </c:strCache>
            </c:strRef>
          </c:tx>
          <c:spPr>
            <a:solidFill>
              <a:srgbClr val="FF0000">
                <a:alpha val="5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2023'!$F$4:$F$91</c:f>
              <c:numCache>
                <c:formatCode>General</c:formatCode>
                <c:ptCount val="9"/>
                <c:pt idx="4">
                  <c:v>0.41115004414522005</c:v>
                </c:pt>
                <c:pt idx="5">
                  <c:v>0.51184136766914534</c:v>
                </c:pt>
                <c:pt idx="6">
                  <c:v>0.52792683018443043</c:v>
                </c:pt>
                <c:pt idx="7">
                  <c:v>0.53684356991194804</c:v>
                </c:pt>
                <c:pt idx="8">
                  <c:v>0.54185831688309349</c:v>
                </c:pt>
              </c:numCache>
            </c:numRef>
          </c:val>
          <c:extLst>
            <c:ext xmlns:c16="http://schemas.microsoft.com/office/drawing/2014/chart" uri="{C3380CC4-5D6E-409C-BE32-E72D297353CC}">
              <c16:uniqueId val="{00000004-60AA-4DAF-9AA1-C11B1A796E16}"/>
            </c:ext>
          </c:extLst>
        </c:ser>
        <c:ser>
          <c:idx val="5"/>
          <c:order val="5"/>
          <c:tx>
            <c:strRef>
              <c:f>'[FANCHART.xlsx]Budget 2023'!$G$3</c:f>
              <c:strCache>
                <c:ptCount val="1"/>
              </c:strCache>
            </c:strRef>
          </c:tx>
          <c:spPr>
            <a:solidFill>
              <a:srgbClr val="FF0000">
                <a:alpha val="6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2023'!$G$4:$G$91</c:f>
              <c:numCache>
                <c:formatCode>General</c:formatCode>
                <c:ptCount val="9"/>
                <c:pt idx="4">
                  <c:v>0.36922544676872349</c:v>
                </c:pt>
                <c:pt idx="5">
                  <c:v>0.4596493672893871</c:v>
                </c:pt>
                <c:pt idx="6">
                  <c:v>0.47409460977023343</c:v>
                </c:pt>
                <c:pt idx="7">
                  <c:v>0.48210211762897082</c:v>
                </c:pt>
                <c:pt idx="8">
                  <c:v>0.48660551539632912</c:v>
                </c:pt>
              </c:numCache>
            </c:numRef>
          </c:val>
          <c:extLst>
            <c:ext xmlns:c16="http://schemas.microsoft.com/office/drawing/2014/chart" uri="{C3380CC4-5D6E-409C-BE32-E72D297353CC}">
              <c16:uniqueId val="{00000005-60AA-4DAF-9AA1-C11B1A796E16}"/>
            </c:ext>
          </c:extLst>
        </c:ser>
        <c:ser>
          <c:idx val="6"/>
          <c:order val="6"/>
          <c:tx>
            <c:strRef>
              <c:f>'[FANCHART.xlsx]Budget 2023'!$H$3</c:f>
              <c:strCache>
                <c:ptCount val="1"/>
              </c:strCache>
            </c:strRef>
          </c:tx>
          <c:spPr>
            <a:solidFill>
              <a:srgbClr val="FF0000">
                <a:alpha val="7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2023'!$H$4:$H$91</c:f>
              <c:numCache>
                <c:formatCode>General</c:formatCode>
                <c:ptCount val="9"/>
                <c:pt idx="4">
                  <c:v>0.34214240202265245</c:v>
                </c:pt>
                <c:pt idx="5">
                  <c:v>0.42593364024309466</c:v>
                </c:pt>
                <c:pt idx="6">
                  <c:v>0.43931931017307413</c:v>
                </c:pt>
                <c:pt idx="7">
                  <c:v>0.44673945956142092</c:v>
                </c:pt>
                <c:pt idx="8">
                  <c:v>0.45091252873331022</c:v>
                </c:pt>
              </c:numCache>
            </c:numRef>
          </c:val>
          <c:extLst>
            <c:ext xmlns:c16="http://schemas.microsoft.com/office/drawing/2014/chart" uri="{C3380CC4-5D6E-409C-BE32-E72D297353CC}">
              <c16:uniqueId val="{00000006-60AA-4DAF-9AA1-C11B1A796E16}"/>
            </c:ext>
          </c:extLst>
        </c:ser>
        <c:ser>
          <c:idx val="7"/>
          <c:order val="7"/>
          <c:tx>
            <c:strRef>
              <c:f>'[FANCHART.xlsx]Budget 2023'!$I$3</c:f>
              <c:strCache>
                <c:ptCount val="1"/>
              </c:strCache>
            </c:strRef>
          </c:tx>
          <c:spPr>
            <a:solidFill>
              <a:srgbClr val="FF0000">
                <a:alpha val="8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2023'!$I$4:$I$91</c:f>
              <c:numCache>
                <c:formatCode>General</c:formatCode>
                <c:ptCount val="9"/>
                <c:pt idx="4">
                  <c:v>0.32465968134105694</c:v>
                </c:pt>
                <c:pt idx="5">
                  <c:v>0.40416937244919993</c:v>
                </c:pt>
                <c:pt idx="6">
                  <c:v>0.41687106422523712</c:v>
                </c:pt>
                <c:pt idx="7">
                  <c:v>0.42391206037678941</c:v>
                </c:pt>
                <c:pt idx="8">
                  <c:v>0.42787189493559019</c:v>
                </c:pt>
              </c:numCache>
            </c:numRef>
          </c:val>
          <c:extLst>
            <c:ext xmlns:c16="http://schemas.microsoft.com/office/drawing/2014/chart" uri="{C3380CC4-5D6E-409C-BE32-E72D297353CC}">
              <c16:uniqueId val="{00000007-60AA-4DAF-9AA1-C11B1A796E16}"/>
            </c:ext>
          </c:extLst>
        </c:ser>
        <c:ser>
          <c:idx val="8"/>
          <c:order val="8"/>
          <c:tx>
            <c:strRef>
              <c:f>'[FANCHART.xlsx]Budget 2023'!$J$3</c:f>
              <c:strCache>
                <c:ptCount val="1"/>
              </c:strCache>
            </c:strRef>
          </c:tx>
          <c:spPr>
            <a:solidFill>
              <a:srgbClr val="FF0000">
                <a:alpha val="9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2023'!$J$4:$J$91</c:f>
              <c:numCache>
                <c:formatCode>General</c:formatCode>
                <c:ptCount val="9"/>
                <c:pt idx="4">
                  <c:v>0.31411199895335429</c:v>
                </c:pt>
                <c:pt idx="5">
                  <c:v>0.39103854525864179</c:v>
                </c:pt>
                <c:pt idx="6">
                  <c:v>0.40332757904743843</c:v>
                </c:pt>
                <c:pt idx="7">
                  <c:v>0.41013982430885143</c:v>
                </c:pt>
                <c:pt idx="8">
                  <c:v>0.41397101007127901</c:v>
                </c:pt>
              </c:numCache>
            </c:numRef>
          </c:val>
          <c:extLst>
            <c:ext xmlns:c16="http://schemas.microsoft.com/office/drawing/2014/chart" uri="{C3380CC4-5D6E-409C-BE32-E72D297353CC}">
              <c16:uniqueId val="{00000008-60AA-4DAF-9AA1-C11B1A796E16}"/>
            </c:ext>
          </c:extLst>
        </c:ser>
        <c:ser>
          <c:idx val="9"/>
          <c:order val="9"/>
          <c:tx>
            <c:strRef>
              <c:f>'[FANCHART.xlsx]Budget 2023'!$K$3</c:f>
              <c:strCache>
                <c:ptCount val="1"/>
              </c:strCache>
            </c:strRef>
          </c:tx>
          <c:spPr>
            <a:solidFill>
              <a:srgbClr val="FF0000"/>
            </a:solidFill>
            <a:ln>
              <a:solidFill>
                <a:srgbClr val="FF0000"/>
              </a:solidFill>
              <a:prstDash val="solid"/>
            </a:ln>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2023'!$K$4:$K$91</c:f>
              <c:numCache>
                <c:formatCode>General</c:formatCode>
                <c:ptCount val="9"/>
                <c:pt idx="4">
                  <c:v>0.52349612061978945</c:v>
                </c:pt>
                <c:pt idx="5">
                  <c:v>0.60888837806041707</c:v>
                </c:pt>
                <c:pt idx="6">
                  <c:v>0.63307676966225657</c:v>
                </c:pt>
                <c:pt idx="7">
                  <c:v>0.64648524903522464</c:v>
                </c:pt>
                <c:pt idx="8">
                  <c:v>0.65402613655443176</c:v>
                </c:pt>
              </c:numCache>
            </c:numRef>
          </c:val>
          <c:extLst>
            <c:ext xmlns:c16="http://schemas.microsoft.com/office/drawing/2014/chart" uri="{C3380CC4-5D6E-409C-BE32-E72D297353CC}">
              <c16:uniqueId val="{00000009-60AA-4DAF-9AA1-C11B1A796E16}"/>
            </c:ext>
          </c:extLst>
        </c:ser>
        <c:ser>
          <c:idx val="10"/>
          <c:order val="10"/>
          <c:tx>
            <c:strRef>
              <c:f>'[FANCHART.xlsx]Budget 2023'!$L$3</c:f>
              <c:strCache>
                <c:ptCount val="1"/>
              </c:strCache>
            </c:strRef>
          </c:tx>
          <c:spPr>
            <a:solidFill>
              <a:srgbClr val="FF0000">
                <a:alpha val="9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2023'!$L$4:$L$91</c:f>
              <c:numCache>
                <c:formatCode>General</c:formatCode>
                <c:ptCount val="9"/>
                <c:pt idx="4">
                  <c:v>0.21781766553172943</c:v>
                </c:pt>
                <c:pt idx="5">
                  <c:v>0.22765904941900672</c:v>
                </c:pt>
                <c:pt idx="6">
                  <c:v>0.23994808320780336</c:v>
                </c:pt>
                <c:pt idx="7">
                  <c:v>0.24676032846921458</c:v>
                </c:pt>
                <c:pt idx="8">
                  <c:v>0.25059151423164572</c:v>
                </c:pt>
              </c:numCache>
            </c:numRef>
          </c:val>
          <c:extLst>
            <c:ext xmlns:c16="http://schemas.microsoft.com/office/drawing/2014/chart" uri="{C3380CC4-5D6E-409C-BE32-E72D297353CC}">
              <c16:uniqueId val="{0000000A-60AA-4DAF-9AA1-C11B1A796E16}"/>
            </c:ext>
          </c:extLst>
        </c:ser>
        <c:ser>
          <c:idx val="11"/>
          <c:order val="11"/>
          <c:tx>
            <c:strRef>
              <c:f>'[FANCHART.xlsx]Budget 2023'!$M$3</c:f>
              <c:strCache>
                <c:ptCount val="1"/>
              </c:strCache>
            </c:strRef>
          </c:tx>
          <c:spPr>
            <a:solidFill>
              <a:srgbClr val="FF0000">
                <a:alpha val="8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2023'!$M$4:$M$91</c:f>
              <c:numCache>
                <c:formatCode>General</c:formatCode>
                <c:ptCount val="9"/>
                <c:pt idx="4">
                  <c:v>0.22513184506678385</c:v>
                </c:pt>
                <c:pt idx="5">
                  <c:v>0.23530369640466731</c:v>
                </c:pt>
                <c:pt idx="6">
                  <c:v>0.24800538818070095</c:v>
                </c:pt>
                <c:pt idx="7">
                  <c:v>0.25504638433225324</c:v>
                </c:pt>
                <c:pt idx="8">
                  <c:v>0.25900621889105224</c:v>
                </c:pt>
              </c:numCache>
            </c:numRef>
          </c:val>
          <c:extLst>
            <c:ext xmlns:c16="http://schemas.microsoft.com/office/drawing/2014/chart" uri="{C3380CC4-5D6E-409C-BE32-E72D297353CC}">
              <c16:uniqueId val="{0000000B-60AA-4DAF-9AA1-C11B1A796E16}"/>
            </c:ext>
          </c:extLst>
        </c:ser>
        <c:ser>
          <c:idx val="12"/>
          <c:order val="12"/>
          <c:tx>
            <c:strRef>
              <c:f>'[FANCHART.xlsx]Budget 2023'!$N$3</c:f>
              <c:strCache>
                <c:ptCount val="1"/>
              </c:strCache>
            </c:strRef>
          </c:tx>
          <c:spPr>
            <a:solidFill>
              <a:srgbClr val="FF0000">
                <a:alpha val="7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2023'!$N$4:$N$91</c:f>
              <c:numCache>
                <c:formatCode>General</c:formatCode>
                <c:ptCount val="9"/>
                <c:pt idx="4">
                  <c:v>0.23725505404541991</c:v>
                </c:pt>
                <c:pt idx="5">
                  <c:v>0.24797465321272227</c:v>
                </c:pt>
                <c:pt idx="6">
                  <c:v>0.26136032314270707</c:v>
                </c:pt>
                <c:pt idx="7">
                  <c:v>0.26878047253105564</c:v>
                </c:pt>
                <c:pt idx="8">
                  <c:v>0.27295354170294495</c:v>
                </c:pt>
              </c:numCache>
            </c:numRef>
          </c:val>
          <c:extLst>
            <c:ext xmlns:c16="http://schemas.microsoft.com/office/drawing/2014/chart" uri="{C3380CC4-5D6E-409C-BE32-E72D297353CC}">
              <c16:uniqueId val="{0000000C-60AA-4DAF-9AA1-C11B1A796E16}"/>
            </c:ext>
          </c:extLst>
        </c:ser>
        <c:ser>
          <c:idx val="13"/>
          <c:order val="13"/>
          <c:tx>
            <c:strRef>
              <c:f>'[FANCHART.xlsx]Budget 2023'!$O$3</c:f>
              <c:strCache>
                <c:ptCount val="1"/>
              </c:strCache>
            </c:strRef>
          </c:tx>
          <c:spPr>
            <a:solidFill>
              <a:srgbClr val="FF0000">
                <a:alpha val="6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2023'!$O$4:$O$91</c:f>
              <c:numCache>
                <c:formatCode>General</c:formatCode>
                <c:ptCount val="9"/>
                <c:pt idx="4">
                  <c:v>0.25603550688306242</c:v>
                </c:pt>
                <c:pt idx="5">
                  <c:v>0.26760363982516466</c:v>
                </c:pt>
                <c:pt idx="6">
                  <c:v>0.282048882306011</c:v>
                </c:pt>
                <c:pt idx="7">
                  <c:v>0.2900563901647466</c:v>
                </c:pt>
                <c:pt idx="8">
                  <c:v>0.29455978793210491</c:v>
                </c:pt>
              </c:numCache>
            </c:numRef>
          </c:val>
          <c:extLst>
            <c:ext xmlns:c16="http://schemas.microsoft.com/office/drawing/2014/chart" uri="{C3380CC4-5D6E-409C-BE32-E72D297353CC}">
              <c16:uniqueId val="{0000000D-60AA-4DAF-9AA1-C11B1A796E16}"/>
            </c:ext>
          </c:extLst>
        </c:ser>
        <c:ser>
          <c:idx val="14"/>
          <c:order val="14"/>
          <c:tx>
            <c:strRef>
              <c:f>'[FANCHART.xlsx]Budget 2023'!$P$3</c:f>
              <c:strCache>
                <c:ptCount val="1"/>
              </c:strCache>
            </c:strRef>
          </c:tx>
          <c:spPr>
            <a:solidFill>
              <a:srgbClr val="FF0000">
                <a:alpha val="5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2023'!$P$4:$P$91</c:f>
              <c:numCache>
                <c:formatCode>General</c:formatCode>
                <c:ptCount val="9"/>
                <c:pt idx="4">
                  <c:v>0.28510767846305285</c:v>
                </c:pt>
                <c:pt idx="5">
                  <c:v>0.29798934307054026</c:v>
                </c:pt>
                <c:pt idx="6">
                  <c:v>0.31407480558582535</c:v>
                </c:pt>
                <c:pt idx="7">
                  <c:v>0.32299154531334651</c:v>
                </c:pt>
                <c:pt idx="8">
                  <c:v>0.32800629228449196</c:v>
                </c:pt>
              </c:numCache>
            </c:numRef>
          </c:val>
          <c:extLst>
            <c:ext xmlns:c16="http://schemas.microsoft.com/office/drawing/2014/chart" uri="{C3380CC4-5D6E-409C-BE32-E72D297353CC}">
              <c16:uniqueId val="{0000000E-60AA-4DAF-9AA1-C11B1A796E16}"/>
            </c:ext>
          </c:extLst>
        </c:ser>
        <c:ser>
          <c:idx val="15"/>
          <c:order val="15"/>
          <c:tx>
            <c:strRef>
              <c:f>'[FANCHART.xlsx]Budget 2023'!$Q$3</c:f>
              <c:strCache>
                <c:ptCount val="1"/>
              </c:strCache>
            </c:strRef>
          </c:tx>
          <c:spPr>
            <a:solidFill>
              <a:srgbClr val="FF0000">
                <a:alpha val="4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2023'!$Q$4:$Q$91</c:f>
              <c:numCache>
                <c:formatCode>General</c:formatCode>
                <c:ptCount val="9"/>
                <c:pt idx="4">
                  <c:v>0.33232781992218108</c:v>
                </c:pt>
                <c:pt idx="5">
                  <c:v>0.34734297328126473</c:v>
                </c:pt>
                <c:pt idx="6">
                  <c:v>0.36609254438703687</c:v>
                </c:pt>
                <c:pt idx="7">
                  <c:v>0.37648609355566265</c:v>
                </c:pt>
                <c:pt idx="8">
                  <c:v>0.38233139360989554</c:v>
                </c:pt>
              </c:numCache>
            </c:numRef>
          </c:val>
          <c:extLst>
            <c:ext xmlns:c16="http://schemas.microsoft.com/office/drawing/2014/chart" uri="{C3380CC4-5D6E-409C-BE32-E72D297353CC}">
              <c16:uniqueId val="{0000000F-60AA-4DAF-9AA1-C11B1A796E16}"/>
            </c:ext>
          </c:extLst>
        </c:ser>
        <c:ser>
          <c:idx val="16"/>
          <c:order val="16"/>
          <c:tx>
            <c:strRef>
              <c:f>'[FANCHART.xlsx]Budget 2023'!$R$3</c:f>
              <c:strCache>
                <c:ptCount val="1"/>
              </c:strCache>
            </c:strRef>
          </c:tx>
          <c:spPr>
            <a:solidFill>
              <a:srgbClr val="FF0000">
                <a:alpha val="3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2023'!$R$4:$R$91</c:f>
              <c:numCache>
                <c:formatCode>General</c:formatCode>
                <c:ptCount val="9"/>
                <c:pt idx="4">
                  <c:v>0.41814428204035181</c:v>
                </c:pt>
                <c:pt idx="5">
                  <c:v>0.4370367735643228</c:v>
                </c:pt>
                <c:pt idx="6">
                  <c:v>0.4606280153400597</c:v>
                </c:pt>
                <c:pt idx="7">
                  <c:v>0.47370547348360503</c:v>
                </c:pt>
                <c:pt idx="8">
                  <c:v>0.4810601956824847</c:v>
                </c:pt>
              </c:numCache>
            </c:numRef>
          </c:val>
          <c:extLst>
            <c:ext xmlns:c16="http://schemas.microsoft.com/office/drawing/2014/chart" uri="{C3380CC4-5D6E-409C-BE32-E72D297353CC}">
              <c16:uniqueId val="{00000010-60AA-4DAF-9AA1-C11B1A796E16}"/>
            </c:ext>
          </c:extLst>
        </c:ser>
        <c:ser>
          <c:idx val="17"/>
          <c:order val="17"/>
          <c:tx>
            <c:strRef>
              <c:f>'[FANCHART.xlsx]Budget 2023'!$S$3</c:f>
              <c:strCache>
                <c:ptCount val="1"/>
              </c:strCache>
            </c:strRef>
          </c:tx>
          <c:spPr>
            <a:solidFill>
              <a:srgbClr val="FF0000">
                <a:alpha val="20000"/>
              </a:srgbClr>
            </a:solidFill>
          </c:spPr>
          <c:cat>
            <c:strRef>
              <c:f>'[FANCHART.xlsx]Budget 2023'!$A$4:$A$91</c:f>
              <c:strCache>
                <c:ptCount val="9"/>
                <c:pt idx="0">
                  <c:v>2018</c:v>
                </c:pt>
                <c:pt idx="1">
                  <c:v>2019</c:v>
                </c:pt>
                <c:pt idx="2">
                  <c:v>2020</c:v>
                </c:pt>
                <c:pt idx="3">
                  <c:v>2021</c:v>
                </c:pt>
                <c:pt idx="4">
                  <c:v>2022</c:v>
                </c:pt>
                <c:pt idx="5">
                  <c:v>2023/1*</c:v>
                </c:pt>
                <c:pt idx="6">
                  <c:v>2023/2*</c:v>
                </c:pt>
                <c:pt idx="7">
                  <c:v>2023/3*</c:v>
                </c:pt>
                <c:pt idx="8">
                  <c:v>2023/4*</c:v>
                </c:pt>
              </c:strCache>
            </c:strRef>
          </c:cat>
          <c:val>
            <c:numRef>
              <c:f>'[FANCHART.xlsx]Budget 2023'!$S$4:$S$91</c:f>
              <c:numCache>
                <c:formatCode>General</c:formatCode>
                <c:ptCount val="9"/>
                <c:pt idx="4">
                  <c:v>0.61975281506364865</c:v>
                </c:pt>
                <c:pt idx="5">
                  <c:v>0.64775433345919353</c:v>
                </c:pt>
                <c:pt idx="6">
                  <c:v>0.68272010754563794</c:v>
                </c:pt>
                <c:pt idx="7">
                  <c:v>0.70210287049719966</c:v>
                </c:pt>
                <c:pt idx="8">
                  <c:v>0.71300367670821529</c:v>
                </c:pt>
              </c:numCache>
            </c:numRef>
          </c:val>
          <c:extLst>
            <c:ext xmlns:c16="http://schemas.microsoft.com/office/drawing/2014/chart" uri="{C3380CC4-5D6E-409C-BE32-E72D297353CC}">
              <c16:uniqueId val="{00000011-60AA-4DAF-9AA1-C11B1A796E16}"/>
            </c:ext>
          </c:extLst>
        </c:ser>
        <c:dLbls>
          <c:showLegendKey val="0"/>
          <c:showVal val="0"/>
          <c:showCatName val="0"/>
          <c:showSerName val="0"/>
          <c:showPercent val="0"/>
          <c:showBubbleSize val="0"/>
        </c:dLbls>
        <c:axId val="363031552"/>
        <c:axId val="363057920"/>
      </c:areaChart>
      <c:catAx>
        <c:axId val="363031552"/>
        <c:scaling>
          <c:orientation val="minMax"/>
        </c:scaling>
        <c:delete val="0"/>
        <c:axPos val="b"/>
        <c:numFmt formatCode="General" sourceLinked="1"/>
        <c:majorTickMark val="out"/>
        <c:minorTickMark val="none"/>
        <c:tickLblPos val="nextTo"/>
        <c:crossAx val="363057920"/>
        <c:crosses val="autoZero"/>
        <c:auto val="1"/>
        <c:lblAlgn val="ctr"/>
        <c:lblOffset val="100"/>
        <c:noMultiLvlLbl val="0"/>
      </c:catAx>
      <c:valAx>
        <c:axId val="363057920"/>
        <c:scaling>
          <c:orientation val="minMax"/>
        </c:scaling>
        <c:delete val="0"/>
        <c:axPos val="l"/>
        <c:majorGridlines/>
        <c:numFmt formatCode="General" sourceLinked="1"/>
        <c:majorTickMark val="out"/>
        <c:minorTickMark val="none"/>
        <c:tickLblPos val="nextTo"/>
        <c:crossAx val="363031552"/>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891E-2"/>
          <c:w val="0.78348499218615164"/>
          <c:h val="0.60569828630873002"/>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Sheet1!$A$2:$A$639</c:f>
              <c:numCache>
                <c:formatCode>d\-mmm\-yy</c:formatCode>
                <c:ptCount val="638"/>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pt idx="565">
                  <c:v>44725</c:v>
                </c:pt>
                <c:pt idx="566">
                  <c:v>44726</c:v>
                </c:pt>
                <c:pt idx="567">
                  <c:v>44727</c:v>
                </c:pt>
                <c:pt idx="568">
                  <c:v>44728</c:v>
                </c:pt>
                <c:pt idx="569">
                  <c:v>44729</c:v>
                </c:pt>
                <c:pt idx="570">
                  <c:v>44733</c:v>
                </c:pt>
                <c:pt idx="571">
                  <c:v>44734</c:v>
                </c:pt>
                <c:pt idx="572">
                  <c:v>44735</c:v>
                </c:pt>
                <c:pt idx="573">
                  <c:v>44736</c:v>
                </c:pt>
                <c:pt idx="574">
                  <c:v>44739</c:v>
                </c:pt>
                <c:pt idx="575">
                  <c:v>44740</c:v>
                </c:pt>
                <c:pt idx="576">
                  <c:v>44741</c:v>
                </c:pt>
                <c:pt idx="577">
                  <c:v>44742</c:v>
                </c:pt>
                <c:pt idx="578">
                  <c:v>44743</c:v>
                </c:pt>
                <c:pt idx="579">
                  <c:v>44747</c:v>
                </c:pt>
                <c:pt idx="580">
                  <c:v>44748</c:v>
                </c:pt>
                <c:pt idx="581">
                  <c:v>44749</c:v>
                </c:pt>
                <c:pt idx="582">
                  <c:v>44750</c:v>
                </c:pt>
                <c:pt idx="583">
                  <c:v>44753</c:v>
                </c:pt>
                <c:pt idx="584">
                  <c:v>44754</c:v>
                </c:pt>
                <c:pt idx="585">
                  <c:v>44755</c:v>
                </c:pt>
                <c:pt idx="586">
                  <c:v>44756</c:v>
                </c:pt>
                <c:pt idx="587">
                  <c:v>44757</c:v>
                </c:pt>
                <c:pt idx="588">
                  <c:v>44760</c:v>
                </c:pt>
                <c:pt idx="589">
                  <c:v>44761</c:v>
                </c:pt>
                <c:pt idx="590">
                  <c:v>44762</c:v>
                </c:pt>
                <c:pt idx="591">
                  <c:v>44763</c:v>
                </c:pt>
                <c:pt idx="592">
                  <c:v>44764</c:v>
                </c:pt>
                <c:pt idx="593">
                  <c:v>44767</c:v>
                </c:pt>
                <c:pt idx="594">
                  <c:v>44768</c:v>
                </c:pt>
                <c:pt idx="595">
                  <c:v>44769</c:v>
                </c:pt>
                <c:pt idx="596">
                  <c:v>44770</c:v>
                </c:pt>
                <c:pt idx="597">
                  <c:v>44771</c:v>
                </c:pt>
                <c:pt idx="598">
                  <c:v>44774</c:v>
                </c:pt>
                <c:pt idx="599">
                  <c:v>44775</c:v>
                </c:pt>
                <c:pt idx="600">
                  <c:v>44776</c:v>
                </c:pt>
                <c:pt idx="601">
                  <c:v>44777</c:v>
                </c:pt>
                <c:pt idx="602">
                  <c:v>44778</c:v>
                </c:pt>
                <c:pt idx="603">
                  <c:v>44781</c:v>
                </c:pt>
                <c:pt idx="604">
                  <c:v>44782</c:v>
                </c:pt>
                <c:pt idx="605">
                  <c:v>44783</c:v>
                </c:pt>
                <c:pt idx="606">
                  <c:v>44784</c:v>
                </c:pt>
                <c:pt idx="607">
                  <c:v>44785</c:v>
                </c:pt>
                <c:pt idx="608">
                  <c:v>44788</c:v>
                </c:pt>
                <c:pt idx="609">
                  <c:v>44789</c:v>
                </c:pt>
                <c:pt idx="610">
                  <c:v>44790</c:v>
                </c:pt>
                <c:pt idx="611">
                  <c:v>44791</c:v>
                </c:pt>
                <c:pt idx="612">
                  <c:v>44792</c:v>
                </c:pt>
                <c:pt idx="613">
                  <c:v>44795</c:v>
                </c:pt>
                <c:pt idx="614">
                  <c:v>44796</c:v>
                </c:pt>
                <c:pt idx="615">
                  <c:v>44797</c:v>
                </c:pt>
                <c:pt idx="616">
                  <c:v>44798</c:v>
                </c:pt>
                <c:pt idx="617">
                  <c:v>44799</c:v>
                </c:pt>
                <c:pt idx="618">
                  <c:v>44802</c:v>
                </c:pt>
                <c:pt idx="619">
                  <c:v>44803</c:v>
                </c:pt>
                <c:pt idx="620">
                  <c:v>44804</c:v>
                </c:pt>
                <c:pt idx="621">
                  <c:v>44805</c:v>
                </c:pt>
                <c:pt idx="622">
                  <c:v>44806</c:v>
                </c:pt>
                <c:pt idx="623">
                  <c:v>44810</c:v>
                </c:pt>
                <c:pt idx="624">
                  <c:v>44811</c:v>
                </c:pt>
                <c:pt idx="625">
                  <c:v>44812</c:v>
                </c:pt>
                <c:pt idx="626">
                  <c:v>44813</c:v>
                </c:pt>
                <c:pt idx="627">
                  <c:v>44816</c:v>
                </c:pt>
                <c:pt idx="628">
                  <c:v>44817</c:v>
                </c:pt>
                <c:pt idx="629">
                  <c:v>44818</c:v>
                </c:pt>
                <c:pt idx="630">
                  <c:v>44819</c:v>
                </c:pt>
                <c:pt idx="631">
                  <c:v>44820</c:v>
                </c:pt>
                <c:pt idx="632">
                  <c:v>44823</c:v>
                </c:pt>
                <c:pt idx="633">
                  <c:v>44824</c:v>
                </c:pt>
                <c:pt idx="634">
                  <c:v>44825</c:v>
                </c:pt>
                <c:pt idx="635">
                  <c:v>44826</c:v>
                </c:pt>
                <c:pt idx="636">
                  <c:v>44827</c:v>
                </c:pt>
                <c:pt idx="637">
                  <c:v>44830</c:v>
                </c:pt>
              </c:numCache>
            </c:numRef>
          </c:cat>
          <c:val>
            <c:numRef>
              <c:f>Sheet1!$B$2:$B$639</c:f>
              <c:numCache>
                <c:formatCode>0</c:formatCode>
                <c:ptCount val="638"/>
                <c:pt idx="0">
                  <c:v>100</c:v>
                </c:pt>
                <c:pt idx="1">
                  <c:v>100.20854639772293</c:v>
                </c:pt>
                <c:pt idx="2">
                  <c:v>100.87546360757543</c:v>
                </c:pt>
                <c:pt idx="3">
                  <c:v>100.58744162549131</c:v>
                </c:pt>
                <c:pt idx="4">
                  <c:v>101.28916790911441</c:v>
                </c:pt>
                <c:pt idx="5">
                  <c:v>101.1357615486033</c:v>
                </c:pt>
                <c:pt idx="6">
                  <c:v>101.32490111758686</c:v>
                </c:pt>
                <c:pt idx="7">
                  <c:v>102.17264068410609</c:v>
                </c:pt>
                <c:pt idx="8">
                  <c:v>102.56724620180634</c:v>
                </c:pt>
                <c:pt idx="9">
                  <c:v>102.29524255455473</c:v>
                </c:pt>
                <c:pt idx="10">
                  <c:v>102.3248148650147</c:v>
                </c:pt>
                <c:pt idx="11">
                  <c:v>102.44156388235146</c:v>
                </c:pt>
                <c:pt idx="12">
                  <c:v>101.51527286617294</c:v>
                </c:pt>
                <c:pt idx="13">
                  <c:v>99.918368101334423</c:v>
                </c:pt>
                <c:pt idx="14">
                  <c:v>100.9229025222716</c:v>
                </c:pt>
                <c:pt idx="15">
                  <c:v>100.83541777049417</c:v>
                </c:pt>
                <c:pt idx="16">
                  <c:v>101.15147183853513</c:v>
                </c:pt>
                <c:pt idx="17">
                  <c:v>99.36049878630304</c:v>
                </c:pt>
                <c:pt idx="18">
                  <c:v>100.08132385376487</c:v>
                </c:pt>
                <c:pt idx="19">
                  <c:v>101.58057838510537</c:v>
                </c:pt>
                <c:pt idx="20">
                  <c:v>102.72342496642307</c:v>
                </c:pt>
                <c:pt idx="21">
                  <c:v>103.06504676121588</c:v>
                </c:pt>
                <c:pt idx="22">
                  <c:v>102.50840962578702</c:v>
                </c:pt>
                <c:pt idx="23">
                  <c:v>103.25942309351008</c:v>
                </c:pt>
                <c:pt idx="24">
                  <c:v>103.43377650726366</c:v>
                </c:pt>
                <c:pt idx="25">
                  <c:v>104.10223394161929</c:v>
                </c:pt>
                <c:pt idx="26">
                  <c:v>103.93250120137508</c:v>
                </c:pt>
                <c:pt idx="27">
                  <c:v>104.12410512956363</c:v>
                </c:pt>
                <c:pt idx="28">
                  <c:v>103.82006481264705</c:v>
                </c:pt>
                <c:pt idx="29">
                  <c:v>104.30862402503784</c:v>
                </c:pt>
                <c:pt idx="30">
                  <c:v>102.81768670601423</c:v>
                </c:pt>
                <c:pt idx="31">
                  <c:v>96.36291385832395</c:v>
                </c:pt>
                <c:pt idx="32">
                  <c:v>95.998804785785524</c:v>
                </c:pt>
                <c:pt idx="33">
                  <c:v>91.759182818487588</c:v>
                </c:pt>
                <c:pt idx="34">
                  <c:v>95.192959325751289</c:v>
                </c:pt>
                <c:pt idx="35">
                  <c:v>92.517281318925015</c:v>
                </c:pt>
                <c:pt idx="36">
                  <c:v>96.421750434343281</c:v>
                </c:pt>
                <c:pt idx="37">
                  <c:v>93.150929679510071</c:v>
                </c:pt>
                <c:pt idx="38">
                  <c:v>91.562342126988412</c:v>
                </c:pt>
                <c:pt idx="39">
                  <c:v>88.78562539275724</c:v>
                </c:pt>
                <c:pt idx="40">
                  <c:v>84.446812967458129</c:v>
                </c:pt>
                <c:pt idx="41">
                  <c:v>76.414850228569293</c:v>
                </c:pt>
                <c:pt idx="42">
                  <c:v>83.511588649161482</c:v>
                </c:pt>
                <c:pt idx="43">
                  <c:v>73.50351787276513</c:v>
                </c:pt>
                <c:pt idx="44">
                  <c:v>77.910408221102301</c:v>
                </c:pt>
                <c:pt idx="45">
                  <c:v>73.872247618812906</c:v>
                </c:pt>
                <c:pt idx="46">
                  <c:v>74.220030311618203</c:v>
                </c:pt>
                <c:pt idx="47">
                  <c:v>71.001885234791814</c:v>
                </c:pt>
                <c:pt idx="48">
                  <c:v>68.921966065773745</c:v>
                </c:pt>
                <c:pt idx="49">
                  <c:v>75.388752664588381</c:v>
                </c:pt>
                <c:pt idx="50">
                  <c:v>76.258363419051946</c:v>
                </c:pt>
                <c:pt idx="51">
                  <c:v>81.017965178604427</c:v>
                </c:pt>
                <c:pt idx="52">
                  <c:v>78.288687359069442</c:v>
                </c:pt>
                <c:pt idx="53">
                  <c:v>80.912613822590771</c:v>
                </c:pt>
                <c:pt idx="54">
                  <c:v>79.616976970563229</c:v>
                </c:pt>
                <c:pt idx="55">
                  <c:v>76.102492699335841</c:v>
                </c:pt>
                <c:pt idx="56">
                  <c:v>77.839865938859234</c:v>
                </c:pt>
                <c:pt idx="57">
                  <c:v>76.661594193969705</c:v>
                </c:pt>
                <c:pt idx="58">
                  <c:v>82.053304089604083</c:v>
                </c:pt>
                <c:pt idx="59">
                  <c:v>81.921768917037326</c:v>
                </c:pt>
                <c:pt idx="60">
                  <c:v>84.71173158199538</c:v>
                </c:pt>
                <c:pt idx="61">
                  <c:v>85.938982466084241</c:v>
                </c:pt>
                <c:pt idx="62">
                  <c:v>87.671426987197634</c:v>
                </c:pt>
                <c:pt idx="63">
                  <c:v>85.739985460280678</c:v>
                </c:pt>
                <c:pt idx="64">
                  <c:v>86.238710154392095</c:v>
                </c:pt>
                <c:pt idx="65">
                  <c:v>88.549354953978067</c:v>
                </c:pt>
                <c:pt idx="66">
                  <c:v>86.966004164767028</c:v>
                </c:pt>
                <c:pt idx="67">
                  <c:v>84.298335325357002</c:v>
                </c:pt>
                <c:pt idx="68">
                  <c:v>86.231317076777088</c:v>
                </c:pt>
                <c:pt idx="69">
                  <c:v>86.184802296782763</c:v>
                </c:pt>
                <c:pt idx="70">
                  <c:v>87.384329139815392</c:v>
                </c:pt>
                <c:pt idx="71">
                  <c:v>88.670108555022949</c:v>
                </c:pt>
                <c:pt idx="72">
                  <c:v>88.205268799980246</c:v>
                </c:pt>
                <c:pt idx="73">
                  <c:v>90.550106583535594</c:v>
                </c:pt>
                <c:pt idx="74">
                  <c:v>89.715920992643859</c:v>
                </c:pt>
                <c:pt idx="75">
                  <c:v>87.569156080190211</c:v>
                </c:pt>
                <c:pt idx="76">
                  <c:v>88.360831474795731</c:v>
                </c:pt>
                <c:pt idx="77">
                  <c:v>87.744125583745046</c:v>
                </c:pt>
                <c:pt idx="78">
                  <c:v>88.753588723092236</c:v>
                </c:pt>
                <c:pt idx="79">
                  <c:v>90.250994985028981</c:v>
                </c:pt>
                <c:pt idx="80">
                  <c:v>88.412583018100676</c:v>
                </c:pt>
                <c:pt idx="81">
                  <c:v>86.868661976169605</c:v>
                </c:pt>
                <c:pt idx="82">
                  <c:v>87.869807903199927</c:v>
                </c:pt>
                <c:pt idx="83">
                  <c:v>88.21481819189961</c:v>
                </c:pt>
                <c:pt idx="84">
                  <c:v>90.993691240435155</c:v>
                </c:pt>
                <c:pt idx="85">
                  <c:v>90.039676183200413</c:v>
                </c:pt>
                <c:pt idx="86">
                  <c:v>91.538930714540896</c:v>
                </c:pt>
                <c:pt idx="87">
                  <c:v>90.827346994097809</c:v>
                </c:pt>
                <c:pt idx="88">
                  <c:v>91.041130155131341</c:v>
                </c:pt>
                <c:pt idx="89">
                  <c:v>92.159949234200312</c:v>
                </c:pt>
                <c:pt idx="90">
                  <c:v>93.526436413371542</c:v>
                </c:pt>
                <c:pt idx="91">
                  <c:v>93.329287676971731</c:v>
                </c:pt>
                <c:pt idx="92">
                  <c:v>93.77841714208256</c:v>
                </c:pt>
                <c:pt idx="93">
                  <c:v>94.903089074263391</c:v>
                </c:pt>
                <c:pt idx="94">
                  <c:v>96.198417881390299</c:v>
                </c:pt>
                <c:pt idx="95">
                  <c:v>95.874354645933096</c:v>
                </c:pt>
                <c:pt idx="96">
                  <c:v>98.387384945229513</c:v>
                </c:pt>
                <c:pt idx="97">
                  <c:v>99.572125633032158</c:v>
                </c:pt>
                <c:pt idx="98">
                  <c:v>98.795544438557258</c:v>
                </c:pt>
                <c:pt idx="99">
                  <c:v>98.270635927892741</c:v>
                </c:pt>
                <c:pt idx="100">
                  <c:v>92.478159616545597</c:v>
                </c:pt>
                <c:pt idx="101">
                  <c:v>94.46474118067438</c:v>
                </c:pt>
                <c:pt idx="102">
                  <c:v>96.256022277807091</c:v>
                </c:pt>
                <c:pt idx="103">
                  <c:v>95.909471764604291</c:v>
                </c:pt>
                <c:pt idx="104">
                  <c:v>95.966460071219871</c:v>
                </c:pt>
                <c:pt idx="105">
                  <c:v>95.424301046120362</c:v>
                </c:pt>
                <c:pt idx="106">
                  <c:v>96.044087386177296</c:v>
                </c:pt>
                <c:pt idx="107">
                  <c:v>96.457791687716295</c:v>
                </c:pt>
                <c:pt idx="108">
                  <c:v>94.993654275047035</c:v>
                </c:pt>
                <c:pt idx="109">
                  <c:v>92.692250822479792</c:v>
                </c:pt>
                <c:pt idx="110">
                  <c:v>94.053501238340402</c:v>
                </c:pt>
                <c:pt idx="111">
                  <c:v>95.502852495779692</c:v>
                </c:pt>
                <c:pt idx="112">
                  <c:v>96.418361940436355</c:v>
                </c:pt>
                <c:pt idx="113">
                  <c:v>97.949653141441786</c:v>
                </c:pt>
                <c:pt idx="114">
                  <c:v>96.889978683292782</c:v>
                </c:pt>
                <c:pt idx="115">
                  <c:v>97.648385228630829</c:v>
                </c:pt>
                <c:pt idx="116">
                  <c:v>97.097292901413226</c:v>
                </c:pt>
                <c:pt idx="117">
                  <c:v>98.113533028574153</c:v>
                </c:pt>
                <c:pt idx="118">
                  <c:v>97.194943134911256</c:v>
                </c:pt>
                <c:pt idx="119">
                  <c:v>98.497973064553804</c:v>
                </c:pt>
                <c:pt idx="120">
                  <c:v>99.392535455967973</c:v>
                </c:pt>
                <c:pt idx="121">
                  <c:v>99.053994110181421</c:v>
                </c:pt>
                <c:pt idx="122">
                  <c:v>99.336163239153649</c:v>
                </c:pt>
                <c:pt idx="123">
                  <c:v>100.17127296474726</c:v>
                </c:pt>
                <c:pt idx="124">
                  <c:v>100.33946548048836</c:v>
                </c:pt>
                <c:pt idx="125">
                  <c:v>100.91612553445781</c:v>
                </c:pt>
                <c:pt idx="126">
                  <c:v>99.672856315536464</c:v>
                </c:pt>
                <c:pt idx="127">
                  <c:v>99.055842379585172</c:v>
                </c:pt>
                <c:pt idx="128">
                  <c:v>99.78837315327074</c:v>
                </c:pt>
                <c:pt idx="129">
                  <c:v>99.142402996660707</c:v>
                </c:pt>
                <c:pt idx="130">
                  <c:v>100.37458259915957</c:v>
                </c:pt>
                <c:pt idx="131">
                  <c:v>99.998151730596163</c:v>
                </c:pt>
                <c:pt idx="132">
                  <c:v>100.76518353315171</c:v>
                </c:pt>
                <c:pt idx="133">
                  <c:v>101.48878100471919</c:v>
                </c:pt>
                <c:pt idx="134">
                  <c:v>101.8553544364626</c:v>
                </c:pt>
                <c:pt idx="135">
                  <c:v>102.51025789519075</c:v>
                </c:pt>
                <c:pt idx="136">
                  <c:v>103.169165937627</c:v>
                </c:pt>
                <c:pt idx="137">
                  <c:v>103.23447145655946</c:v>
                </c:pt>
                <c:pt idx="138">
                  <c:v>103.51756472023357</c:v>
                </c:pt>
                <c:pt idx="139">
                  <c:v>102.69262047636059</c:v>
                </c:pt>
                <c:pt idx="140">
                  <c:v>104.12995798267551</c:v>
                </c:pt>
                <c:pt idx="141">
                  <c:v>103.9167909114432</c:v>
                </c:pt>
                <c:pt idx="142">
                  <c:v>103.89892430720697</c:v>
                </c:pt>
                <c:pt idx="143">
                  <c:v>104.18047734637796</c:v>
                </c:pt>
                <c:pt idx="144">
                  <c:v>104.42044432396462</c:v>
                </c:pt>
                <c:pt idx="145">
                  <c:v>103.9605332873319</c:v>
                </c:pt>
                <c:pt idx="146">
                  <c:v>104.28890915139785</c:v>
                </c:pt>
                <c:pt idx="147">
                  <c:v>104.64778146062562</c:v>
                </c:pt>
                <c:pt idx="148">
                  <c:v>105.69883066155715</c:v>
                </c:pt>
                <c:pt idx="149">
                  <c:v>106.07895806892805</c:v>
                </c:pt>
                <c:pt idx="150">
                  <c:v>107.16050371502143</c:v>
                </c:pt>
                <c:pt idx="151">
                  <c:v>107.33978584718503</c:v>
                </c:pt>
                <c:pt idx="152">
                  <c:v>108.06245918405061</c:v>
                </c:pt>
                <c:pt idx="153">
                  <c:v>107.82526461056958</c:v>
                </c:pt>
                <c:pt idx="154">
                  <c:v>108.63665487881508</c:v>
                </c:pt>
                <c:pt idx="155">
                  <c:v>110.30595019530041</c:v>
                </c:pt>
                <c:pt idx="156">
                  <c:v>106.43136143524275</c:v>
                </c:pt>
                <c:pt idx="157">
                  <c:v>105.56575526448731</c:v>
                </c:pt>
                <c:pt idx="158">
                  <c:v>102.63563216974501</c:v>
                </c:pt>
                <c:pt idx="159">
                  <c:v>104.70322954273809</c:v>
                </c:pt>
                <c:pt idx="160">
                  <c:v>102.86204517170417</c:v>
                </c:pt>
                <c:pt idx="161">
                  <c:v>102.91687716401536</c:v>
                </c:pt>
                <c:pt idx="162">
                  <c:v>104.22822430597478</c:v>
                </c:pt>
                <c:pt idx="163">
                  <c:v>104.77223160047801</c:v>
                </c:pt>
                <c:pt idx="164">
                  <c:v>104.28829306159659</c:v>
                </c:pt>
                <c:pt idx="165">
                  <c:v>103.41098118461741</c:v>
                </c:pt>
                <c:pt idx="166">
                  <c:v>102.25458062767223</c:v>
                </c:pt>
                <c:pt idx="167">
                  <c:v>101.0713801643727</c:v>
                </c:pt>
                <c:pt idx="168">
                  <c:v>102.1344431164286</c:v>
                </c:pt>
                <c:pt idx="169">
                  <c:v>99.711669973015205</c:v>
                </c:pt>
                <c:pt idx="170">
                  <c:v>100.00954939191931</c:v>
                </c:pt>
                <c:pt idx="171">
                  <c:v>101.6073782914597</c:v>
                </c:pt>
                <c:pt idx="172">
                  <c:v>103.24432889337943</c:v>
                </c:pt>
                <c:pt idx="173">
                  <c:v>102.74745246867175</c:v>
                </c:pt>
                <c:pt idx="174">
                  <c:v>103.5955000800916</c:v>
                </c:pt>
                <c:pt idx="175">
                  <c:v>104.1438200032036</c:v>
                </c:pt>
                <c:pt idx="176">
                  <c:v>103.14698670478202</c:v>
                </c:pt>
                <c:pt idx="177">
                  <c:v>105.00110896164217</c:v>
                </c:pt>
                <c:pt idx="178">
                  <c:v>103.53235087546352</c:v>
                </c:pt>
                <c:pt idx="179">
                  <c:v>105.33441354411811</c:v>
                </c:pt>
                <c:pt idx="180">
                  <c:v>106.17784048202857</c:v>
                </c:pt>
                <c:pt idx="181">
                  <c:v>107.11121653092145</c:v>
                </c:pt>
                <c:pt idx="182">
                  <c:v>108.86984486858795</c:v>
                </c:pt>
                <c:pt idx="183">
                  <c:v>108.18321278509546</c:v>
                </c:pt>
                <c:pt idx="184">
                  <c:v>107.46670034624238</c:v>
                </c:pt>
                <c:pt idx="185">
                  <c:v>107.30251241420942</c:v>
                </c:pt>
                <c:pt idx="186">
                  <c:v>107.31699052453878</c:v>
                </c:pt>
                <c:pt idx="187">
                  <c:v>105.56452308488478</c:v>
                </c:pt>
                <c:pt idx="188">
                  <c:v>106.06355582389682</c:v>
                </c:pt>
                <c:pt idx="189">
                  <c:v>105.83067387902453</c:v>
                </c:pt>
                <c:pt idx="190">
                  <c:v>106.38299838584463</c:v>
                </c:pt>
                <c:pt idx="191">
                  <c:v>106.74957181758805</c:v>
                </c:pt>
                <c:pt idx="192">
                  <c:v>104.76514656776362</c:v>
                </c:pt>
                <c:pt idx="193">
                  <c:v>104.44816836502079</c:v>
                </c:pt>
                <c:pt idx="194">
                  <c:v>100.76241112904609</c:v>
                </c:pt>
                <c:pt idx="195">
                  <c:v>101.96625060068747</c:v>
                </c:pt>
                <c:pt idx="196">
                  <c:v>100.72945032467923</c:v>
                </c:pt>
                <c:pt idx="197">
                  <c:v>101.97025518439557</c:v>
                </c:pt>
                <c:pt idx="198">
                  <c:v>103.78525573887639</c:v>
                </c:pt>
                <c:pt idx="199">
                  <c:v>108.13762213980299</c:v>
                </c:pt>
                <c:pt idx="200">
                  <c:v>108.10650960483989</c:v>
                </c:pt>
                <c:pt idx="201">
                  <c:v>109.37134196680496</c:v>
                </c:pt>
                <c:pt idx="202">
                  <c:v>109.21824365119448</c:v>
                </c:pt>
                <c:pt idx="203">
                  <c:v>110.05396946658932</c:v>
                </c:pt>
                <c:pt idx="204">
                  <c:v>108.95578939586223</c:v>
                </c:pt>
                <c:pt idx="205">
                  <c:v>110.43871754746959</c:v>
                </c:pt>
                <c:pt idx="206">
                  <c:v>111.72511305247839</c:v>
                </c:pt>
                <c:pt idx="207">
                  <c:v>111.18973101519265</c:v>
                </c:pt>
                <c:pt idx="208">
                  <c:v>109.90395159998508</c:v>
                </c:pt>
                <c:pt idx="209">
                  <c:v>110.33767882006467</c:v>
                </c:pt>
                <c:pt idx="210">
                  <c:v>109.58820557684474</c:v>
                </c:pt>
                <c:pt idx="211">
                  <c:v>110.20583560259729</c:v>
                </c:pt>
                <c:pt idx="212">
                  <c:v>111.98695121800938</c:v>
                </c:pt>
                <c:pt idx="213">
                  <c:v>111.80951735524955</c:v>
                </c:pt>
                <c:pt idx="214">
                  <c:v>112.07751641879305</c:v>
                </c:pt>
                <c:pt idx="215">
                  <c:v>111.56246534494854</c:v>
                </c:pt>
                <c:pt idx="216">
                  <c:v>112.81990462929861</c:v>
                </c:pt>
                <c:pt idx="217">
                  <c:v>113.02198208410843</c:v>
                </c:pt>
                <c:pt idx="218">
                  <c:v>112.95143980186536</c:v>
                </c:pt>
                <c:pt idx="219">
                  <c:v>113.94950527988944</c:v>
                </c:pt>
                <c:pt idx="220">
                  <c:v>113.72894513104214</c:v>
                </c:pt>
                <c:pt idx="221">
                  <c:v>114.04592333378497</c:v>
                </c:pt>
                <c:pt idx="222">
                  <c:v>113.13934719124644</c:v>
                </c:pt>
                <c:pt idx="223">
                  <c:v>112.99394999815156</c:v>
                </c:pt>
                <c:pt idx="224">
                  <c:v>112.85101716426171</c:v>
                </c:pt>
                <c:pt idx="225">
                  <c:v>112.35906945796403</c:v>
                </c:pt>
                <c:pt idx="226">
                  <c:v>113.81088507460831</c:v>
                </c:pt>
                <c:pt idx="227">
                  <c:v>114.0126544845175</c:v>
                </c:pt>
                <c:pt idx="228">
                  <c:v>114.66909816774876</c:v>
                </c:pt>
                <c:pt idx="229">
                  <c:v>114.26648348263224</c:v>
                </c:pt>
                <c:pt idx="230">
                  <c:v>113.82012642162704</c:v>
                </c:pt>
                <c:pt idx="231">
                  <c:v>113.5841640277485</c:v>
                </c:pt>
                <c:pt idx="232">
                  <c:v>113.6688763754203</c:v>
                </c:pt>
                <c:pt idx="233">
                  <c:v>115.06585999975337</c:v>
                </c:pt>
                <c:pt idx="234">
                  <c:v>114.80956664243361</c:v>
                </c:pt>
                <c:pt idx="235">
                  <c:v>114.96358909274596</c:v>
                </c:pt>
                <c:pt idx="236">
                  <c:v>113.99663614968499</c:v>
                </c:pt>
                <c:pt idx="237">
                  <c:v>114.80402183422237</c:v>
                </c:pt>
                <c:pt idx="238">
                  <c:v>115.45954138275175</c:v>
                </c:pt>
                <c:pt idx="239">
                  <c:v>117.81731705213332</c:v>
                </c:pt>
                <c:pt idx="240">
                  <c:v>117.04504848626718</c:v>
                </c:pt>
                <c:pt idx="241">
                  <c:v>117.09371958056587</c:v>
                </c:pt>
                <c:pt idx="242">
                  <c:v>117.36017841960624</c:v>
                </c:pt>
                <c:pt idx="243">
                  <c:v>116.9196742117129</c:v>
                </c:pt>
                <c:pt idx="244">
                  <c:v>116.07901967790806</c:v>
                </c:pt>
                <c:pt idx="245">
                  <c:v>117.02348534322344</c:v>
                </c:pt>
                <c:pt idx="246">
                  <c:v>118.65427504713068</c:v>
                </c:pt>
                <c:pt idx="247">
                  <c:v>118.69185652500691</c:v>
                </c:pt>
                <c:pt idx="248">
                  <c:v>118.33452444028224</c:v>
                </c:pt>
                <c:pt idx="249">
                  <c:v>118.76239880724998</c:v>
                </c:pt>
                <c:pt idx="250">
                  <c:v>118.58558103429138</c:v>
                </c:pt>
                <c:pt idx="251">
                  <c:v>115.54055719161609</c:v>
                </c:pt>
                <c:pt idx="252">
                  <c:v>116.66830957280317</c:v>
                </c:pt>
                <c:pt idx="253">
                  <c:v>114.41526916963399</c:v>
                </c:pt>
                <c:pt idx="254">
                  <c:v>116.25183286715854</c:v>
                </c:pt>
                <c:pt idx="255">
                  <c:v>117.86752837093516</c:v>
                </c:pt>
                <c:pt idx="256">
                  <c:v>117.98643370257629</c:v>
                </c:pt>
                <c:pt idx="257">
                  <c:v>119.26697635447323</c:v>
                </c:pt>
                <c:pt idx="258">
                  <c:v>119.73181610951593</c:v>
                </c:pt>
                <c:pt idx="259">
                  <c:v>120.61775324371261</c:v>
                </c:pt>
                <c:pt idx="260">
                  <c:v>120.48344566704024</c:v>
                </c:pt>
                <c:pt idx="261">
                  <c:v>120.4418596054559</c:v>
                </c:pt>
                <c:pt idx="262">
                  <c:v>120.64208879086196</c:v>
                </c:pt>
                <c:pt idx="263">
                  <c:v>121.21043163251456</c:v>
                </c:pt>
                <c:pt idx="264">
                  <c:v>121.14142957477463</c:v>
                </c:pt>
                <c:pt idx="265">
                  <c:v>121.10261591729592</c:v>
                </c:pt>
                <c:pt idx="266">
                  <c:v>120.56784996981142</c:v>
                </c:pt>
                <c:pt idx="267">
                  <c:v>120.34420937195787</c:v>
                </c:pt>
                <c:pt idx="268">
                  <c:v>119.41360572717062</c:v>
                </c:pt>
                <c:pt idx="269">
                  <c:v>120.92086942592734</c:v>
                </c:pt>
                <c:pt idx="270">
                  <c:v>117.96086597582448</c:v>
                </c:pt>
                <c:pt idx="271">
                  <c:v>117.40053230158813</c:v>
                </c:pt>
                <c:pt idx="272">
                  <c:v>120.19357541555243</c:v>
                </c:pt>
                <c:pt idx="273">
                  <c:v>119.2223098438827</c:v>
                </c:pt>
                <c:pt idx="274">
                  <c:v>117.66452678142352</c:v>
                </c:pt>
                <c:pt idx="275">
                  <c:v>116.08579666572186</c:v>
                </c:pt>
                <c:pt idx="276">
                  <c:v>118.34900255061166</c:v>
                </c:pt>
                <c:pt idx="277">
                  <c:v>119.38095296770445</c:v>
                </c:pt>
                <c:pt idx="278">
                  <c:v>120.1008539004644</c:v>
                </c:pt>
                <c:pt idx="279">
                  <c:v>121.34935988269638</c:v>
                </c:pt>
                <c:pt idx="280">
                  <c:v>121.47257784294625</c:v>
                </c:pt>
                <c:pt idx="281">
                  <c:v>122.26117278854552</c:v>
                </c:pt>
                <c:pt idx="282">
                  <c:v>122.06926081545633</c:v>
                </c:pt>
                <c:pt idx="283">
                  <c:v>122.42074004706913</c:v>
                </c:pt>
                <c:pt idx="284">
                  <c:v>120.61374866000456</c:v>
                </c:pt>
                <c:pt idx="285">
                  <c:v>120.54105006345713</c:v>
                </c:pt>
                <c:pt idx="286">
                  <c:v>121.38786549527448</c:v>
                </c:pt>
                <c:pt idx="287">
                  <c:v>120.46157447909596</c:v>
                </c:pt>
                <c:pt idx="288">
                  <c:v>119.80297448156033</c:v>
                </c:pt>
                <c:pt idx="289">
                  <c:v>120.43076998903349</c:v>
                </c:pt>
                <c:pt idx="290">
                  <c:v>122.43367793289539</c:v>
                </c:pt>
                <c:pt idx="291">
                  <c:v>122.32740244217986</c:v>
                </c:pt>
                <c:pt idx="292">
                  <c:v>121.94111413679647</c:v>
                </c:pt>
                <c:pt idx="293">
                  <c:v>122.38285052429231</c:v>
                </c:pt>
                <c:pt idx="294">
                  <c:v>123.83004546742721</c:v>
                </c:pt>
                <c:pt idx="295">
                  <c:v>125.49564424510505</c:v>
                </c:pt>
                <c:pt idx="296">
                  <c:v>125.68077923038051</c:v>
                </c:pt>
                <c:pt idx="297">
                  <c:v>126.21123254925628</c:v>
                </c:pt>
                <c:pt idx="298">
                  <c:v>127.18557856993226</c:v>
                </c:pt>
                <c:pt idx="299">
                  <c:v>127.16062693298166</c:v>
                </c:pt>
                <c:pt idx="300">
                  <c:v>127.57956799783129</c:v>
                </c:pt>
                <c:pt idx="301">
                  <c:v>127.05804798107364</c:v>
                </c:pt>
                <c:pt idx="302">
                  <c:v>128.46766144633233</c:v>
                </c:pt>
                <c:pt idx="303">
                  <c:v>128.93126902177252</c:v>
                </c:pt>
                <c:pt idx="304">
                  <c:v>128.24710129748502</c:v>
                </c:pt>
                <c:pt idx="305">
                  <c:v>127.37471813891581</c:v>
                </c:pt>
                <c:pt idx="306">
                  <c:v>128.56007491651974</c:v>
                </c:pt>
                <c:pt idx="307">
                  <c:v>127.37595031851831</c:v>
                </c:pt>
                <c:pt idx="308">
                  <c:v>128.76800522444142</c:v>
                </c:pt>
                <c:pt idx="309">
                  <c:v>128.99749867540683</c:v>
                </c:pt>
                <c:pt idx="310">
                  <c:v>128.96977463435061</c:v>
                </c:pt>
                <c:pt idx="311">
                  <c:v>128.86072673952947</c:v>
                </c:pt>
                <c:pt idx="312">
                  <c:v>129.73218576339679</c:v>
                </c:pt>
                <c:pt idx="313">
                  <c:v>128.7988097145039</c:v>
                </c:pt>
                <c:pt idx="314">
                  <c:v>128.29022758357249</c:v>
                </c:pt>
                <c:pt idx="315">
                  <c:v>128.38048473945554</c:v>
                </c:pt>
                <c:pt idx="316">
                  <c:v>129.42876153628143</c:v>
                </c:pt>
                <c:pt idx="317">
                  <c:v>130.38308463841682</c:v>
                </c:pt>
                <c:pt idx="318">
                  <c:v>129.02245031235745</c:v>
                </c:pt>
                <c:pt idx="319">
                  <c:v>127.90332318838786</c:v>
                </c:pt>
                <c:pt idx="320">
                  <c:v>125.15987530342413</c:v>
                </c:pt>
                <c:pt idx="321">
                  <c:v>126.68346538191398</c:v>
                </c:pt>
                <c:pt idx="322">
                  <c:v>128.57332084724663</c:v>
                </c:pt>
                <c:pt idx="323">
                  <c:v>128.24802543218692</c:v>
                </c:pt>
                <c:pt idx="324">
                  <c:v>127.15569821457169</c:v>
                </c:pt>
                <c:pt idx="325">
                  <c:v>126.78142366031267</c:v>
                </c:pt>
                <c:pt idx="326">
                  <c:v>128.11957070862641</c:v>
                </c:pt>
                <c:pt idx="327">
                  <c:v>128.01914807102276</c:v>
                </c:pt>
                <c:pt idx="328">
                  <c:v>129.01320896533872</c:v>
                </c:pt>
                <c:pt idx="329">
                  <c:v>129.25533225722972</c:v>
                </c:pt>
                <c:pt idx="330">
                  <c:v>129.40596621363522</c:v>
                </c:pt>
                <c:pt idx="331">
                  <c:v>129.50546471653701</c:v>
                </c:pt>
                <c:pt idx="332">
                  <c:v>129.44169942210769</c:v>
                </c:pt>
                <c:pt idx="333">
                  <c:v>129.6289907216875</c:v>
                </c:pt>
                <c:pt idx="334">
                  <c:v>129.15860615843357</c:v>
                </c:pt>
                <c:pt idx="335">
                  <c:v>130.29960447034753</c:v>
                </c:pt>
                <c:pt idx="336">
                  <c:v>130.19579333883701</c:v>
                </c:pt>
                <c:pt idx="337">
                  <c:v>130.21858866148324</c:v>
                </c:pt>
                <c:pt idx="338">
                  <c:v>129.98108604310158</c:v>
                </c:pt>
                <c:pt idx="339">
                  <c:v>130.58577818302791</c:v>
                </c:pt>
                <c:pt idx="340">
                  <c:v>130.84022327094391</c:v>
                </c:pt>
                <c:pt idx="341">
                  <c:v>131.07772588932556</c:v>
                </c:pt>
                <c:pt idx="342">
                  <c:v>130.81403945439084</c:v>
                </c:pt>
                <c:pt idx="343">
                  <c:v>130.10892467686085</c:v>
                </c:pt>
                <c:pt idx="344">
                  <c:v>130.05224441514591</c:v>
                </c:pt>
                <c:pt idx="345">
                  <c:v>128.34536762078437</c:v>
                </c:pt>
                <c:pt idx="346">
                  <c:v>130.14250157102896</c:v>
                </c:pt>
                <c:pt idx="347">
                  <c:v>130.80941878088146</c:v>
                </c:pt>
                <c:pt idx="348">
                  <c:v>130.66771812659411</c:v>
                </c:pt>
                <c:pt idx="349">
                  <c:v>131.42704880663402</c:v>
                </c:pt>
                <c:pt idx="350">
                  <c:v>131.86478061042175</c:v>
                </c:pt>
                <c:pt idx="351">
                  <c:v>132.17005310694083</c:v>
                </c:pt>
                <c:pt idx="352">
                  <c:v>132.2067104501152</c:v>
                </c:pt>
                <c:pt idx="353">
                  <c:v>132.38229604347126</c:v>
                </c:pt>
                <c:pt idx="354">
                  <c:v>133.07354880047311</c:v>
                </c:pt>
                <c:pt idx="355">
                  <c:v>134.07161427849721</c:v>
                </c:pt>
                <c:pt idx="356">
                  <c:v>133.80053476594748</c:v>
                </c:pt>
                <c:pt idx="357">
                  <c:v>134.24997227595892</c:v>
                </c:pt>
                <c:pt idx="358">
                  <c:v>133.10065675172808</c:v>
                </c:pt>
                <c:pt idx="359">
                  <c:v>134.60175955247234</c:v>
                </c:pt>
                <c:pt idx="360">
                  <c:v>135.06629126261441</c:v>
                </c:pt>
                <c:pt idx="361">
                  <c:v>134.5912860258511</c:v>
                </c:pt>
                <c:pt idx="362">
                  <c:v>134.74808088026907</c:v>
                </c:pt>
                <c:pt idx="363">
                  <c:v>134.30850080707759</c:v>
                </c:pt>
                <c:pt idx="364">
                  <c:v>133.29595721872417</c:v>
                </c:pt>
                <c:pt idx="365">
                  <c:v>131.18492551474301</c:v>
                </c:pt>
                <c:pt idx="366">
                  <c:v>133.17427948297743</c:v>
                </c:pt>
                <c:pt idx="367">
                  <c:v>134.2672227903939</c:v>
                </c:pt>
                <c:pt idx="368">
                  <c:v>134.53799425804303</c:v>
                </c:pt>
                <c:pt idx="369">
                  <c:v>135.90324925761178</c:v>
                </c:pt>
                <c:pt idx="370">
                  <c:v>136.22454008896332</c:v>
                </c:pt>
                <c:pt idx="371">
                  <c:v>135.58473083036583</c:v>
                </c:pt>
                <c:pt idx="372">
                  <c:v>135.55977919341524</c:v>
                </c:pt>
                <c:pt idx="373">
                  <c:v>136.12966225957095</c:v>
                </c:pt>
                <c:pt idx="374">
                  <c:v>135.39374299197854</c:v>
                </c:pt>
                <c:pt idx="375">
                  <c:v>135.14268639796938</c:v>
                </c:pt>
                <c:pt idx="376">
                  <c:v>136.25288021982087</c:v>
                </c:pt>
                <c:pt idx="377">
                  <c:v>135.6223123082421</c:v>
                </c:pt>
                <c:pt idx="378">
                  <c:v>136.4361669356926</c:v>
                </c:pt>
                <c:pt idx="379">
                  <c:v>136.66473625195616</c:v>
                </c:pt>
                <c:pt idx="380">
                  <c:v>136.53628152839565</c:v>
                </c:pt>
                <c:pt idx="381">
                  <c:v>136.6718212846705</c:v>
                </c:pt>
                <c:pt idx="382">
                  <c:v>137.00913045085457</c:v>
                </c:pt>
                <c:pt idx="383">
                  <c:v>137.41390145027546</c:v>
                </c:pt>
                <c:pt idx="384">
                  <c:v>137.63446159912274</c:v>
                </c:pt>
                <c:pt idx="385">
                  <c:v>137.99364195325114</c:v>
                </c:pt>
                <c:pt idx="386">
                  <c:v>137.02083615707829</c:v>
                </c:pt>
                <c:pt idx="387">
                  <c:v>135.54807348719154</c:v>
                </c:pt>
                <c:pt idx="388">
                  <c:v>135.71842231723701</c:v>
                </c:pt>
                <c:pt idx="389">
                  <c:v>136.82337937577785</c:v>
                </c:pt>
                <c:pt idx="390">
                  <c:v>137.98994541444364</c:v>
                </c:pt>
                <c:pt idx="391">
                  <c:v>138.19602745296154</c:v>
                </c:pt>
                <c:pt idx="392">
                  <c:v>138.50284017398377</c:v>
                </c:pt>
                <c:pt idx="393">
                  <c:v>137.69329817514202</c:v>
                </c:pt>
                <c:pt idx="394">
                  <c:v>138.90884335300714</c:v>
                </c:pt>
                <c:pt idx="395">
                  <c:v>139.50706655002034</c:v>
                </c:pt>
                <c:pt idx="396">
                  <c:v>139.31885111573865</c:v>
                </c:pt>
                <c:pt idx="397">
                  <c:v>139.36228544672673</c:v>
                </c:pt>
                <c:pt idx="398">
                  <c:v>139.7584311889301</c:v>
                </c:pt>
                <c:pt idx="399">
                  <c:v>139.71160836403516</c:v>
                </c:pt>
                <c:pt idx="400">
                  <c:v>139.23721921707309</c:v>
                </c:pt>
                <c:pt idx="401">
                  <c:v>139.05362445630075</c:v>
                </c:pt>
                <c:pt idx="402">
                  <c:v>138.41319910790196</c:v>
                </c:pt>
                <c:pt idx="403">
                  <c:v>137.34428330273423</c:v>
                </c:pt>
                <c:pt idx="404">
                  <c:v>137.65694887686831</c:v>
                </c:pt>
                <c:pt idx="405">
                  <c:v>136.86588957206405</c:v>
                </c:pt>
                <c:pt idx="406">
                  <c:v>138.0256786229161</c:v>
                </c:pt>
                <c:pt idx="407">
                  <c:v>137.81189546188256</c:v>
                </c:pt>
                <c:pt idx="408">
                  <c:v>136.55599640203559</c:v>
                </c:pt>
                <c:pt idx="409">
                  <c:v>134.23765047993399</c:v>
                </c:pt>
                <c:pt idx="410">
                  <c:v>134.12829454021224</c:v>
                </c:pt>
                <c:pt idx="411">
                  <c:v>135.40544869820229</c:v>
                </c:pt>
                <c:pt idx="412">
                  <c:v>137.04856019813448</c:v>
                </c:pt>
                <c:pt idx="413">
                  <c:v>137.24878938354055</c:v>
                </c:pt>
                <c:pt idx="414">
                  <c:v>136.86773784146777</c:v>
                </c:pt>
                <c:pt idx="415">
                  <c:v>134.08054758061539</c:v>
                </c:pt>
                <c:pt idx="416">
                  <c:v>134.29094224774207</c:v>
                </c:pt>
                <c:pt idx="417">
                  <c:v>132.69157312369856</c:v>
                </c:pt>
                <c:pt idx="418">
                  <c:v>134.21670342669154</c:v>
                </c:pt>
                <c:pt idx="419">
                  <c:v>132.47347733405627</c:v>
                </c:pt>
                <c:pt idx="420">
                  <c:v>133.86768855428375</c:v>
                </c:pt>
                <c:pt idx="421">
                  <c:v>134.41693261209761</c:v>
                </c:pt>
                <c:pt idx="422">
                  <c:v>135.53236319725971</c:v>
                </c:pt>
                <c:pt idx="423">
                  <c:v>135.27360548073494</c:v>
                </c:pt>
                <c:pt idx="424">
                  <c:v>134.3442340155502</c:v>
                </c:pt>
                <c:pt idx="425">
                  <c:v>134.01924664539115</c:v>
                </c:pt>
                <c:pt idx="426">
                  <c:v>134.42463373461325</c:v>
                </c:pt>
                <c:pt idx="427">
                  <c:v>136.71741192996299</c:v>
                </c:pt>
                <c:pt idx="428">
                  <c:v>137.73827273063333</c:v>
                </c:pt>
                <c:pt idx="429">
                  <c:v>138.20372857547727</c:v>
                </c:pt>
                <c:pt idx="430">
                  <c:v>139.22489742104821</c:v>
                </c:pt>
                <c:pt idx="431">
                  <c:v>139.73501977648272</c:v>
                </c:pt>
                <c:pt idx="432">
                  <c:v>140.15365279643171</c:v>
                </c:pt>
                <c:pt idx="433">
                  <c:v>140.00332688492685</c:v>
                </c:pt>
                <c:pt idx="434">
                  <c:v>140.66808778047499</c:v>
                </c:pt>
                <c:pt idx="435">
                  <c:v>140.92407309289413</c:v>
                </c:pt>
                <c:pt idx="436">
                  <c:v>140.21218132755044</c:v>
                </c:pt>
                <c:pt idx="437">
                  <c:v>141.59037421294539</c:v>
                </c:pt>
                <c:pt idx="438">
                  <c:v>141.86638244390514</c:v>
                </c:pt>
                <c:pt idx="439">
                  <c:v>142.12175166652304</c:v>
                </c:pt>
                <c:pt idx="440">
                  <c:v>142.64481190778378</c:v>
                </c:pt>
                <c:pt idx="441">
                  <c:v>143.56648225045294</c:v>
                </c:pt>
                <c:pt idx="442">
                  <c:v>144.70501620316188</c:v>
                </c:pt>
                <c:pt idx="443">
                  <c:v>144.83347092672238</c:v>
                </c:pt>
                <c:pt idx="444">
                  <c:v>144.32673706519475</c:v>
                </c:pt>
                <c:pt idx="445">
                  <c:v>143.13953201818708</c:v>
                </c:pt>
                <c:pt idx="446">
                  <c:v>143.21839151274702</c:v>
                </c:pt>
                <c:pt idx="447">
                  <c:v>144.2528062890448</c:v>
                </c:pt>
                <c:pt idx="448">
                  <c:v>144.25157410944229</c:v>
                </c:pt>
                <c:pt idx="449">
                  <c:v>144.80882733467237</c:v>
                </c:pt>
                <c:pt idx="450">
                  <c:v>144.43208842120836</c:v>
                </c:pt>
                <c:pt idx="451">
                  <c:v>144.98564510763097</c:v>
                </c:pt>
                <c:pt idx="452">
                  <c:v>144.71826213388871</c:v>
                </c:pt>
                <c:pt idx="453">
                  <c:v>144.255886738051</c:v>
                </c:pt>
                <c:pt idx="454">
                  <c:v>144.49462153603514</c:v>
                </c:pt>
                <c:pt idx="455">
                  <c:v>144.82607784910735</c:v>
                </c:pt>
                <c:pt idx="456">
                  <c:v>141.53492613083287</c:v>
                </c:pt>
                <c:pt idx="457">
                  <c:v>143.40321845312178</c:v>
                </c:pt>
                <c:pt idx="458">
                  <c:v>140.6841061153074</c:v>
                </c:pt>
                <c:pt idx="459">
                  <c:v>139.02189583153645</c:v>
                </c:pt>
                <c:pt idx="460">
                  <c:v>140.9952314649384</c:v>
                </c:pt>
                <c:pt idx="461">
                  <c:v>139.80402183422262</c:v>
                </c:pt>
                <c:pt idx="462">
                  <c:v>141.44405288514861</c:v>
                </c:pt>
                <c:pt idx="463">
                  <c:v>144.3729438002884</c:v>
                </c:pt>
                <c:pt idx="464">
                  <c:v>144.81837672659174</c:v>
                </c:pt>
                <c:pt idx="465">
                  <c:v>143.7784171420827</c:v>
                </c:pt>
                <c:pt idx="466">
                  <c:v>145.15137326416706</c:v>
                </c:pt>
                <c:pt idx="467">
                  <c:v>143.83078477518887</c:v>
                </c:pt>
                <c:pt idx="468">
                  <c:v>142.75077935359866</c:v>
                </c:pt>
                <c:pt idx="469">
                  <c:v>145.08421947583088</c:v>
                </c:pt>
                <c:pt idx="470">
                  <c:v>143.81599861995892</c:v>
                </c:pt>
                <c:pt idx="471">
                  <c:v>142.3364589622584</c:v>
                </c:pt>
                <c:pt idx="472">
                  <c:v>140.71552669517115</c:v>
                </c:pt>
                <c:pt idx="473">
                  <c:v>143.21715933314445</c:v>
                </c:pt>
                <c:pt idx="474">
                  <c:v>144.67513584780127</c:v>
                </c:pt>
                <c:pt idx="475">
                  <c:v>145.57524304742665</c:v>
                </c:pt>
                <c:pt idx="476">
                  <c:v>147.59016474241292</c:v>
                </c:pt>
                <c:pt idx="477">
                  <c:v>147.4413790554112</c:v>
                </c:pt>
                <c:pt idx="478">
                  <c:v>147.6477691388298</c:v>
                </c:pt>
                <c:pt idx="479">
                  <c:v>147.20634079623454</c:v>
                </c:pt>
                <c:pt idx="480">
                  <c:v>147.75558485404844</c:v>
                </c:pt>
                <c:pt idx="481">
                  <c:v>147.66255529405976</c:v>
                </c:pt>
                <c:pt idx="482">
                  <c:v>144.7989698978524</c:v>
                </c:pt>
                <c:pt idx="483">
                  <c:v>144.65942555786941</c:v>
                </c:pt>
                <c:pt idx="484">
                  <c:v>144.07321611198057</c:v>
                </c:pt>
                <c:pt idx="485">
                  <c:v>143.86590189386013</c:v>
                </c:pt>
                <c:pt idx="486">
                  <c:v>145.18371797873266</c:v>
                </c:pt>
                <c:pt idx="487">
                  <c:v>145.59280160676229</c:v>
                </c:pt>
                <c:pt idx="488">
                  <c:v>143.51873529085609</c:v>
                </c:pt>
                <c:pt idx="489">
                  <c:v>143.63671648779535</c:v>
                </c:pt>
                <c:pt idx="490">
                  <c:v>141.00262454255341</c:v>
                </c:pt>
                <c:pt idx="491">
                  <c:v>139.62936037556841</c:v>
                </c:pt>
                <c:pt idx="492">
                  <c:v>138.08821173774294</c:v>
                </c:pt>
                <c:pt idx="493">
                  <c:v>135.47599098044537</c:v>
                </c:pt>
                <c:pt idx="494">
                  <c:v>135.85180575920751</c:v>
                </c:pt>
                <c:pt idx="495">
                  <c:v>134.19822073265402</c:v>
                </c:pt>
                <c:pt idx="496">
                  <c:v>133.99737545744674</c:v>
                </c:pt>
                <c:pt idx="497">
                  <c:v>133.27562625528302</c:v>
                </c:pt>
                <c:pt idx="498">
                  <c:v>136.52087928336439</c:v>
                </c:pt>
                <c:pt idx="499">
                  <c:v>139.09921510159324</c:v>
                </c:pt>
                <c:pt idx="500">
                  <c:v>140.05384624862921</c:v>
                </c:pt>
                <c:pt idx="501">
                  <c:v>141.37166233350175</c:v>
                </c:pt>
                <c:pt idx="502">
                  <c:v>137.92525598531242</c:v>
                </c:pt>
                <c:pt idx="503">
                  <c:v>138.63683970575551</c:v>
                </c:pt>
                <c:pt idx="504">
                  <c:v>138.1233288564141</c:v>
                </c:pt>
                <c:pt idx="505">
                  <c:v>139.2837339970674</c:v>
                </c:pt>
                <c:pt idx="506">
                  <c:v>141.30574072476804</c:v>
                </c:pt>
                <c:pt idx="507">
                  <c:v>138.74527151077541</c:v>
                </c:pt>
                <c:pt idx="508">
                  <c:v>136.11395196963909</c:v>
                </c:pt>
                <c:pt idx="509">
                  <c:v>135.59119977327893</c:v>
                </c:pt>
                <c:pt idx="510">
                  <c:v>137.72903138361445</c:v>
                </c:pt>
                <c:pt idx="511">
                  <c:v>137.85040107446062</c:v>
                </c:pt>
                <c:pt idx="512">
                  <c:v>134.93167564104147</c:v>
                </c:pt>
                <c:pt idx="513">
                  <c:v>133.96472269798048</c:v>
                </c:pt>
                <c:pt idx="514">
                  <c:v>132.60532055152362</c:v>
                </c:pt>
                <c:pt idx="515">
                  <c:v>139.24122380078123</c:v>
                </c:pt>
                <c:pt idx="516">
                  <c:v>139.94603053341058</c:v>
                </c:pt>
                <c:pt idx="517">
                  <c:v>140.94656037063967</c:v>
                </c:pt>
                <c:pt idx="518">
                  <c:v>142.67407617334305</c:v>
                </c:pt>
                <c:pt idx="519">
                  <c:v>141.776125288022</c:v>
                </c:pt>
                <c:pt idx="520">
                  <c:v>139.55696982392158</c:v>
                </c:pt>
                <c:pt idx="521">
                  <c:v>140.03289919538676</c:v>
                </c:pt>
                <c:pt idx="522">
                  <c:v>141.1658883398845</c:v>
                </c:pt>
                <c:pt idx="523">
                  <c:v>139.39401407149114</c:v>
                </c:pt>
                <c:pt idx="524">
                  <c:v>138.03954064344427</c:v>
                </c:pt>
                <c:pt idx="525">
                  <c:v>138.62667422403499</c:v>
                </c:pt>
                <c:pt idx="526">
                  <c:v>138.25917665758971</c:v>
                </c:pt>
                <c:pt idx="527">
                  <c:v>135.92573653535749</c:v>
                </c:pt>
                <c:pt idx="528">
                  <c:v>135.46120482521542</c:v>
                </c:pt>
                <c:pt idx="529">
                  <c:v>136.97493746688528</c:v>
                </c:pt>
                <c:pt idx="530">
                  <c:v>135.31149500351182</c:v>
                </c:pt>
                <c:pt idx="531">
                  <c:v>137.45610360166108</c:v>
                </c:pt>
                <c:pt idx="532">
                  <c:v>137.37108320908865</c:v>
                </c:pt>
                <c:pt idx="533">
                  <c:v>135.34445580787866</c:v>
                </c:pt>
                <c:pt idx="534">
                  <c:v>131.59000455906462</c:v>
                </c:pt>
                <c:pt idx="535">
                  <c:v>132.3397858471852</c:v>
                </c:pt>
                <c:pt idx="536">
                  <c:v>128.61490690883113</c:v>
                </c:pt>
                <c:pt idx="537">
                  <c:v>128.88475424177838</c:v>
                </c:pt>
                <c:pt idx="538">
                  <c:v>132.07425114284669</c:v>
                </c:pt>
                <c:pt idx="539">
                  <c:v>127.28199662382801</c:v>
                </c:pt>
                <c:pt idx="540">
                  <c:v>132.4645440319382</c:v>
                </c:pt>
                <c:pt idx="541">
                  <c:v>127.91194844560553</c:v>
                </c:pt>
                <c:pt idx="542">
                  <c:v>127.01738605419136</c:v>
                </c:pt>
                <c:pt idx="543">
                  <c:v>121.2212132040367</c:v>
                </c:pt>
                <c:pt idx="544">
                  <c:v>121.0641103047181</c:v>
                </c:pt>
                <c:pt idx="545">
                  <c:v>123.95387951747854</c:v>
                </c:pt>
                <c:pt idx="546">
                  <c:v>123.4647042152865</c:v>
                </c:pt>
                <c:pt idx="547">
                  <c:v>125.9549391919367</c:v>
                </c:pt>
                <c:pt idx="548">
                  <c:v>120.86696156831829</c:v>
                </c:pt>
                <c:pt idx="549">
                  <c:v>120.16184679078832</c:v>
                </c:pt>
                <c:pt idx="550">
                  <c:v>120.17940535012393</c:v>
                </c:pt>
                <c:pt idx="551">
                  <c:v>122.40934238574624</c:v>
                </c:pt>
                <c:pt idx="552">
                  <c:v>121.41528149143029</c:v>
                </c:pt>
                <c:pt idx="553">
                  <c:v>122.56274874625736</c:v>
                </c:pt>
                <c:pt idx="554">
                  <c:v>124.99969195509948</c:v>
                </c:pt>
                <c:pt idx="555">
                  <c:v>128.09246275737161</c:v>
                </c:pt>
                <c:pt idx="556">
                  <c:v>127.28877361164172</c:v>
                </c:pt>
                <c:pt idx="557">
                  <c:v>126.33629877891009</c:v>
                </c:pt>
                <c:pt idx="558">
                  <c:v>128.66481018273231</c:v>
                </c:pt>
                <c:pt idx="559">
                  <c:v>126.56147960126678</c:v>
                </c:pt>
                <c:pt idx="560">
                  <c:v>126.95854947817206</c:v>
                </c:pt>
                <c:pt idx="561">
                  <c:v>128.16762571312407</c:v>
                </c:pt>
                <c:pt idx="562">
                  <c:v>126.78419606441848</c:v>
                </c:pt>
                <c:pt idx="563">
                  <c:v>123.76689626279938</c:v>
                </c:pt>
                <c:pt idx="564">
                  <c:v>120.1640031050927</c:v>
                </c:pt>
                <c:pt idx="565">
                  <c:v>115.50544007294513</c:v>
                </c:pt>
                <c:pt idx="566">
                  <c:v>115.06955653856116</c:v>
                </c:pt>
                <c:pt idx="567">
                  <c:v>116.74870929186648</c:v>
                </c:pt>
                <c:pt idx="568">
                  <c:v>112.95298002636873</c:v>
                </c:pt>
                <c:pt idx="569">
                  <c:v>113.20157226117288</c:v>
                </c:pt>
                <c:pt idx="570">
                  <c:v>115.9724361422922</c:v>
                </c:pt>
                <c:pt idx="571">
                  <c:v>115.82149414098608</c:v>
                </c:pt>
                <c:pt idx="572">
                  <c:v>116.92552706482506</c:v>
                </c:pt>
                <c:pt idx="573">
                  <c:v>120.49915595697237</c:v>
                </c:pt>
                <c:pt idx="574">
                  <c:v>120.14089973754585</c:v>
                </c:pt>
                <c:pt idx="575">
                  <c:v>117.72089899823808</c:v>
                </c:pt>
                <c:pt idx="576">
                  <c:v>117.63711078526816</c:v>
                </c:pt>
                <c:pt idx="577">
                  <c:v>116.60670059267849</c:v>
                </c:pt>
                <c:pt idx="578">
                  <c:v>117.83733997067422</c:v>
                </c:pt>
                <c:pt idx="579">
                  <c:v>118.02401518045279</c:v>
                </c:pt>
                <c:pt idx="580">
                  <c:v>118.44572864940804</c:v>
                </c:pt>
                <c:pt idx="581">
                  <c:v>120.21821900760264</c:v>
                </c:pt>
                <c:pt idx="582">
                  <c:v>120.11841245980024</c:v>
                </c:pt>
                <c:pt idx="583">
                  <c:v>118.73375063149214</c:v>
                </c:pt>
                <c:pt idx="584">
                  <c:v>117.63618665056629</c:v>
                </c:pt>
                <c:pt idx="585">
                  <c:v>117.11189422970303</c:v>
                </c:pt>
                <c:pt idx="586">
                  <c:v>116.76072304299085</c:v>
                </c:pt>
                <c:pt idx="587">
                  <c:v>119.00267382973752</c:v>
                </c:pt>
                <c:pt idx="588">
                  <c:v>118.00738075581906</c:v>
                </c:pt>
                <c:pt idx="589">
                  <c:v>121.26772798403105</c:v>
                </c:pt>
                <c:pt idx="590">
                  <c:v>121.98270019838102</c:v>
                </c:pt>
                <c:pt idx="591">
                  <c:v>123.18561553532054</c:v>
                </c:pt>
                <c:pt idx="592">
                  <c:v>122.0359919661891</c:v>
                </c:pt>
                <c:pt idx="593">
                  <c:v>122.19648335941459</c:v>
                </c:pt>
                <c:pt idx="594">
                  <c:v>120.78594575945402</c:v>
                </c:pt>
                <c:pt idx="595">
                  <c:v>123.94525426026109</c:v>
                </c:pt>
                <c:pt idx="596">
                  <c:v>125.44912946511096</c:v>
                </c:pt>
                <c:pt idx="597">
                  <c:v>127.23147726012556</c:v>
                </c:pt>
                <c:pt idx="598">
                  <c:v>126.87229690599715</c:v>
                </c:pt>
                <c:pt idx="599">
                  <c:v>126.02702169868292</c:v>
                </c:pt>
                <c:pt idx="600">
                  <c:v>127.99789297287984</c:v>
                </c:pt>
                <c:pt idx="601">
                  <c:v>127.89839446997803</c:v>
                </c:pt>
                <c:pt idx="602">
                  <c:v>127.69046416205636</c:v>
                </c:pt>
                <c:pt idx="603">
                  <c:v>127.53243712803589</c:v>
                </c:pt>
                <c:pt idx="604">
                  <c:v>126.99058614783701</c:v>
                </c:pt>
                <c:pt idx="605">
                  <c:v>129.6942962406201</c:v>
                </c:pt>
                <c:pt idx="606">
                  <c:v>129.6028069051346</c:v>
                </c:pt>
                <c:pt idx="607">
                  <c:v>131.84783814088752</c:v>
                </c:pt>
                <c:pt idx="608">
                  <c:v>132.37120642704892</c:v>
                </c:pt>
                <c:pt idx="609">
                  <c:v>132.61949061695242</c:v>
                </c:pt>
                <c:pt idx="610">
                  <c:v>131.6596227066058</c:v>
                </c:pt>
                <c:pt idx="611">
                  <c:v>131.95842626021178</c:v>
                </c:pt>
                <c:pt idx="612">
                  <c:v>130.2561701393596</c:v>
                </c:pt>
                <c:pt idx="613">
                  <c:v>127.46867183360656</c:v>
                </c:pt>
                <c:pt idx="614">
                  <c:v>127.18342225562807</c:v>
                </c:pt>
                <c:pt idx="615">
                  <c:v>127.55430831598025</c:v>
                </c:pt>
                <c:pt idx="616">
                  <c:v>129.35175031112544</c:v>
                </c:pt>
                <c:pt idx="617">
                  <c:v>124.99414714688822</c:v>
                </c:pt>
                <c:pt idx="618">
                  <c:v>124.16088569069838</c:v>
                </c:pt>
                <c:pt idx="619">
                  <c:v>122.79162610742151</c:v>
                </c:pt>
                <c:pt idx="620">
                  <c:v>121.83175819707489</c:v>
                </c:pt>
                <c:pt idx="621">
                  <c:v>122.19679140431518</c:v>
                </c:pt>
                <c:pt idx="622">
                  <c:v>120.88482817255452</c:v>
                </c:pt>
                <c:pt idx="623">
                  <c:v>120.38980001725059</c:v>
                </c:pt>
                <c:pt idx="624">
                  <c:v>122.59786586492855</c:v>
                </c:pt>
                <c:pt idx="625">
                  <c:v>123.40833199847216</c:v>
                </c:pt>
                <c:pt idx="626">
                  <c:v>125.29295070049419</c:v>
                </c:pt>
                <c:pt idx="627">
                  <c:v>126.61908399768357</c:v>
                </c:pt>
                <c:pt idx="628">
                  <c:v>121.14451002378115</c:v>
                </c:pt>
                <c:pt idx="629">
                  <c:v>121.55482583141328</c:v>
                </c:pt>
                <c:pt idx="630">
                  <c:v>120.17909730522329</c:v>
                </c:pt>
                <c:pt idx="631">
                  <c:v>119.31595549367285</c:v>
                </c:pt>
                <c:pt idx="632">
                  <c:v>120.13412274973209</c:v>
                </c:pt>
                <c:pt idx="633">
                  <c:v>118.77995736658583</c:v>
                </c:pt>
                <c:pt idx="634">
                  <c:v>116.74686102246271</c:v>
                </c:pt>
                <c:pt idx="635">
                  <c:v>115.76296560986738</c:v>
                </c:pt>
                <c:pt idx="636">
                  <c:v>113.76806683342174</c:v>
                </c:pt>
                <c:pt idx="637">
                  <c:v>112.59164335793595</c:v>
                </c:pt>
              </c:numCache>
            </c:numRef>
          </c:val>
          <c:smooth val="0"/>
          <c:extLst>
            <c:ext xmlns:c16="http://schemas.microsoft.com/office/drawing/2014/chart" uri="{C3380CC4-5D6E-409C-BE32-E72D297353CC}">
              <c16:uniqueId val="{00000000-6081-4704-A359-D34AB5B0377E}"/>
            </c:ext>
          </c:extLst>
        </c:ser>
        <c:ser>
          <c:idx val="2"/>
          <c:order val="1"/>
          <c:tx>
            <c:strRef>
              <c:f>Sheet1!$D$1</c:f>
              <c:strCache>
                <c:ptCount val="1"/>
                <c:pt idx="0">
                  <c:v>DAX (Գերմանիա)</c:v>
                </c:pt>
              </c:strCache>
            </c:strRef>
          </c:tx>
          <c:spPr>
            <a:ln w="28575" cap="rnd">
              <a:solidFill>
                <a:srgbClr val="C00000"/>
              </a:solidFill>
              <a:round/>
            </a:ln>
            <a:effectLst/>
          </c:spPr>
          <c:marker>
            <c:symbol val="none"/>
          </c:marker>
          <c:cat>
            <c:numRef>
              <c:f>Sheet1!$A$2:$A$639</c:f>
              <c:numCache>
                <c:formatCode>d\-mmm\-yy</c:formatCode>
                <c:ptCount val="638"/>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pt idx="565">
                  <c:v>44725</c:v>
                </c:pt>
                <c:pt idx="566">
                  <c:v>44726</c:v>
                </c:pt>
                <c:pt idx="567">
                  <c:v>44727</c:v>
                </c:pt>
                <c:pt idx="568">
                  <c:v>44728</c:v>
                </c:pt>
                <c:pt idx="569">
                  <c:v>44729</c:v>
                </c:pt>
                <c:pt idx="570">
                  <c:v>44733</c:v>
                </c:pt>
                <c:pt idx="571">
                  <c:v>44734</c:v>
                </c:pt>
                <c:pt idx="572">
                  <c:v>44735</c:v>
                </c:pt>
                <c:pt idx="573">
                  <c:v>44736</c:v>
                </c:pt>
                <c:pt idx="574">
                  <c:v>44739</c:v>
                </c:pt>
                <c:pt idx="575">
                  <c:v>44740</c:v>
                </c:pt>
                <c:pt idx="576">
                  <c:v>44741</c:v>
                </c:pt>
                <c:pt idx="577">
                  <c:v>44742</c:v>
                </c:pt>
                <c:pt idx="578">
                  <c:v>44743</c:v>
                </c:pt>
                <c:pt idx="579">
                  <c:v>44747</c:v>
                </c:pt>
                <c:pt idx="580">
                  <c:v>44748</c:v>
                </c:pt>
                <c:pt idx="581">
                  <c:v>44749</c:v>
                </c:pt>
                <c:pt idx="582">
                  <c:v>44750</c:v>
                </c:pt>
                <c:pt idx="583">
                  <c:v>44753</c:v>
                </c:pt>
                <c:pt idx="584">
                  <c:v>44754</c:v>
                </c:pt>
                <c:pt idx="585">
                  <c:v>44755</c:v>
                </c:pt>
                <c:pt idx="586">
                  <c:v>44756</c:v>
                </c:pt>
                <c:pt idx="587">
                  <c:v>44757</c:v>
                </c:pt>
                <c:pt idx="588">
                  <c:v>44760</c:v>
                </c:pt>
                <c:pt idx="589">
                  <c:v>44761</c:v>
                </c:pt>
                <c:pt idx="590">
                  <c:v>44762</c:v>
                </c:pt>
                <c:pt idx="591">
                  <c:v>44763</c:v>
                </c:pt>
                <c:pt idx="592">
                  <c:v>44764</c:v>
                </c:pt>
                <c:pt idx="593">
                  <c:v>44767</c:v>
                </c:pt>
                <c:pt idx="594">
                  <c:v>44768</c:v>
                </c:pt>
                <c:pt idx="595">
                  <c:v>44769</c:v>
                </c:pt>
                <c:pt idx="596">
                  <c:v>44770</c:v>
                </c:pt>
                <c:pt idx="597">
                  <c:v>44771</c:v>
                </c:pt>
                <c:pt idx="598">
                  <c:v>44774</c:v>
                </c:pt>
                <c:pt idx="599">
                  <c:v>44775</c:v>
                </c:pt>
                <c:pt idx="600">
                  <c:v>44776</c:v>
                </c:pt>
                <c:pt idx="601">
                  <c:v>44777</c:v>
                </c:pt>
                <c:pt idx="602">
                  <c:v>44778</c:v>
                </c:pt>
                <c:pt idx="603">
                  <c:v>44781</c:v>
                </c:pt>
                <c:pt idx="604">
                  <c:v>44782</c:v>
                </c:pt>
                <c:pt idx="605">
                  <c:v>44783</c:v>
                </c:pt>
                <c:pt idx="606">
                  <c:v>44784</c:v>
                </c:pt>
                <c:pt idx="607">
                  <c:v>44785</c:v>
                </c:pt>
                <c:pt idx="608">
                  <c:v>44788</c:v>
                </c:pt>
                <c:pt idx="609">
                  <c:v>44789</c:v>
                </c:pt>
                <c:pt idx="610">
                  <c:v>44790</c:v>
                </c:pt>
                <c:pt idx="611">
                  <c:v>44791</c:v>
                </c:pt>
                <c:pt idx="612">
                  <c:v>44792</c:v>
                </c:pt>
                <c:pt idx="613">
                  <c:v>44795</c:v>
                </c:pt>
                <c:pt idx="614">
                  <c:v>44796</c:v>
                </c:pt>
                <c:pt idx="615">
                  <c:v>44797</c:v>
                </c:pt>
                <c:pt idx="616">
                  <c:v>44798</c:v>
                </c:pt>
                <c:pt idx="617">
                  <c:v>44799</c:v>
                </c:pt>
                <c:pt idx="618">
                  <c:v>44802</c:v>
                </c:pt>
                <c:pt idx="619">
                  <c:v>44803</c:v>
                </c:pt>
                <c:pt idx="620">
                  <c:v>44804</c:v>
                </c:pt>
                <c:pt idx="621">
                  <c:v>44805</c:v>
                </c:pt>
                <c:pt idx="622">
                  <c:v>44806</c:v>
                </c:pt>
                <c:pt idx="623">
                  <c:v>44810</c:v>
                </c:pt>
                <c:pt idx="624">
                  <c:v>44811</c:v>
                </c:pt>
                <c:pt idx="625">
                  <c:v>44812</c:v>
                </c:pt>
                <c:pt idx="626">
                  <c:v>44813</c:v>
                </c:pt>
                <c:pt idx="627">
                  <c:v>44816</c:v>
                </c:pt>
                <c:pt idx="628">
                  <c:v>44817</c:v>
                </c:pt>
                <c:pt idx="629">
                  <c:v>44818</c:v>
                </c:pt>
                <c:pt idx="630">
                  <c:v>44819</c:v>
                </c:pt>
                <c:pt idx="631">
                  <c:v>44820</c:v>
                </c:pt>
                <c:pt idx="632">
                  <c:v>44823</c:v>
                </c:pt>
                <c:pt idx="633">
                  <c:v>44824</c:v>
                </c:pt>
                <c:pt idx="634">
                  <c:v>44825</c:v>
                </c:pt>
                <c:pt idx="635">
                  <c:v>44826</c:v>
                </c:pt>
                <c:pt idx="636">
                  <c:v>44827</c:v>
                </c:pt>
                <c:pt idx="637">
                  <c:v>44830</c:v>
                </c:pt>
              </c:numCache>
            </c:numRef>
          </c:cat>
          <c:val>
            <c:numRef>
              <c:f>Sheet1!$D$2:$D$639</c:f>
              <c:numCache>
                <c:formatCode>0</c:formatCode>
                <c:ptCount val="638"/>
                <c:pt idx="0">
                  <c:v>100</c:v>
                </c:pt>
                <c:pt idx="1">
                  <c:v>101.47170067166959</c:v>
                </c:pt>
                <c:pt idx="2">
                  <c:v>102.80391772980705</c:v>
                </c:pt>
                <c:pt idx="3">
                  <c:v>102.71440749174029</c:v>
                </c:pt>
                <c:pt idx="4">
                  <c:v>102.47223468594095</c:v>
                </c:pt>
                <c:pt idx="5">
                  <c:v>102.51009561217003</c:v>
                </c:pt>
                <c:pt idx="6">
                  <c:v>102.32581879014153</c:v>
                </c:pt>
                <c:pt idx="7">
                  <c:v>102.30395543837545</c:v>
                </c:pt>
                <c:pt idx="8">
                  <c:v>103.04060565293339</c:v>
                </c:pt>
                <c:pt idx="9">
                  <c:v>103.26716177889983</c:v>
                </c:pt>
                <c:pt idx="10">
                  <c:v>102.9615319277306</c:v>
                </c:pt>
                <c:pt idx="11">
                  <c:v>101.99154566279097</c:v>
                </c:pt>
                <c:pt idx="12">
                  <c:v>103.42569012393552</c:v>
                </c:pt>
                <c:pt idx="13">
                  <c:v>100.59251968653899</c:v>
                </c:pt>
                <c:pt idx="14">
                  <c:v>101.49843947470063</c:v>
                </c:pt>
                <c:pt idx="15">
                  <c:v>101.66077676603703</c:v>
                </c:pt>
                <c:pt idx="16">
                  <c:v>100.22952710408101</c:v>
                </c:pt>
                <c:pt idx="17">
                  <c:v>98.895253214941135</c:v>
                </c:pt>
                <c:pt idx="18">
                  <c:v>99.376856385203325</c:v>
                </c:pt>
                <c:pt idx="19">
                  <c:v>101.17886888007077</c:v>
                </c:pt>
                <c:pt idx="20">
                  <c:v>102.67647038658521</c:v>
                </c:pt>
                <c:pt idx="21">
                  <c:v>103.41152084369685</c:v>
                </c:pt>
                <c:pt idx="22">
                  <c:v>102.94675321608382</c:v>
                </c:pt>
                <c:pt idx="23">
                  <c:v>102.7960713004276</c:v>
                </c:pt>
                <c:pt idx="24">
                  <c:v>103.81542150942448</c:v>
                </c:pt>
                <c:pt idx="25">
                  <c:v>104.74434733324244</c:v>
                </c:pt>
                <c:pt idx="26">
                  <c:v>104.71120950042624</c:v>
                </c:pt>
                <c:pt idx="27">
                  <c:v>104.7019156714525</c:v>
                </c:pt>
                <c:pt idx="28">
                  <c:v>104.2218360797106</c:v>
                </c:pt>
                <c:pt idx="29">
                  <c:v>105.04312108107038</c:v>
                </c:pt>
                <c:pt idx="30">
                  <c:v>103.44587753932927</c:v>
                </c:pt>
                <c:pt idx="31">
                  <c:v>97.436579139619965</c:v>
                </c:pt>
                <c:pt idx="32">
                  <c:v>97.317663836111691</c:v>
                </c:pt>
                <c:pt idx="33">
                  <c:v>94.213982032438494</c:v>
                </c:pt>
                <c:pt idx="34">
                  <c:v>90.331980141677562</c:v>
                </c:pt>
                <c:pt idx="35">
                  <c:v>91.303413806211466</c:v>
                </c:pt>
                <c:pt idx="36">
                  <c:v>92.387439923394467</c:v>
                </c:pt>
                <c:pt idx="37">
                  <c:v>90.99359411411146</c:v>
                </c:pt>
                <c:pt idx="38">
                  <c:v>87.924726079626808</c:v>
                </c:pt>
                <c:pt idx="39">
                  <c:v>79.801157767317576</c:v>
                </c:pt>
                <c:pt idx="40">
                  <c:v>79.520743140659064</c:v>
                </c:pt>
                <c:pt idx="41">
                  <c:v>69.788504447706586</c:v>
                </c:pt>
                <c:pt idx="42">
                  <c:v>70.328993927777802</c:v>
                </c:pt>
                <c:pt idx="43">
                  <c:v>66.597521594821046</c:v>
                </c:pt>
                <c:pt idx="44">
                  <c:v>68.097103753411858</c:v>
                </c:pt>
                <c:pt idx="45">
                  <c:v>64.308040152388301</c:v>
                </c:pt>
                <c:pt idx="46">
                  <c:v>65.593330992100988</c:v>
                </c:pt>
                <c:pt idx="47">
                  <c:v>68.019782143507371</c:v>
                </c:pt>
                <c:pt idx="48">
                  <c:v>66.589141912959462</c:v>
                </c:pt>
                <c:pt idx="49">
                  <c:v>73.897900432620105</c:v>
                </c:pt>
                <c:pt idx="50">
                  <c:v>75.221052198561893</c:v>
                </c:pt>
                <c:pt idx="51">
                  <c:v>76.186239191162628</c:v>
                </c:pt>
                <c:pt idx="52">
                  <c:v>73.379502841093057</c:v>
                </c:pt>
                <c:pt idx="53">
                  <c:v>74.777005238824742</c:v>
                </c:pt>
                <c:pt idx="54">
                  <c:v>75.690162024957758</c:v>
                </c:pt>
                <c:pt idx="55">
                  <c:v>72.710880407465851</c:v>
                </c:pt>
                <c:pt idx="56">
                  <c:v>72.909478867585037</c:v>
                </c:pt>
                <c:pt idx="57">
                  <c:v>72.566292805890782</c:v>
                </c:pt>
                <c:pt idx="58">
                  <c:v>76.751563001114519</c:v>
                </c:pt>
                <c:pt idx="59">
                  <c:v>78.896228305194143</c:v>
                </c:pt>
                <c:pt idx="60">
                  <c:v>78.714846282354173</c:v>
                </c:pt>
                <c:pt idx="61">
                  <c:v>80.481054681994905</c:v>
                </c:pt>
                <c:pt idx="62">
                  <c:v>81.485245284714949</c:v>
                </c:pt>
                <c:pt idx="63">
                  <c:v>78.310107648440379</c:v>
                </c:pt>
                <c:pt idx="64">
                  <c:v>78.476025349299462</c:v>
                </c:pt>
                <c:pt idx="65">
                  <c:v>80.946050846386001</c:v>
                </c:pt>
                <c:pt idx="66">
                  <c:v>81.327859623569495</c:v>
                </c:pt>
                <c:pt idx="67">
                  <c:v>78.082256480731729</c:v>
                </c:pt>
                <c:pt idx="68">
                  <c:v>79.340579980635368</c:v>
                </c:pt>
                <c:pt idx="69">
                  <c:v>80.092923053952248</c:v>
                </c:pt>
                <c:pt idx="70">
                  <c:v>78.739223538678743</c:v>
                </c:pt>
                <c:pt idx="71">
                  <c:v>81.20665895228079</c:v>
                </c:pt>
                <c:pt idx="72">
                  <c:v>82.239949904738282</c:v>
                </c:pt>
                <c:pt idx="73">
                  <c:v>84.617570364569517</c:v>
                </c:pt>
                <c:pt idx="74">
                  <c:v>82.74280699535845</c:v>
                </c:pt>
                <c:pt idx="75">
                  <c:v>79.73495828061121</c:v>
                </c:pt>
                <c:pt idx="76">
                  <c:v>81.735873951301897</c:v>
                </c:pt>
                <c:pt idx="77">
                  <c:v>80.796892509250085</c:v>
                </c:pt>
                <c:pt idx="78">
                  <c:v>81.962963329750437</c:v>
                </c:pt>
                <c:pt idx="79">
                  <c:v>83.069157514403585</c:v>
                </c:pt>
                <c:pt idx="80">
                  <c:v>82.421789001134357</c:v>
                </c:pt>
                <c:pt idx="81">
                  <c:v>80.312851613355434</c:v>
                </c:pt>
                <c:pt idx="82">
                  <c:v>78.746308178798088</c:v>
                </c:pt>
                <c:pt idx="83">
                  <c:v>79.722541115670893</c:v>
                </c:pt>
                <c:pt idx="84">
                  <c:v>84.245283953137829</c:v>
                </c:pt>
                <c:pt idx="85">
                  <c:v>84.37036974965325</c:v>
                </c:pt>
                <c:pt idx="86">
                  <c:v>85.501017369556962</c:v>
                </c:pt>
                <c:pt idx="87">
                  <c:v>84.299066274903893</c:v>
                </c:pt>
                <c:pt idx="88">
                  <c:v>84.359552342159219</c:v>
                </c:pt>
                <c:pt idx="89">
                  <c:v>87.641188117001732</c:v>
                </c:pt>
                <c:pt idx="90">
                  <c:v>88.807030400724059</c:v>
                </c:pt>
                <c:pt idx="91">
                  <c:v>89.747383063444133</c:v>
                </c:pt>
                <c:pt idx="92">
                  <c:v>88.267378888838991</c:v>
                </c:pt>
                <c:pt idx="93">
                  <c:v>91.576819971676727</c:v>
                </c:pt>
                <c:pt idx="94">
                  <c:v>95.127367355349605</c:v>
                </c:pt>
                <c:pt idx="95">
                  <c:v>94.694671055588572</c:v>
                </c:pt>
                <c:pt idx="96">
                  <c:v>97.872246417495617</c:v>
                </c:pt>
                <c:pt idx="97">
                  <c:v>97.658259814321539</c:v>
                </c:pt>
                <c:pt idx="98">
                  <c:v>96.122492665873949</c:v>
                </c:pt>
                <c:pt idx="99">
                  <c:v>95.453413158690651</c:v>
                </c:pt>
                <c:pt idx="100">
                  <c:v>91.188383627929994</c:v>
                </c:pt>
                <c:pt idx="101">
                  <c:v>90.739385038001913</c:v>
                </c:pt>
                <c:pt idx="102">
                  <c:v>93.819375195684671</c:v>
                </c:pt>
                <c:pt idx="103">
                  <c:v>94.325812695827508</c:v>
                </c:pt>
                <c:pt idx="104">
                  <c:v>93.55937652119799</c:v>
                </c:pt>
                <c:pt idx="105">
                  <c:v>93.934405373966229</c:v>
                </c:pt>
                <c:pt idx="106">
                  <c:v>93.417988434515507</c:v>
                </c:pt>
                <c:pt idx="107">
                  <c:v>95.404658646041554</c:v>
                </c:pt>
                <c:pt idx="108">
                  <c:v>92.769705774134124</c:v>
                </c:pt>
                <c:pt idx="109">
                  <c:v>92.095674636759895</c:v>
                </c:pt>
                <c:pt idx="110">
                  <c:v>93.182976447761519</c:v>
                </c:pt>
                <c:pt idx="111">
                  <c:v>93.783342563679952</c:v>
                </c:pt>
                <c:pt idx="112">
                  <c:v>96.049894149382382</c:v>
                </c:pt>
                <c:pt idx="113">
                  <c:v>97.002054545634692</c:v>
                </c:pt>
                <c:pt idx="114">
                  <c:v>96.113427373678263</c:v>
                </c:pt>
                <c:pt idx="115">
                  <c:v>95.184120655230245</c:v>
                </c:pt>
                <c:pt idx="116">
                  <c:v>95.143364929812606</c:v>
                </c:pt>
                <c:pt idx="117">
                  <c:v>96.242245937568384</c:v>
                </c:pt>
                <c:pt idx="118">
                  <c:v>97.508796761481562</c:v>
                </c:pt>
                <c:pt idx="119">
                  <c:v>96.727124801649182</c:v>
                </c:pt>
                <c:pt idx="120">
                  <c:v>98.506816871194445</c:v>
                </c:pt>
                <c:pt idx="121">
                  <c:v>98.080138706588542</c:v>
                </c:pt>
                <c:pt idx="122">
                  <c:v>98.420201432316219</c:v>
                </c:pt>
                <c:pt idx="123">
                  <c:v>99.390035339403823</c:v>
                </c:pt>
                <c:pt idx="124">
                  <c:v>100.34158630424801</c:v>
                </c:pt>
                <c:pt idx="125">
                  <c:v>99.826769122243604</c:v>
                </c:pt>
                <c:pt idx="126">
                  <c:v>99.820217734606373</c:v>
                </c:pt>
                <c:pt idx="127">
                  <c:v>97.798962290669863</c:v>
                </c:pt>
                <c:pt idx="128">
                  <c:v>97.80353302623071</c:v>
                </c:pt>
                <c:pt idx="129">
                  <c:v>97.777784549237893</c:v>
                </c:pt>
                <c:pt idx="130">
                  <c:v>97.678599587567319</c:v>
                </c:pt>
                <c:pt idx="131">
                  <c:v>94.306844143249933</c:v>
                </c:pt>
                <c:pt idx="132">
                  <c:v>93.801854042701379</c:v>
                </c:pt>
                <c:pt idx="133">
                  <c:v>96.343335372389305</c:v>
                </c:pt>
                <c:pt idx="134">
                  <c:v>95.992074344537542</c:v>
                </c:pt>
                <c:pt idx="135">
                  <c:v>96.444424807210254</c:v>
                </c:pt>
                <c:pt idx="136">
                  <c:v>95.922065911530439</c:v>
                </c:pt>
                <c:pt idx="137">
                  <c:v>96.555874575969113</c:v>
                </c:pt>
                <c:pt idx="138">
                  <c:v>96.652240917377171</c:v>
                </c:pt>
                <c:pt idx="139">
                  <c:v>98.62801754248315</c:v>
                </c:pt>
                <c:pt idx="140">
                  <c:v>99.479240861766542</c:v>
                </c:pt>
                <c:pt idx="141">
                  <c:v>98.984687274081935</c:v>
                </c:pt>
                <c:pt idx="142">
                  <c:v>98.281022534488173</c:v>
                </c:pt>
                <c:pt idx="143">
                  <c:v>98.428200219547733</c:v>
                </c:pt>
                <c:pt idx="144">
                  <c:v>98.131864197352243</c:v>
                </c:pt>
                <c:pt idx="145">
                  <c:v>98.859906193270575</c:v>
                </c:pt>
                <c:pt idx="146">
                  <c:v>97.737562076302396</c:v>
                </c:pt>
                <c:pt idx="147">
                  <c:v>97.240875478689389</c:v>
                </c:pt>
                <c:pt idx="148">
                  <c:v>99.539498392243843</c:v>
                </c:pt>
                <c:pt idx="149">
                  <c:v>99.502018360644826</c:v>
                </c:pt>
                <c:pt idx="150">
                  <c:v>100.48114609670617</c:v>
                </c:pt>
                <c:pt idx="151">
                  <c:v>99.766663949618376</c:v>
                </c:pt>
                <c:pt idx="152">
                  <c:v>99.285517852912278</c:v>
                </c:pt>
                <c:pt idx="153">
                  <c:v>98.616514524654988</c:v>
                </c:pt>
                <c:pt idx="154">
                  <c:v>98.836443084058175</c:v>
                </c:pt>
                <c:pt idx="155">
                  <c:v>100.88702741451017</c:v>
                </c:pt>
                <c:pt idx="156">
                  <c:v>99.472689474129325</c:v>
                </c:pt>
                <c:pt idx="157">
                  <c:v>97.834004596636461</c:v>
                </c:pt>
                <c:pt idx="158">
                  <c:v>98.791345159857727</c:v>
                </c:pt>
                <c:pt idx="159">
                  <c:v>100.83964412252929</c:v>
                </c:pt>
                <c:pt idx="160">
                  <c:v>100.6239054040569</c:v>
                </c:pt>
                <c:pt idx="161">
                  <c:v>100.57781715381827</c:v>
                </c:pt>
                <c:pt idx="162">
                  <c:v>100.50788489973718</c:v>
                </c:pt>
                <c:pt idx="163">
                  <c:v>100.69079050109744</c:v>
                </c:pt>
                <c:pt idx="164">
                  <c:v>100.97798505217122</c:v>
                </c:pt>
                <c:pt idx="165">
                  <c:v>100.61803962675381</c:v>
                </c:pt>
                <c:pt idx="166">
                  <c:v>99.918183833460745</c:v>
                </c:pt>
                <c:pt idx="167">
                  <c:v>95.546960879836192</c:v>
                </c:pt>
                <c:pt idx="168">
                  <c:v>95.942710400480294</c:v>
                </c:pt>
                <c:pt idx="169">
                  <c:v>96.312787623057602</c:v>
                </c:pt>
                <c:pt idx="170">
                  <c:v>96.035496332365682</c:v>
                </c:pt>
                <c:pt idx="171">
                  <c:v>94.989026425707735</c:v>
                </c:pt>
                <c:pt idx="172">
                  <c:v>98.048905346922737</c:v>
                </c:pt>
                <c:pt idx="173">
                  <c:v>97.705719285228469</c:v>
                </c:pt>
                <c:pt idx="174">
                  <c:v>97.209870655801609</c:v>
                </c:pt>
                <c:pt idx="175">
                  <c:v>96.981638593462876</c:v>
                </c:pt>
                <c:pt idx="176">
                  <c:v>96.66374393520536</c:v>
                </c:pt>
                <c:pt idx="177">
                  <c:v>97.724687837806016</c:v>
                </c:pt>
                <c:pt idx="178">
                  <c:v>98.316674271862894</c:v>
                </c:pt>
                <c:pt idx="179">
                  <c:v>98.488457750025063</c:v>
                </c:pt>
                <c:pt idx="180">
                  <c:v>99.354155065251163</c:v>
                </c:pt>
                <c:pt idx="181">
                  <c:v>99.422868456516042</c:v>
                </c:pt>
                <c:pt idx="182">
                  <c:v>100.08699633350841</c:v>
                </c:pt>
                <c:pt idx="183">
                  <c:v>99.177267599046047</c:v>
                </c:pt>
                <c:pt idx="184">
                  <c:v>99.246361884940981</c:v>
                </c:pt>
                <c:pt idx="185">
                  <c:v>96.775803135372342</c:v>
                </c:pt>
                <c:pt idx="186">
                  <c:v>98.339299412889119</c:v>
                </c:pt>
                <c:pt idx="187">
                  <c:v>97.925419307853616</c:v>
                </c:pt>
                <c:pt idx="188">
                  <c:v>97.028717169739707</c:v>
                </c:pt>
                <c:pt idx="189">
                  <c:v>95.662752847377902</c:v>
                </c:pt>
                <c:pt idx="190">
                  <c:v>95.551683973249112</c:v>
                </c:pt>
                <c:pt idx="191">
                  <c:v>96.3339653644896</c:v>
                </c:pt>
                <c:pt idx="192">
                  <c:v>92.764449428239175</c:v>
                </c:pt>
                <c:pt idx="193">
                  <c:v>91.898980649791113</c:v>
                </c:pt>
                <c:pt idx="194">
                  <c:v>88.066723597717484</c:v>
                </c:pt>
                <c:pt idx="195">
                  <c:v>88.352851643827066</c:v>
                </c:pt>
                <c:pt idx="196">
                  <c:v>88.036023490533736</c:v>
                </c:pt>
                <c:pt idx="197">
                  <c:v>89.801850995544413</c:v>
                </c:pt>
                <c:pt idx="198">
                  <c:v>92.09255130079336</c:v>
                </c:pt>
                <c:pt idx="199">
                  <c:v>95.742359825062834</c:v>
                </c:pt>
                <c:pt idx="200">
                  <c:v>95.071452023655198</c:v>
                </c:pt>
                <c:pt idx="201">
                  <c:v>99.763692971503858</c:v>
                </c:pt>
                <c:pt idx="202">
                  <c:v>100.27515828076365</c:v>
                </c:pt>
                <c:pt idx="203">
                  <c:v>100.67943984112135</c:v>
                </c:pt>
                <c:pt idx="204">
                  <c:v>99.435971231790504</c:v>
                </c:pt>
                <c:pt idx="205">
                  <c:v>99.617048538926397</c:v>
                </c:pt>
                <c:pt idx="206">
                  <c:v>100.0885199120287</c:v>
                </c:pt>
                <c:pt idx="207">
                  <c:v>100.04936394405736</c:v>
                </c:pt>
                <c:pt idx="208">
                  <c:v>100.57058015584695</c:v>
                </c:pt>
                <c:pt idx="209">
                  <c:v>99.688961445083862</c:v>
                </c:pt>
                <c:pt idx="210">
                  <c:v>100.07815957809075</c:v>
                </c:pt>
                <c:pt idx="211">
                  <c:v>99.999847642148069</c:v>
                </c:pt>
                <c:pt idx="212">
                  <c:v>101.26038033090613</c:v>
                </c:pt>
                <c:pt idx="213">
                  <c:v>101.24026909443835</c:v>
                </c:pt>
                <c:pt idx="214">
                  <c:v>101.58977800699181</c:v>
                </c:pt>
                <c:pt idx="215">
                  <c:v>101.2506294283763</c:v>
                </c:pt>
                <c:pt idx="216">
                  <c:v>101.9449241600703</c:v>
                </c:pt>
                <c:pt idx="217">
                  <c:v>101.41883249701579</c:v>
                </c:pt>
                <c:pt idx="218">
                  <c:v>100.95886414174166</c:v>
                </c:pt>
                <c:pt idx="219">
                  <c:v>101.3100489906674</c:v>
                </c:pt>
                <c:pt idx="220">
                  <c:v>101.09705271353153</c:v>
                </c:pt>
                <c:pt idx="221">
                  <c:v>101.15411072911621</c:v>
                </c:pt>
                <c:pt idx="222">
                  <c:v>101.62466795510635</c:v>
                </c:pt>
                <c:pt idx="223">
                  <c:v>101.28544319756482</c:v>
                </c:pt>
                <c:pt idx="224">
                  <c:v>99.90332894288801</c:v>
                </c:pt>
                <c:pt idx="225">
                  <c:v>100.73261273147931</c:v>
                </c:pt>
                <c:pt idx="226">
                  <c:v>101.79690850682462</c:v>
                </c:pt>
                <c:pt idx="227">
                  <c:v>103.34417867310036</c:v>
                </c:pt>
                <c:pt idx="228">
                  <c:v>104.11564265684683</c:v>
                </c:pt>
                <c:pt idx="229">
                  <c:v>103.83576128267042</c:v>
                </c:pt>
                <c:pt idx="230">
                  <c:v>100.90889076627633</c:v>
                </c:pt>
                <c:pt idx="231">
                  <c:v>102.21772089412742</c:v>
                </c:pt>
                <c:pt idx="232">
                  <c:v>103.50605889088067</c:v>
                </c:pt>
                <c:pt idx="233">
                  <c:v>105.05294816252636</c:v>
                </c:pt>
                <c:pt idx="234">
                  <c:v>104.83271488741912</c:v>
                </c:pt>
                <c:pt idx="235">
                  <c:v>104.50819266259835</c:v>
                </c:pt>
                <c:pt idx="236">
                  <c:v>104.5688310877057</c:v>
                </c:pt>
                <c:pt idx="237">
                  <c:v>103.99352783844597</c:v>
                </c:pt>
                <c:pt idx="238">
                  <c:v>105.82753548223941</c:v>
                </c:pt>
                <c:pt idx="239">
                  <c:v>107.02781064052019</c:v>
                </c:pt>
                <c:pt idx="240">
                  <c:v>106.16797910259717</c:v>
                </c:pt>
                <c:pt idx="241">
                  <c:v>106.07961154842062</c:v>
                </c:pt>
                <c:pt idx="242">
                  <c:v>106.19121367503151</c:v>
                </c:pt>
                <c:pt idx="243">
                  <c:v>106.56441423357539</c:v>
                </c:pt>
                <c:pt idx="244">
                  <c:v>105.03344635746669</c:v>
                </c:pt>
                <c:pt idx="245">
                  <c:v>105.24164336226367</c:v>
                </c:pt>
                <c:pt idx="246">
                  <c:v>106.05150152472133</c:v>
                </c:pt>
                <c:pt idx="247">
                  <c:v>105.93951850348036</c:v>
                </c:pt>
                <c:pt idx="248">
                  <c:v>105.6904134154137</c:v>
                </c:pt>
                <c:pt idx="249">
                  <c:v>103.93814575923358</c:v>
                </c:pt>
                <c:pt idx="250">
                  <c:v>105.66771209546145</c:v>
                </c:pt>
                <c:pt idx="251">
                  <c:v>103.75920146202606</c:v>
                </c:pt>
                <c:pt idx="252">
                  <c:v>104.10558703861292</c:v>
                </c:pt>
                <c:pt idx="253">
                  <c:v>102.33016098892446</c:v>
                </c:pt>
                <c:pt idx="254">
                  <c:v>103.7710853744843</c:v>
                </c:pt>
                <c:pt idx="255">
                  <c:v>105.39476300355236</c:v>
                </c:pt>
                <c:pt idx="256">
                  <c:v>106.14489688801483</c:v>
                </c:pt>
                <c:pt idx="257">
                  <c:v>107.10977916491153</c:v>
                </c:pt>
                <c:pt idx="258">
                  <c:v>107.08258328832441</c:v>
                </c:pt>
                <c:pt idx="259">
                  <c:v>107.10688436572296</c:v>
                </c:pt>
                <c:pt idx="260">
                  <c:v>106.74038755266834</c:v>
                </c:pt>
                <c:pt idx="261">
                  <c:v>106.13986907889787</c:v>
                </c:pt>
                <c:pt idx="262">
                  <c:v>106.96214440629586</c:v>
                </c:pt>
                <c:pt idx="263">
                  <c:v>107.03055308185667</c:v>
                </c:pt>
                <c:pt idx="264">
                  <c:v>107.14261228202366</c:v>
                </c:pt>
                <c:pt idx="265">
                  <c:v>105.95932502424408</c:v>
                </c:pt>
                <c:pt idx="266">
                  <c:v>105.7891413035282</c:v>
                </c:pt>
                <c:pt idx="267">
                  <c:v>106.59892328705983</c:v>
                </c:pt>
                <c:pt idx="268">
                  <c:v>106.26990650560423</c:v>
                </c:pt>
                <c:pt idx="269">
                  <c:v>106.46766699753725</c:v>
                </c:pt>
                <c:pt idx="270">
                  <c:v>105.73124531975735</c:v>
                </c:pt>
                <c:pt idx="271">
                  <c:v>105.02247659212064</c:v>
                </c:pt>
                <c:pt idx="272">
                  <c:v>106.74815780312179</c:v>
                </c:pt>
                <c:pt idx="273">
                  <c:v>106.95368854550827</c:v>
                </c:pt>
                <c:pt idx="274">
                  <c:v>107.26015636486368</c:v>
                </c:pt>
                <c:pt idx="275">
                  <c:v>107.07968848913588</c:v>
                </c:pt>
                <c:pt idx="276">
                  <c:v>106.04632135775236</c:v>
                </c:pt>
                <c:pt idx="277">
                  <c:v>109.98667630584023</c:v>
                </c:pt>
                <c:pt idx="278">
                  <c:v>110.76606289789218</c:v>
                </c:pt>
                <c:pt idx="279">
                  <c:v>110.98804828829775</c:v>
                </c:pt>
                <c:pt idx="280">
                  <c:v>110.47764948400217</c:v>
                </c:pt>
                <c:pt idx="281">
                  <c:v>110.16554442412172</c:v>
                </c:pt>
                <c:pt idx="282">
                  <c:v>110.89808097667489</c:v>
                </c:pt>
                <c:pt idx="283">
                  <c:v>111.19540732490857</c:v>
                </c:pt>
                <c:pt idx="284">
                  <c:v>112.55832449022979</c:v>
                </c:pt>
                <c:pt idx="285">
                  <c:v>111.38120772545736</c:v>
                </c:pt>
                <c:pt idx="286">
                  <c:v>111.65705161655501</c:v>
                </c:pt>
                <c:pt idx="287">
                  <c:v>111.69369367996788</c:v>
                </c:pt>
                <c:pt idx="288">
                  <c:v>111.30038188495622</c:v>
                </c:pt>
                <c:pt idx="289">
                  <c:v>111.38395016679388</c:v>
                </c:pt>
                <c:pt idx="290">
                  <c:v>112.35584090488388</c:v>
                </c:pt>
                <c:pt idx="291">
                  <c:v>112.87979955800999</c:v>
                </c:pt>
                <c:pt idx="292">
                  <c:v>114.33397907669632</c:v>
                </c:pt>
                <c:pt idx="293">
                  <c:v>114.33192224569395</c:v>
                </c:pt>
                <c:pt idx="294">
                  <c:v>115.08479857149293</c:v>
                </c:pt>
                <c:pt idx="295">
                  <c:v>115.88856241986944</c:v>
                </c:pt>
                <c:pt idx="296">
                  <c:v>115.61188056058563</c:v>
                </c:pt>
                <c:pt idx="297">
                  <c:v>115.81238349385518</c:v>
                </c:pt>
                <c:pt idx="298">
                  <c:v>116.05219475294808</c:v>
                </c:pt>
                <c:pt idx="299">
                  <c:v>115.90623593070475</c:v>
                </c:pt>
                <c:pt idx="300">
                  <c:v>116.05371833146837</c:v>
                </c:pt>
                <c:pt idx="301">
                  <c:v>115.86167125898641</c:v>
                </c:pt>
                <c:pt idx="302">
                  <c:v>116.2134655393203</c:v>
                </c:pt>
                <c:pt idx="303">
                  <c:v>117.7707151449039</c:v>
                </c:pt>
                <c:pt idx="304">
                  <c:v>117.07474447683757</c:v>
                </c:pt>
                <c:pt idx="305">
                  <c:v>115.25498229220881</c:v>
                </c:pt>
                <c:pt idx="306">
                  <c:v>115.7612674344996</c:v>
                </c:pt>
                <c:pt idx="307">
                  <c:v>116.71007595800729</c:v>
                </c:pt>
                <c:pt idx="308">
                  <c:v>116.39850415060896</c:v>
                </c:pt>
                <c:pt idx="309">
                  <c:v>116.52587531490479</c:v>
                </c:pt>
                <c:pt idx="310">
                  <c:v>116.16730111015565</c:v>
                </c:pt>
                <c:pt idx="311">
                  <c:v>116.49418488168286</c:v>
                </c:pt>
                <c:pt idx="312">
                  <c:v>115.44306806053802</c:v>
                </c:pt>
                <c:pt idx="313">
                  <c:v>115.30373680485792</c:v>
                </c:pt>
                <c:pt idx="314">
                  <c:v>113.17506907524131</c:v>
                </c:pt>
                <c:pt idx="315">
                  <c:v>115.56937271986968</c:v>
                </c:pt>
                <c:pt idx="316">
                  <c:v>115.7671332118027</c:v>
                </c:pt>
                <c:pt idx="317">
                  <c:v>117.31287979955816</c:v>
                </c:pt>
                <c:pt idx="318">
                  <c:v>117.31866939793524</c:v>
                </c:pt>
                <c:pt idx="319">
                  <c:v>115.18063166041887</c:v>
                </c:pt>
                <c:pt idx="320">
                  <c:v>115.41274884798433</c:v>
                </c:pt>
                <c:pt idx="321">
                  <c:v>115.7895298160509</c:v>
                </c:pt>
                <c:pt idx="322">
                  <c:v>117.4423077948564</c:v>
                </c:pt>
                <c:pt idx="323">
                  <c:v>117.28979758497586</c:v>
                </c:pt>
                <c:pt idx="324">
                  <c:v>117.21331394325753</c:v>
                </c:pt>
                <c:pt idx="325">
                  <c:v>115.13347690521606</c:v>
                </c:pt>
                <c:pt idx="326">
                  <c:v>117.08898993600225</c:v>
                </c:pt>
                <c:pt idx="327">
                  <c:v>117.60129321344819</c:v>
                </c:pt>
                <c:pt idx="328">
                  <c:v>117.81139469139552</c:v>
                </c:pt>
                <c:pt idx="329">
                  <c:v>117.701925574713</c:v>
                </c:pt>
                <c:pt idx="330">
                  <c:v>117.36681447917624</c:v>
                </c:pt>
                <c:pt idx="331">
                  <c:v>118.22954081628781</c:v>
                </c:pt>
                <c:pt idx="332">
                  <c:v>118.59047656774341</c:v>
                </c:pt>
                <c:pt idx="333">
                  <c:v>118.85976907120383</c:v>
                </c:pt>
                <c:pt idx="334">
                  <c:v>119.08800113354258</c:v>
                </c:pt>
                <c:pt idx="335">
                  <c:v>119.5468268049265</c:v>
                </c:pt>
                <c:pt idx="336">
                  <c:v>119.42684499645402</c:v>
                </c:pt>
                <c:pt idx="337">
                  <c:v>119.14841102187189</c:v>
                </c:pt>
                <c:pt idx="338">
                  <c:v>118.69545112779107</c:v>
                </c:pt>
                <c:pt idx="339">
                  <c:v>118.61988163318493</c:v>
                </c:pt>
                <c:pt idx="340">
                  <c:v>119.54964542518904</c:v>
                </c:pt>
                <c:pt idx="341">
                  <c:v>119.40010619342303</c:v>
                </c:pt>
                <c:pt idx="342">
                  <c:v>119.82579403199075</c:v>
                </c:pt>
                <c:pt idx="343">
                  <c:v>119.68143496719371</c:v>
                </c:pt>
                <c:pt idx="344">
                  <c:v>119.81170093067811</c:v>
                </c:pt>
                <c:pt idx="345">
                  <c:v>117.68150962254121</c:v>
                </c:pt>
                <c:pt idx="346">
                  <c:v>118.8638065542826</c:v>
                </c:pt>
                <c:pt idx="347">
                  <c:v>119.11588262046381</c:v>
                </c:pt>
                <c:pt idx="348">
                  <c:v>117.7451190257631</c:v>
                </c:pt>
                <c:pt idx="349">
                  <c:v>118.75707987893659</c:v>
                </c:pt>
                <c:pt idx="350">
                  <c:v>118.89983918628732</c:v>
                </c:pt>
                <c:pt idx="351">
                  <c:v>118.49007274325659</c:v>
                </c:pt>
                <c:pt idx="352">
                  <c:v>119.5292294730172</c:v>
                </c:pt>
                <c:pt idx="353">
                  <c:v>118.31379470845961</c:v>
                </c:pt>
                <c:pt idx="354">
                  <c:v>118.86814875306541</c:v>
                </c:pt>
                <c:pt idx="355">
                  <c:v>119.22070482265944</c:v>
                </c:pt>
                <c:pt idx="356">
                  <c:v>118.16402693991556</c:v>
                </c:pt>
                <c:pt idx="357">
                  <c:v>119.54537940533223</c:v>
                </c:pt>
                <c:pt idx="358">
                  <c:v>117.47277936526211</c:v>
                </c:pt>
                <c:pt idx="359">
                  <c:v>119.50896587869742</c:v>
                </c:pt>
                <c:pt idx="360">
                  <c:v>120.29040930175177</c:v>
                </c:pt>
                <c:pt idx="361">
                  <c:v>120.28378173518851</c:v>
                </c:pt>
                <c:pt idx="362">
                  <c:v>120.27875392607157</c:v>
                </c:pt>
                <c:pt idx="363">
                  <c:v>119.06507127681229</c:v>
                </c:pt>
                <c:pt idx="364">
                  <c:v>118.38441257287482</c:v>
                </c:pt>
                <c:pt idx="365">
                  <c:v>115.28309231590806</c:v>
                </c:pt>
                <c:pt idx="366">
                  <c:v>115.91591065430856</c:v>
                </c:pt>
                <c:pt idx="367">
                  <c:v>117.48694864550076</c:v>
                </c:pt>
                <c:pt idx="368">
                  <c:v>118.18809948053607</c:v>
                </c:pt>
                <c:pt idx="369">
                  <c:v>119.36696836060682</c:v>
                </c:pt>
                <c:pt idx="370">
                  <c:v>118.98371218382904</c:v>
                </c:pt>
                <c:pt idx="371">
                  <c:v>118.2230656075766</c:v>
                </c:pt>
                <c:pt idx="372">
                  <c:v>118.6133302455477</c:v>
                </c:pt>
                <c:pt idx="373">
                  <c:v>119.1474206958337</c:v>
                </c:pt>
                <c:pt idx="374">
                  <c:v>118.41549357468865</c:v>
                </c:pt>
                <c:pt idx="375">
                  <c:v>118.60091308060738</c:v>
                </c:pt>
                <c:pt idx="376">
                  <c:v>118.49692884659791</c:v>
                </c:pt>
                <c:pt idx="377">
                  <c:v>119.54096102762341</c:v>
                </c:pt>
                <c:pt idx="378">
                  <c:v>119.94120510490237</c:v>
                </c:pt>
                <c:pt idx="379">
                  <c:v>120.06903334275431</c:v>
                </c:pt>
                <c:pt idx="380">
                  <c:v>119.94684234542741</c:v>
                </c:pt>
                <c:pt idx="381">
                  <c:v>120.1395750282435</c:v>
                </c:pt>
                <c:pt idx="382">
                  <c:v>120.56145392051052</c:v>
                </c:pt>
                <c:pt idx="383">
                  <c:v>121.41023951416146</c:v>
                </c:pt>
                <c:pt idx="384">
                  <c:v>121.71442196573642</c:v>
                </c:pt>
                <c:pt idx="385">
                  <c:v>121.32050073931664</c:v>
                </c:pt>
                <c:pt idx="386">
                  <c:v>121.29170510528326</c:v>
                </c:pt>
                <c:pt idx="387">
                  <c:v>121.62704473759804</c:v>
                </c:pt>
                <c:pt idx="388">
                  <c:v>120.1022473544965</c:v>
                </c:pt>
                <c:pt idx="389">
                  <c:v>120.42395095905475</c:v>
                </c:pt>
                <c:pt idx="390">
                  <c:v>120.76485165296859</c:v>
                </c:pt>
                <c:pt idx="391">
                  <c:v>121.16905703440027</c:v>
                </c:pt>
                <c:pt idx="392">
                  <c:v>120.8248044677418</c:v>
                </c:pt>
                <c:pt idx="393">
                  <c:v>120.31410094774216</c:v>
                </c:pt>
                <c:pt idx="394">
                  <c:v>120.75692904466308</c:v>
                </c:pt>
                <c:pt idx="395">
                  <c:v>121.0278213055698</c:v>
                </c:pt>
                <c:pt idx="396">
                  <c:v>120.63001495392331</c:v>
                </c:pt>
                <c:pt idx="397">
                  <c:v>120.54774171382792</c:v>
                </c:pt>
                <c:pt idx="398">
                  <c:v>120.67191336323117</c:v>
                </c:pt>
                <c:pt idx="399">
                  <c:v>120.21948672163245</c:v>
                </c:pt>
                <c:pt idx="400">
                  <c:v>120.69095809473473</c:v>
                </c:pt>
                <c:pt idx="401">
                  <c:v>118.91743651819661</c:v>
                </c:pt>
                <c:pt idx="402">
                  <c:v>119.01547879597696</c:v>
                </c:pt>
                <c:pt idx="403">
                  <c:v>118.91385610867393</c:v>
                </c:pt>
                <c:pt idx="404">
                  <c:v>119.61173124989062</c:v>
                </c:pt>
                <c:pt idx="405">
                  <c:v>119.77604919330339</c:v>
                </c:pt>
                <c:pt idx="406">
                  <c:v>118.96101086387677</c:v>
                </c:pt>
                <c:pt idx="407">
                  <c:v>119.23335052437777</c:v>
                </c:pt>
                <c:pt idx="408">
                  <c:v>118.00245143783927</c:v>
                </c:pt>
                <c:pt idx="409">
                  <c:v>115.27440791834242</c:v>
                </c:pt>
                <c:pt idx="410">
                  <c:v>116.92345312977322</c:v>
                </c:pt>
                <c:pt idx="411">
                  <c:v>118.12867991824491</c:v>
                </c:pt>
                <c:pt idx="412">
                  <c:v>119.17408331993867</c:v>
                </c:pt>
                <c:pt idx="413">
                  <c:v>118.31920341220659</c:v>
                </c:pt>
                <c:pt idx="414">
                  <c:v>118.64014522750468</c:v>
                </c:pt>
                <c:pt idx="415">
                  <c:v>116.1618924064086</c:v>
                </c:pt>
                <c:pt idx="416">
                  <c:v>117.05097665192109</c:v>
                </c:pt>
                <c:pt idx="417">
                  <c:v>116.2542974436639</c:v>
                </c:pt>
                <c:pt idx="418">
                  <c:v>115.4601321399652</c:v>
                </c:pt>
                <c:pt idx="419">
                  <c:v>114.54682299598016</c:v>
                </c:pt>
                <c:pt idx="420">
                  <c:v>115.74999295344948</c:v>
                </c:pt>
                <c:pt idx="421">
                  <c:v>114.06521982571799</c:v>
                </c:pt>
                <c:pt idx="422">
                  <c:v>116.1794135593919</c:v>
                </c:pt>
                <c:pt idx="423">
                  <c:v>115.83866522333008</c:v>
                </c:pt>
                <c:pt idx="424">
                  <c:v>115.7854161540461</c:v>
                </c:pt>
                <c:pt idx="425">
                  <c:v>115.38722890776955</c:v>
                </c:pt>
                <c:pt idx="426">
                  <c:v>116.16813907834177</c:v>
                </c:pt>
                <c:pt idx="427">
                  <c:v>117.7933402859301</c:v>
                </c:pt>
                <c:pt idx="428">
                  <c:v>118.74283441977191</c:v>
                </c:pt>
                <c:pt idx="429">
                  <c:v>117.88285052399686</c:v>
                </c:pt>
                <c:pt idx="430">
                  <c:v>118.19792656199186</c:v>
                </c:pt>
                <c:pt idx="431">
                  <c:v>118.25193742053597</c:v>
                </c:pt>
                <c:pt idx="432">
                  <c:v>117.86830034912813</c:v>
                </c:pt>
                <c:pt idx="433">
                  <c:v>118.40475234612059</c:v>
                </c:pt>
                <c:pt idx="434">
                  <c:v>118.83325880495084</c:v>
                </c:pt>
                <c:pt idx="435">
                  <c:v>120.035590794234</c:v>
                </c:pt>
                <c:pt idx="436">
                  <c:v>119.64517379841089</c:v>
                </c:pt>
                <c:pt idx="437">
                  <c:v>119.57295617654937</c:v>
                </c:pt>
                <c:pt idx="438">
                  <c:v>119.5153649084826</c:v>
                </c:pt>
                <c:pt idx="439">
                  <c:v>120.41061964700225</c:v>
                </c:pt>
                <c:pt idx="440">
                  <c:v>121.53928661482961</c:v>
                </c:pt>
                <c:pt idx="441">
                  <c:v>121.58141356091549</c:v>
                </c:pt>
                <c:pt idx="442">
                  <c:v>122.30039026463814</c:v>
                </c:pt>
                <c:pt idx="443">
                  <c:v>122.24066598664295</c:v>
                </c:pt>
                <c:pt idx="444">
                  <c:v>122.19457773640431</c:v>
                </c:pt>
                <c:pt idx="445">
                  <c:v>122.40300327797934</c:v>
                </c:pt>
                <c:pt idx="446">
                  <c:v>122.51940467692914</c:v>
                </c:pt>
                <c:pt idx="447">
                  <c:v>122.60289677984078</c:v>
                </c:pt>
                <c:pt idx="448">
                  <c:v>123.01860517910062</c:v>
                </c:pt>
                <c:pt idx="449">
                  <c:v>123.77445248301417</c:v>
                </c:pt>
                <c:pt idx="450">
                  <c:v>123.79936299182083</c:v>
                </c:pt>
                <c:pt idx="451">
                  <c:v>123.5753969493389</c:v>
                </c:pt>
                <c:pt idx="452">
                  <c:v>123.10491590227478</c:v>
                </c:pt>
                <c:pt idx="453">
                  <c:v>122.76759561788361</c:v>
                </c:pt>
                <c:pt idx="454">
                  <c:v>121.4063543889347</c:v>
                </c:pt>
                <c:pt idx="455">
                  <c:v>120.95986970356509</c:v>
                </c:pt>
                <c:pt idx="456">
                  <c:v>116.22649213566872</c:v>
                </c:pt>
                <c:pt idx="457">
                  <c:v>116.4079503374347</c:v>
                </c:pt>
                <c:pt idx="458">
                  <c:v>115.03116860757886</c:v>
                </c:pt>
                <c:pt idx="459">
                  <c:v>117.86913831731431</c:v>
                </c:pt>
                <c:pt idx="460">
                  <c:v>116.27273274375936</c:v>
                </c:pt>
                <c:pt idx="461">
                  <c:v>115.56327840578849</c:v>
                </c:pt>
                <c:pt idx="462">
                  <c:v>117.16920634509523</c:v>
                </c:pt>
                <c:pt idx="463">
                  <c:v>120.46889652540312</c:v>
                </c:pt>
                <c:pt idx="464">
                  <c:v>119.50256684891217</c:v>
                </c:pt>
                <c:pt idx="465">
                  <c:v>119.13820304578593</c:v>
                </c:pt>
                <c:pt idx="466">
                  <c:v>119.01669765879316</c:v>
                </c:pt>
                <c:pt idx="467">
                  <c:v>119.00458520955689</c:v>
                </c:pt>
                <c:pt idx="468">
                  <c:v>117.72356038970101</c:v>
                </c:pt>
                <c:pt idx="469">
                  <c:v>117.89717216208751</c:v>
                </c:pt>
                <c:pt idx="470">
                  <c:v>119.11641587294582</c:v>
                </c:pt>
                <c:pt idx="471">
                  <c:v>118.31874633865046</c:v>
                </c:pt>
                <c:pt idx="472">
                  <c:v>116.09416934118188</c:v>
                </c:pt>
                <c:pt idx="473">
                  <c:v>117.67693888698028</c:v>
                </c:pt>
                <c:pt idx="474">
                  <c:v>118.7893797435666</c:v>
                </c:pt>
                <c:pt idx="475">
                  <c:v>120.0298773747829</c:v>
                </c:pt>
                <c:pt idx="476">
                  <c:v>120.63123381673951</c:v>
                </c:pt>
                <c:pt idx="477">
                  <c:v>121.60975212139276</c:v>
                </c:pt>
                <c:pt idx="478">
                  <c:v>120.76073799096376</c:v>
                </c:pt>
                <c:pt idx="479">
                  <c:v>121.00915746869629</c:v>
                </c:pt>
                <c:pt idx="480">
                  <c:v>122.04420053645211</c:v>
                </c:pt>
                <c:pt idx="481">
                  <c:v>123.04884821272825</c:v>
                </c:pt>
                <c:pt idx="482">
                  <c:v>123.95644393726221</c:v>
                </c:pt>
                <c:pt idx="483">
                  <c:v>122.28264057487678</c:v>
                </c:pt>
                <c:pt idx="484">
                  <c:v>121.488170555474</c:v>
                </c:pt>
                <c:pt idx="485">
                  <c:v>120.12098737029598</c:v>
                </c:pt>
                <c:pt idx="486">
                  <c:v>121.44299645234753</c:v>
                </c:pt>
                <c:pt idx="487">
                  <c:v>121.96489827447125</c:v>
                </c:pt>
                <c:pt idx="488">
                  <c:v>122.12693085010359</c:v>
                </c:pt>
                <c:pt idx="489">
                  <c:v>120.99681648268196</c:v>
                </c:pt>
                <c:pt idx="490">
                  <c:v>120.15366812955608</c:v>
                </c:pt>
                <c:pt idx="491">
                  <c:v>120.43674901862509</c:v>
                </c:pt>
                <c:pt idx="492">
                  <c:v>121.21842097845747</c:v>
                </c:pt>
                <c:pt idx="493">
                  <c:v>118.86868200554746</c:v>
                </c:pt>
                <c:pt idx="494">
                  <c:v>114.35317616605188</c:v>
                </c:pt>
                <c:pt idx="495">
                  <c:v>115.21201737793672</c:v>
                </c:pt>
                <c:pt idx="496">
                  <c:v>117.76797270356734</c:v>
                </c:pt>
                <c:pt idx="497">
                  <c:v>118.2622215755479</c:v>
                </c:pt>
                <c:pt idx="498">
                  <c:v>116.698115866623</c:v>
                </c:pt>
                <c:pt idx="499">
                  <c:v>117.85794001519018</c:v>
                </c:pt>
                <c:pt idx="500">
                  <c:v>118.98683551979558</c:v>
                </c:pt>
                <c:pt idx="501">
                  <c:v>118.94402296337557</c:v>
                </c:pt>
                <c:pt idx="502">
                  <c:v>117.07535390824563</c:v>
                </c:pt>
                <c:pt idx="503">
                  <c:v>115.02682640879603</c:v>
                </c:pt>
                <c:pt idx="504">
                  <c:v>115.84255034855678</c:v>
                </c:pt>
                <c:pt idx="505">
                  <c:v>116.11481383013177</c:v>
                </c:pt>
                <c:pt idx="506">
                  <c:v>117.94028943421162</c:v>
                </c:pt>
                <c:pt idx="507">
                  <c:v>118.00450826884165</c:v>
                </c:pt>
                <c:pt idx="508">
                  <c:v>117.50690752411647</c:v>
                </c:pt>
                <c:pt idx="509">
                  <c:v>115.13660024118259</c:v>
                </c:pt>
                <c:pt idx="510">
                  <c:v>117.41236947693275</c:v>
                </c:pt>
                <c:pt idx="511">
                  <c:v>117.08929465170625</c:v>
                </c:pt>
                <c:pt idx="512">
                  <c:v>116.30716561831778</c:v>
                </c:pt>
                <c:pt idx="513">
                  <c:v>114.59222563588465</c:v>
                </c:pt>
                <c:pt idx="514">
                  <c:v>111.92969599276005</c:v>
                </c:pt>
                <c:pt idx="515">
                  <c:v>108.73619923531604</c:v>
                </c:pt>
                <c:pt idx="516">
                  <c:v>108.97974326178363</c:v>
                </c:pt>
                <c:pt idx="517">
                  <c:v>109.82997625502884</c:v>
                </c:pt>
                <c:pt idx="518">
                  <c:v>112.89968225769967</c:v>
                </c:pt>
                <c:pt idx="519">
                  <c:v>111.26732023106599</c:v>
                </c:pt>
                <c:pt idx="520">
                  <c:v>109.8100173764131</c:v>
                </c:pt>
                <c:pt idx="521">
                  <c:v>110.05173310865636</c:v>
                </c:pt>
                <c:pt idx="522">
                  <c:v>110.59778365032662</c:v>
                </c:pt>
                <c:pt idx="523">
                  <c:v>109.88322532431282</c:v>
                </c:pt>
                <c:pt idx="524">
                  <c:v>107.80605454868186</c:v>
                </c:pt>
                <c:pt idx="525">
                  <c:v>107.24583472677294</c:v>
                </c:pt>
                <c:pt idx="526">
                  <c:v>108.81146401421813</c:v>
                </c:pt>
                <c:pt idx="527">
                  <c:v>108.11907375567448</c:v>
                </c:pt>
                <c:pt idx="528">
                  <c:v>107.60235210051972</c:v>
                </c:pt>
                <c:pt idx="529">
                  <c:v>107.23280813042453</c:v>
                </c:pt>
                <c:pt idx="530">
                  <c:v>107.89868812271521</c:v>
                </c:pt>
                <c:pt idx="531">
                  <c:v>107.81953821858639</c:v>
                </c:pt>
                <c:pt idx="532">
                  <c:v>109.40840207846593</c:v>
                </c:pt>
                <c:pt idx="533">
                  <c:v>110.47780184185417</c:v>
                </c:pt>
                <c:pt idx="534">
                  <c:v>107.73292277970816</c:v>
                </c:pt>
                <c:pt idx="535">
                  <c:v>106.07283162400529</c:v>
                </c:pt>
                <c:pt idx="536">
                  <c:v>104.79477778226395</c:v>
                </c:pt>
                <c:pt idx="537">
                  <c:v>105.08075347052151</c:v>
                </c:pt>
                <c:pt idx="538">
                  <c:v>106.4969197051267</c:v>
                </c:pt>
                <c:pt idx="539">
                  <c:v>107.39613574779908</c:v>
                </c:pt>
                <c:pt idx="540">
                  <c:v>106.42820631386182</c:v>
                </c:pt>
                <c:pt idx="541">
                  <c:v>105.90790424918438</c:v>
                </c:pt>
                <c:pt idx="542">
                  <c:v>104.16927262076081</c:v>
                </c:pt>
                <c:pt idx="543">
                  <c:v>105.34509434379098</c:v>
                </c:pt>
                <c:pt idx="544">
                  <c:v>104.66710190226402</c:v>
                </c:pt>
                <c:pt idx="545">
                  <c:v>106.86326416032929</c:v>
                </c:pt>
                <c:pt idx="546">
                  <c:v>106.37914708550862</c:v>
                </c:pt>
                <c:pt idx="547">
                  <c:v>108.06696737028069</c:v>
                </c:pt>
                <c:pt idx="548">
                  <c:v>106.70961126655851</c:v>
                </c:pt>
                <c:pt idx="549">
                  <c:v>105.75387046078353</c:v>
                </c:pt>
                <c:pt idx="550">
                  <c:v>106.51268874281163</c:v>
                </c:pt>
                <c:pt idx="551">
                  <c:v>107.98667478226166</c:v>
                </c:pt>
                <c:pt idx="552">
                  <c:v>106.03916053870697</c:v>
                </c:pt>
                <c:pt idx="553">
                  <c:v>106.71090630830076</c:v>
                </c:pt>
                <c:pt idx="554">
                  <c:v>108.41243879975541</c:v>
                </c:pt>
                <c:pt idx="555">
                  <c:v>110.17141020142479</c:v>
                </c:pt>
                <c:pt idx="556">
                  <c:v>109.60890501173544</c:v>
                </c:pt>
                <c:pt idx="557">
                  <c:v>109.24416031397914</c:v>
                </c:pt>
                <c:pt idx="558">
                  <c:v>110.34646937340555</c:v>
                </c:pt>
                <c:pt idx="559">
                  <c:v>110.15541262696178</c:v>
                </c:pt>
                <c:pt idx="560">
                  <c:v>111.63115078171013</c:v>
                </c:pt>
                <c:pt idx="561">
                  <c:v>110.89076779977749</c:v>
                </c:pt>
                <c:pt idx="562">
                  <c:v>110.04800034128166</c:v>
                </c:pt>
                <c:pt idx="563">
                  <c:v>108.16493346913504</c:v>
                </c:pt>
                <c:pt idx="564">
                  <c:v>104.8361429390897</c:v>
                </c:pt>
                <c:pt idx="565">
                  <c:v>102.28567249613211</c:v>
                </c:pt>
                <c:pt idx="566">
                  <c:v>101.35141414749314</c:v>
                </c:pt>
                <c:pt idx="567">
                  <c:v>102.72949091909122</c:v>
                </c:pt>
                <c:pt idx="568">
                  <c:v>99.325816504773826</c:v>
                </c:pt>
                <c:pt idx="569">
                  <c:v>99.994438938401046</c:v>
                </c:pt>
                <c:pt idx="570">
                  <c:v>101.05591609348382</c:v>
                </c:pt>
                <c:pt idx="571">
                  <c:v>101.26007561520206</c:v>
                </c:pt>
                <c:pt idx="572">
                  <c:v>100.13171336307877</c:v>
                </c:pt>
                <c:pt idx="573">
                  <c:v>98.366723826254244</c:v>
                </c:pt>
                <c:pt idx="574">
                  <c:v>99.932505471551451</c:v>
                </c:pt>
                <c:pt idx="575">
                  <c:v>100.45006509489237</c:v>
                </c:pt>
                <c:pt idx="576">
                  <c:v>100.79858368140764</c:v>
                </c:pt>
                <c:pt idx="577">
                  <c:v>99.05812375875972</c:v>
                </c:pt>
                <c:pt idx="578">
                  <c:v>97.385386901338478</c:v>
                </c:pt>
                <c:pt idx="579">
                  <c:v>97.608286438856226</c:v>
                </c:pt>
                <c:pt idx="580">
                  <c:v>97.306236997209652</c:v>
                </c:pt>
                <c:pt idx="581">
                  <c:v>94.471009728810742</c:v>
                </c:pt>
                <c:pt idx="582">
                  <c:v>95.943700726518514</c:v>
                </c:pt>
                <c:pt idx="583">
                  <c:v>97.838270616493276</c:v>
                </c:pt>
                <c:pt idx="584">
                  <c:v>99.148624322864649</c:v>
                </c:pt>
                <c:pt idx="585">
                  <c:v>97.756149734249888</c:v>
                </c:pt>
                <c:pt idx="586">
                  <c:v>98.312560609858082</c:v>
                </c:pt>
                <c:pt idx="587">
                  <c:v>97.176275749429308</c:v>
                </c:pt>
                <c:pt idx="588">
                  <c:v>95.373425286375706</c:v>
                </c:pt>
                <c:pt idx="589">
                  <c:v>98.002055307423944</c:v>
                </c:pt>
                <c:pt idx="590">
                  <c:v>98.726440714893599</c:v>
                </c:pt>
                <c:pt idx="591">
                  <c:v>101.3820380757509</c:v>
                </c:pt>
                <c:pt idx="592">
                  <c:v>101.18069717429519</c:v>
                </c:pt>
                <c:pt idx="593">
                  <c:v>100.91148084976078</c:v>
                </c:pt>
                <c:pt idx="594">
                  <c:v>100.96511081367483</c:v>
                </c:pt>
                <c:pt idx="595">
                  <c:v>100.63479899047697</c:v>
                </c:pt>
                <c:pt idx="596">
                  <c:v>99.771006148401213</c:v>
                </c:pt>
                <c:pt idx="597">
                  <c:v>100.30006878957028</c:v>
                </c:pt>
                <c:pt idx="598">
                  <c:v>101.18168750033338</c:v>
                </c:pt>
                <c:pt idx="599">
                  <c:v>102.72004473226545</c:v>
                </c:pt>
                <c:pt idx="600">
                  <c:v>102.68637364696714</c:v>
                </c:pt>
                <c:pt idx="601">
                  <c:v>102.45456117510574</c:v>
                </c:pt>
                <c:pt idx="602">
                  <c:v>103.50857279543911</c:v>
                </c:pt>
                <c:pt idx="603">
                  <c:v>104.08082888765827</c:v>
                </c:pt>
                <c:pt idx="604">
                  <c:v>103.40474091928166</c:v>
                </c:pt>
                <c:pt idx="605">
                  <c:v>104.27135238161995</c:v>
                </c:pt>
                <c:pt idx="606">
                  <c:v>103.10794782353008</c:v>
                </c:pt>
                <c:pt idx="607">
                  <c:v>104.37221327966283</c:v>
                </c:pt>
                <c:pt idx="608">
                  <c:v>104.32330640916166</c:v>
                </c:pt>
                <c:pt idx="609">
                  <c:v>105.09530364539023</c:v>
                </c:pt>
                <c:pt idx="610">
                  <c:v>105.25345109579584</c:v>
                </c:pt>
                <c:pt idx="611">
                  <c:v>105.96580023295523</c:v>
                </c:pt>
                <c:pt idx="612">
                  <c:v>103.80681329078492</c:v>
                </c:pt>
                <c:pt idx="613">
                  <c:v>104.34539829770578</c:v>
                </c:pt>
                <c:pt idx="614">
                  <c:v>103.18069869787368</c:v>
                </c:pt>
                <c:pt idx="615">
                  <c:v>100.78906131565581</c:v>
                </c:pt>
                <c:pt idx="616">
                  <c:v>100.51222709851999</c:v>
                </c:pt>
                <c:pt idx="617">
                  <c:v>100.70899726441483</c:v>
                </c:pt>
                <c:pt idx="618">
                  <c:v>101.10436589042888</c:v>
                </c:pt>
                <c:pt idx="619">
                  <c:v>98.815265342626233</c:v>
                </c:pt>
                <c:pt idx="620">
                  <c:v>98.217413131266284</c:v>
                </c:pt>
                <c:pt idx="621">
                  <c:v>98.736572512053499</c:v>
                </c:pt>
                <c:pt idx="622">
                  <c:v>97.775346823605489</c:v>
                </c:pt>
                <c:pt idx="623">
                  <c:v>96.215735671315443</c:v>
                </c:pt>
                <c:pt idx="624">
                  <c:v>99.415555279618644</c:v>
                </c:pt>
                <c:pt idx="625">
                  <c:v>97.210251550431678</c:v>
                </c:pt>
                <c:pt idx="626">
                  <c:v>98.053247545705545</c:v>
                </c:pt>
                <c:pt idx="627">
                  <c:v>98.392472303247061</c:v>
                </c:pt>
                <c:pt idx="628">
                  <c:v>98.303723854440449</c:v>
                </c:pt>
                <c:pt idx="629">
                  <c:v>99.704578124916779</c:v>
                </c:pt>
                <c:pt idx="630">
                  <c:v>102.09705347532082</c:v>
                </c:pt>
                <c:pt idx="631">
                  <c:v>100.47200462558452</c:v>
                </c:pt>
                <c:pt idx="632">
                  <c:v>99.245904811384904</c:v>
                </c:pt>
                <c:pt idx="633">
                  <c:v>98.702444353199141</c:v>
                </c:pt>
                <c:pt idx="634">
                  <c:v>97.061550286851869</c:v>
                </c:pt>
                <c:pt idx="635">
                  <c:v>97.533707270288289</c:v>
                </c:pt>
                <c:pt idx="636">
                  <c:v>96.525022110933406</c:v>
                </c:pt>
                <c:pt idx="637">
                  <c:v>97.258777526302808</c:v>
                </c:pt>
              </c:numCache>
            </c:numRef>
          </c:val>
          <c:smooth val="0"/>
          <c:extLst>
            <c:ext xmlns:c16="http://schemas.microsoft.com/office/drawing/2014/chart" uri="{C3380CC4-5D6E-409C-BE32-E72D297353CC}">
              <c16:uniqueId val="{00000001-6081-4704-A359-D34AB5B0377E}"/>
            </c:ext>
          </c:extLst>
        </c:ser>
        <c:ser>
          <c:idx val="4"/>
          <c:order val="2"/>
          <c:tx>
            <c:strRef>
              <c:f>Sheet1!$F$1</c:f>
              <c:strCache>
                <c:ptCount val="1"/>
                <c:pt idx="0">
                  <c:v>MOEX (ՌԴ)</c:v>
                </c:pt>
              </c:strCache>
            </c:strRef>
          </c:tx>
          <c:spPr>
            <a:ln w="28575" cap="rnd">
              <a:solidFill>
                <a:schemeClr val="accent2">
                  <a:lumMod val="75000"/>
                </a:schemeClr>
              </a:solidFill>
              <a:round/>
            </a:ln>
            <a:effectLst/>
          </c:spPr>
          <c:marker>
            <c:symbol val="none"/>
          </c:marker>
          <c:cat>
            <c:numRef>
              <c:f>Sheet1!$A$2:$A$639</c:f>
              <c:numCache>
                <c:formatCode>d\-mmm\-yy</c:formatCode>
                <c:ptCount val="638"/>
                <c:pt idx="0">
                  <c:v>43836</c:v>
                </c:pt>
                <c:pt idx="1">
                  <c:v>43838</c:v>
                </c:pt>
                <c:pt idx="2">
                  <c:v>43839</c:v>
                </c:pt>
                <c:pt idx="3">
                  <c:v>43840</c:v>
                </c:pt>
                <c:pt idx="4">
                  <c:v>43843</c:v>
                </c:pt>
                <c:pt idx="5">
                  <c:v>43844</c:v>
                </c:pt>
                <c:pt idx="6">
                  <c:v>43845</c:v>
                </c:pt>
                <c:pt idx="7">
                  <c:v>43846</c:v>
                </c:pt>
                <c:pt idx="8">
                  <c:v>43847</c:v>
                </c:pt>
                <c:pt idx="9">
                  <c:v>43851</c:v>
                </c:pt>
                <c:pt idx="10">
                  <c:v>43852</c:v>
                </c:pt>
                <c:pt idx="11">
                  <c:v>43853</c:v>
                </c:pt>
                <c:pt idx="12">
                  <c:v>43854</c:v>
                </c:pt>
                <c:pt idx="13">
                  <c:v>43857</c:v>
                </c:pt>
                <c:pt idx="14">
                  <c:v>43858</c:v>
                </c:pt>
                <c:pt idx="15">
                  <c:v>43859</c:v>
                </c:pt>
                <c:pt idx="16">
                  <c:v>43860</c:v>
                </c:pt>
                <c:pt idx="17">
                  <c:v>43861</c:v>
                </c:pt>
                <c:pt idx="18">
                  <c:v>43864</c:v>
                </c:pt>
                <c:pt idx="19">
                  <c:v>43865</c:v>
                </c:pt>
                <c:pt idx="20">
                  <c:v>43866</c:v>
                </c:pt>
                <c:pt idx="21">
                  <c:v>43867</c:v>
                </c:pt>
                <c:pt idx="22">
                  <c:v>43868</c:v>
                </c:pt>
                <c:pt idx="23">
                  <c:v>43871</c:v>
                </c:pt>
                <c:pt idx="24">
                  <c:v>43872</c:v>
                </c:pt>
                <c:pt idx="25">
                  <c:v>43873</c:v>
                </c:pt>
                <c:pt idx="26">
                  <c:v>43874</c:v>
                </c:pt>
                <c:pt idx="27">
                  <c:v>43875</c:v>
                </c:pt>
                <c:pt idx="28">
                  <c:v>43879</c:v>
                </c:pt>
                <c:pt idx="29">
                  <c:v>43880</c:v>
                </c:pt>
                <c:pt idx="30">
                  <c:v>43882</c:v>
                </c:pt>
                <c:pt idx="31">
                  <c:v>43886</c:v>
                </c:pt>
                <c:pt idx="32">
                  <c:v>43887</c:v>
                </c:pt>
                <c:pt idx="33">
                  <c:v>43888</c:v>
                </c:pt>
                <c:pt idx="34">
                  <c:v>43892</c:v>
                </c:pt>
                <c:pt idx="35">
                  <c:v>43893</c:v>
                </c:pt>
                <c:pt idx="36">
                  <c:v>43894</c:v>
                </c:pt>
                <c:pt idx="37">
                  <c:v>43895</c:v>
                </c:pt>
                <c:pt idx="38">
                  <c:v>43896</c:v>
                </c:pt>
                <c:pt idx="39">
                  <c:v>43900</c:v>
                </c:pt>
                <c:pt idx="40">
                  <c:v>43901</c:v>
                </c:pt>
                <c:pt idx="41">
                  <c:v>43902</c:v>
                </c:pt>
                <c:pt idx="42">
                  <c:v>43903</c:v>
                </c:pt>
                <c:pt idx="43">
                  <c:v>43906</c:v>
                </c:pt>
                <c:pt idx="44">
                  <c:v>43907</c:v>
                </c:pt>
                <c:pt idx="45">
                  <c:v>43908</c:v>
                </c:pt>
                <c:pt idx="46">
                  <c:v>43909</c:v>
                </c:pt>
                <c:pt idx="47">
                  <c:v>43910</c:v>
                </c:pt>
                <c:pt idx="48">
                  <c:v>43913</c:v>
                </c:pt>
                <c:pt idx="49">
                  <c:v>43914</c:v>
                </c:pt>
                <c:pt idx="50">
                  <c:v>43915</c:v>
                </c:pt>
                <c:pt idx="51">
                  <c:v>43916</c:v>
                </c:pt>
                <c:pt idx="52">
                  <c:v>43917</c:v>
                </c:pt>
                <c:pt idx="53">
                  <c:v>43920</c:v>
                </c:pt>
                <c:pt idx="54">
                  <c:v>43921</c:v>
                </c:pt>
                <c:pt idx="55">
                  <c:v>43922</c:v>
                </c:pt>
                <c:pt idx="56">
                  <c:v>43923</c:v>
                </c:pt>
                <c:pt idx="57">
                  <c:v>43924</c:v>
                </c:pt>
                <c:pt idx="58">
                  <c:v>43927</c:v>
                </c:pt>
                <c:pt idx="59">
                  <c:v>43928</c:v>
                </c:pt>
                <c:pt idx="60">
                  <c:v>43929</c:v>
                </c:pt>
                <c:pt idx="61">
                  <c:v>43930</c:v>
                </c:pt>
                <c:pt idx="62">
                  <c:v>43935</c:v>
                </c:pt>
                <c:pt idx="63">
                  <c:v>43936</c:v>
                </c:pt>
                <c:pt idx="64">
                  <c:v>43937</c:v>
                </c:pt>
                <c:pt idx="65">
                  <c:v>43938</c:v>
                </c:pt>
                <c:pt idx="66">
                  <c:v>43941</c:v>
                </c:pt>
                <c:pt idx="67">
                  <c:v>43942</c:v>
                </c:pt>
                <c:pt idx="68">
                  <c:v>43943</c:v>
                </c:pt>
                <c:pt idx="69">
                  <c:v>43944</c:v>
                </c:pt>
                <c:pt idx="70">
                  <c:v>43945</c:v>
                </c:pt>
                <c:pt idx="71">
                  <c:v>43948</c:v>
                </c:pt>
                <c:pt idx="72">
                  <c:v>43949</c:v>
                </c:pt>
                <c:pt idx="73">
                  <c:v>43950</c:v>
                </c:pt>
                <c:pt idx="74">
                  <c:v>43951</c:v>
                </c:pt>
                <c:pt idx="75">
                  <c:v>43955</c:v>
                </c:pt>
                <c:pt idx="76">
                  <c:v>43956</c:v>
                </c:pt>
                <c:pt idx="77">
                  <c:v>43957</c:v>
                </c:pt>
                <c:pt idx="78">
                  <c:v>43958</c:v>
                </c:pt>
                <c:pt idx="79">
                  <c:v>43959</c:v>
                </c:pt>
                <c:pt idx="80">
                  <c:v>43963</c:v>
                </c:pt>
                <c:pt idx="81">
                  <c:v>43964</c:v>
                </c:pt>
                <c:pt idx="82">
                  <c:v>43965</c:v>
                </c:pt>
                <c:pt idx="83">
                  <c:v>43966</c:v>
                </c:pt>
                <c:pt idx="84">
                  <c:v>43969</c:v>
                </c:pt>
                <c:pt idx="85">
                  <c:v>43970</c:v>
                </c:pt>
                <c:pt idx="86">
                  <c:v>43971</c:v>
                </c:pt>
                <c:pt idx="87">
                  <c:v>43972</c:v>
                </c:pt>
                <c:pt idx="88">
                  <c:v>43973</c:v>
                </c:pt>
                <c:pt idx="89">
                  <c:v>43977</c:v>
                </c:pt>
                <c:pt idx="90">
                  <c:v>43978</c:v>
                </c:pt>
                <c:pt idx="91">
                  <c:v>43979</c:v>
                </c:pt>
                <c:pt idx="92">
                  <c:v>43980</c:v>
                </c:pt>
                <c:pt idx="93">
                  <c:v>43984</c:v>
                </c:pt>
                <c:pt idx="94">
                  <c:v>43985</c:v>
                </c:pt>
                <c:pt idx="95">
                  <c:v>43986</c:v>
                </c:pt>
                <c:pt idx="96">
                  <c:v>43987</c:v>
                </c:pt>
                <c:pt idx="97">
                  <c:v>43990</c:v>
                </c:pt>
                <c:pt idx="98">
                  <c:v>43991</c:v>
                </c:pt>
                <c:pt idx="99">
                  <c:v>43992</c:v>
                </c:pt>
                <c:pt idx="100">
                  <c:v>43993</c:v>
                </c:pt>
                <c:pt idx="101">
                  <c:v>43997</c:v>
                </c:pt>
                <c:pt idx="102">
                  <c:v>43998</c:v>
                </c:pt>
                <c:pt idx="103">
                  <c:v>43999</c:v>
                </c:pt>
                <c:pt idx="104">
                  <c:v>44000</c:v>
                </c:pt>
                <c:pt idx="105">
                  <c:v>44001</c:v>
                </c:pt>
                <c:pt idx="106">
                  <c:v>44004</c:v>
                </c:pt>
                <c:pt idx="107">
                  <c:v>44005</c:v>
                </c:pt>
                <c:pt idx="108">
                  <c:v>44007</c:v>
                </c:pt>
                <c:pt idx="109">
                  <c:v>44008</c:v>
                </c:pt>
                <c:pt idx="110">
                  <c:v>44011</c:v>
                </c:pt>
                <c:pt idx="111">
                  <c:v>44012</c:v>
                </c:pt>
                <c:pt idx="112">
                  <c:v>44014</c:v>
                </c:pt>
                <c:pt idx="113">
                  <c:v>44018</c:v>
                </c:pt>
                <c:pt idx="114">
                  <c:v>44019</c:v>
                </c:pt>
                <c:pt idx="115">
                  <c:v>44020</c:v>
                </c:pt>
                <c:pt idx="116">
                  <c:v>44021</c:v>
                </c:pt>
                <c:pt idx="117">
                  <c:v>44022</c:v>
                </c:pt>
                <c:pt idx="118">
                  <c:v>44025</c:v>
                </c:pt>
                <c:pt idx="119">
                  <c:v>44026</c:v>
                </c:pt>
                <c:pt idx="120">
                  <c:v>44027</c:v>
                </c:pt>
                <c:pt idx="121">
                  <c:v>44028</c:v>
                </c:pt>
                <c:pt idx="122">
                  <c:v>44029</c:v>
                </c:pt>
                <c:pt idx="123">
                  <c:v>44032</c:v>
                </c:pt>
                <c:pt idx="124">
                  <c:v>44033</c:v>
                </c:pt>
                <c:pt idx="125">
                  <c:v>44034</c:v>
                </c:pt>
                <c:pt idx="126">
                  <c:v>44035</c:v>
                </c:pt>
                <c:pt idx="127">
                  <c:v>44036</c:v>
                </c:pt>
                <c:pt idx="128">
                  <c:v>44039</c:v>
                </c:pt>
                <c:pt idx="129">
                  <c:v>44040</c:v>
                </c:pt>
                <c:pt idx="130">
                  <c:v>44041</c:v>
                </c:pt>
                <c:pt idx="131">
                  <c:v>44042</c:v>
                </c:pt>
                <c:pt idx="132">
                  <c:v>44043</c:v>
                </c:pt>
                <c:pt idx="133">
                  <c:v>44046</c:v>
                </c:pt>
                <c:pt idx="134">
                  <c:v>44047</c:v>
                </c:pt>
                <c:pt idx="135">
                  <c:v>44048</c:v>
                </c:pt>
                <c:pt idx="136">
                  <c:v>44049</c:v>
                </c:pt>
                <c:pt idx="137">
                  <c:v>44050</c:v>
                </c:pt>
                <c:pt idx="138">
                  <c:v>44053</c:v>
                </c:pt>
                <c:pt idx="139">
                  <c:v>44054</c:v>
                </c:pt>
                <c:pt idx="140">
                  <c:v>44055</c:v>
                </c:pt>
                <c:pt idx="141">
                  <c:v>44056</c:v>
                </c:pt>
                <c:pt idx="142">
                  <c:v>44057</c:v>
                </c:pt>
                <c:pt idx="143">
                  <c:v>44060</c:v>
                </c:pt>
                <c:pt idx="144">
                  <c:v>44061</c:v>
                </c:pt>
                <c:pt idx="145">
                  <c:v>44062</c:v>
                </c:pt>
                <c:pt idx="146">
                  <c:v>44063</c:v>
                </c:pt>
                <c:pt idx="147">
                  <c:v>44064</c:v>
                </c:pt>
                <c:pt idx="148">
                  <c:v>44067</c:v>
                </c:pt>
                <c:pt idx="149">
                  <c:v>44068</c:v>
                </c:pt>
                <c:pt idx="150">
                  <c:v>44069</c:v>
                </c:pt>
                <c:pt idx="151">
                  <c:v>44070</c:v>
                </c:pt>
                <c:pt idx="152">
                  <c:v>44071</c:v>
                </c:pt>
                <c:pt idx="153">
                  <c:v>44074</c:v>
                </c:pt>
                <c:pt idx="154">
                  <c:v>44075</c:v>
                </c:pt>
                <c:pt idx="155">
                  <c:v>44076</c:v>
                </c:pt>
                <c:pt idx="156">
                  <c:v>44077</c:v>
                </c:pt>
                <c:pt idx="157">
                  <c:v>44078</c:v>
                </c:pt>
                <c:pt idx="158">
                  <c:v>44082</c:v>
                </c:pt>
                <c:pt idx="159">
                  <c:v>44083</c:v>
                </c:pt>
                <c:pt idx="160">
                  <c:v>44084</c:v>
                </c:pt>
                <c:pt idx="161">
                  <c:v>44085</c:v>
                </c:pt>
                <c:pt idx="162">
                  <c:v>44088</c:v>
                </c:pt>
                <c:pt idx="163">
                  <c:v>44089</c:v>
                </c:pt>
                <c:pt idx="164">
                  <c:v>44090</c:v>
                </c:pt>
                <c:pt idx="165">
                  <c:v>44091</c:v>
                </c:pt>
                <c:pt idx="166">
                  <c:v>44092</c:v>
                </c:pt>
                <c:pt idx="167">
                  <c:v>44095</c:v>
                </c:pt>
                <c:pt idx="168">
                  <c:v>44096</c:v>
                </c:pt>
                <c:pt idx="169">
                  <c:v>44097</c:v>
                </c:pt>
                <c:pt idx="170">
                  <c:v>44098</c:v>
                </c:pt>
                <c:pt idx="171">
                  <c:v>44099</c:v>
                </c:pt>
                <c:pt idx="172">
                  <c:v>44102</c:v>
                </c:pt>
                <c:pt idx="173">
                  <c:v>44103</c:v>
                </c:pt>
                <c:pt idx="174">
                  <c:v>44104</c:v>
                </c:pt>
                <c:pt idx="175">
                  <c:v>44105</c:v>
                </c:pt>
                <c:pt idx="176">
                  <c:v>44106</c:v>
                </c:pt>
                <c:pt idx="177">
                  <c:v>44109</c:v>
                </c:pt>
                <c:pt idx="178">
                  <c:v>44110</c:v>
                </c:pt>
                <c:pt idx="179">
                  <c:v>44111</c:v>
                </c:pt>
                <c:pt idx="180">
                  <c:v>44112</c:v>
                </c:pt>
                <c:pt idx="181">
                  <c:v>44113</c:v>
                </c:pt>
                <c:pt idx="182">
                  <c:v>44116</c:v>
                </c:pt>
                <c:pt idx="183">
                  <c:v>44117</c:v>
                </c:pt>
                <c:pt idx="184">
                  <c:v>44118</c:v>
                </c:pt>
                <c:pt idx="185">
                  <c:v>44119</c:v>
                </c:pt>
                <c:pt idx="186">
                  <c:v>44120</c:v>
                </c:pt>
                <c:pt idx="187">
                  <c:v>44123</c:v>
                </c:pt>
                <c:pt idx="188">
                  <c:v>44124</c:v>
                </c:pt>
                <c:pt idx="189">
                  <c:v>44125</c:v>
                </c:pt>
                <c:pt idx="190">
                  <c:v>44126</c:v>
                </c:pt>
                <c:pt idx="191">
                  <c:v>44127</c:v>
                </c:pt>
                <c:pt idx="192">
                  <c:v>44130</c:v>
                </c:pt>
                <c:pt idx="193">
                  <c:v>44131</c:v>
                </c:pt>
                <c:pt idx="194">
                  <c:v>44132</c:v>
                </c:pt>
                <c:pt idx="195">
                  <c:v>44133</c:v>
                </c:pt>
                <c:pt idx="196">
                  <c:v>44134</c:v>
                </c:pt>
                <c:pt idx="197">
                  <c:v>44137</c:v>
                </c:pt>
                <c:pt idx="198">
                  <c:v>44138</c:v>
                </c:pt>
                <c:pt idx="199">
                  <c:v>44140</c:v>
                </c:pt>
                <c:pt idx="200">
                  <c:v>44141</c:v>
                </c:pt>
                <c:pt idx="201">
                  <c:v>44144</c:v>
                </c:pt>
                <c:pt idx="202">
                  <c:v>44145</c:v>
                </c:pt>
                <c:pt idx="203">
                  <c:v>44146</c:v>
                </c:pt>
                <c:pt idx="204">
                  <c:v>44147</c:v>
                </c:pt>
                <c:pt idx="205">
                  <c:v>44148</c:v>
                </c:pt>
                <c:pt idx="206">
                  <c:v>44151</c:v>
                </c:pt>
                <c:pt idx="207">
                  <c:v>44152</c:v>
                </c:pt>
                <c:pt idx="208">
                  <c:v>44153</c:v>
                </c:pt>
                <c:pt idx="209">
                  <c:v>44154</c:v>
                </c:pt>
                <c:pt idx="210">
                  <c:v>44155</c:v>
                </c:pt>
                <c:pt idx="211">
                  <c:v>44158</c:v>
                </c:pt>
                <c:pt idx="212">
                  <c:v>44159</c:v>
                </c:pt>
                <c:pt idx="213">
                  <c:v>44160</c:v>
                </c:pt>
                <c:pt idx="214">
                  <c:v>44162</c:v>
                </c:pt>
                <c:pt idx="215">
                  <c:v>44165</c:v>
                </c:pt>
                <c:pt idx="216">
                  <c:v>44166</c:v>
                </c:pt>
                <c:pt idx="217">
                  <c:v>44167</c:v>
                </c:pt>
                <c:pt idx="218">
                  <c:v>44168</c:v>
                </c:pt>
                <c:pt idx="219">
                  <c:v>44169</c:v>
                </c:pt>
                <c:pt idx="220">
                  <c:v>44172</c:v>
                </c:pt>
                <c:pt idx="221">
                  <c:v>44173</c:v>
                </c:pt>
                <c:pt idx="222">
                  <c:v>44174</c:v>
                </c:pt>
                <c:pt idx="223">
                  <c:v>44175</c:v>
                </c:pt>
                <c:pt idx="224">
                  <c:v>44176</c:v>
                </c:pt>
                <c:pt idx="225">
                  <c:v>44179</c:v>
                </c:pt>
                <c:pt idx="226">
                  <c:v>44180</c:v>
                </c:pt>
                <c:pt idx="227">
                  <c:v>44181</c:v>
                </c:pt>
                <c:pt idx="228">
                  <c:v>44182</c:v>
                </c:pt>
                <c:pt idx="229">
                  <c:v>44183</c:v>
                </c:pt>
                <c:pt idx="230">
                  <c:v>44186</c:v>
                </c:pt>
                <c:pt idx="231">
                  <c:v>44187</c:v>
                </c:pt>
                <c:pt idx="232">
                  <c:v>44188</c:v>
                </c:pt>
                <c:pt idx="233">
                  <c:v>44193</c:v>
                </c:pt>
                <c:pt idx="234">
                  <c:v>44194</c:v>
                </c:pt>
                <c:pt idx="235">
                  <c:v>44195</c:v>
                </c:pt>
                <c:pt idx="236">
                  <c:v>44200</c:v>
                </c:pt>
                <c:pt idx="237">
                  <c:v>44201</c:v>
                </c:pt>
                <c:pt idx="238">
                  <c:v>44202</c:v>
                </c:pt>
                <c:pt idx="239">
                  <c:v>44204</c:v>
                </c:pt>
                <c:pt idx="240">
                  <c:v>44207</c:v>
                </c:pt>
                <c:pt idx="241">
                  <c:v>44208</c:v>
                </c:pt>
                <c:pt idx="242">
                  <c:v>44209</c:v>
                </c:pt>
                <c:pt idx="243">
                  <c:v>44210</c:v>
                </c:pt>
                <c:pt idx="244">
                  <c:v>44211</c:v>
                </c:pt>
                <c:pt idx="245">
                  <c:v>44215</c:v>
                </c:pt>
                <c:pt idx="246">
                  <c:v>44216</c:v>
                </c:pt>
                <c:pt idx="247">
                  <c:v>44217</c:v>
                </c:pt>
                <c:pt idx="248">
                  <c:v>44218</c:v>
                </c:pt>
                <c:pt idx="249">
                  <c:v>44221</c:v>
                </c:pt>
                <c:pt idx="250">
                  <c:v>44222</c:v>
                </c:pt>
                <c:pt idx="251">
                  <c:v>44223</c:v>
                </c:pt>
                <c:pt idx="252">
                  <c:v>44224</c:v>
                </c:pt>
                <c:pt idx="253">
                  <c:v>44225</c:v>
                </c:pt>
                <c:pt idx="254">
                  <c:v>44228</c:v>
                </c:pt>
                <c:pt idx="255">
                  <c:v>44229</c:v>
                </c:pt>
                <c:pt idx="256">
                  <c:v>44230</c:v>
                </c:pt>
                <c:pt idx="257">
                  <c:v>44231</c:v>
                </c:pt>
                <c:pt idx="258">
                  <c:v>44232</c:v>
                </c:pt>
                <c:pt idx="259">
                  <c:v>44235</c:v>
                </c:pt>
                <c:pt idx="260">
                  <c:v>44236</c:v>
                </c:pt>
                <c:pt idx="261">
                  <c:v>44237</c:v>
                </c:pt>
                <c:pt idx="262">
                  <c:v>44238</c:v>
                </c:pt>
                <c:pt idx="263">
                  <c:v>44239</c:v>
                </c:pt>
                <c:pt idx="264">
                  <c:v>44243</c:v>
                </c:pt>
                <c:pt idx="265">
                  <c:v>44244</c:v>
                </c:pt>
                <c:pt idx="266">
                  <c:v>44245</c:v>
                </c:pt>
                <c:pt idx="267">
                  <c:v>44246</c:v>
                </c:pt>
                <c:pt idx="268">
                  <c:v>44249</c:v>
                </c:pt>
                <c:pt idx="269">
                  <c:v>44251</c:v>
                </c:pt>
                <c:pt idx="270">
                  <c:v>44252</c:v>
                </c:pt>
                <c:pt idx="271">
                  <c:v>44253</c:v>
                </c:pt>
                <c:pt idx="272">
                  <c:v>44256</c:v>
                </c:pt>
                <c:pt idx="273">
                  <c:v>44257</c:v>
                </c:pt>
                <c:pt idx="274">
                  <c:v>44258</c:v>
                </c:pt>
                <c:pt idx="275">
                  <c:v>44259</c:v>
                </c:pt>
                <c:pt idx="276">
                  <c:v>44260</c:v>
                </c:pt>
                <c:pt idx="277">
                  <c:v>44264</c:v>
                </c:pt>
                <c:pt idx="278">
                  <c:v>44265</c:v>
                </c:pt>
                <c:pt idx="279">
                  <c:v>44266</c:v>
                </c:pt>
                <c:pt idx="280">
                  <c:v>44267</c:v>
                </c:pt>
                <c:pt idx="281">
                  <c:v>44270</c:v>
                </c:pt>
                <c:pt idx="282">
                  <c:v>44271</c:v>
                </c:pt>
                <c:pt idx="283">
                  <c:v>44272</c:v>
                </c:pt>
                <c:pt idx="284">
                  <c:v>44273</c:v>
                </c:pt>
                <c:pt idx="285">
                  <c:v>44274</c:v>
                </c:pt>
                <c:pt idx="286">
                  <c:v>44277</c:v>
                </c:pt>
                <c:pt idx="287">
                  <c:v>44278</c:v>
                </c:pt>
                <c:pt idx="288">
                  <c:v>44279</c:v>
                </c:pt>
                <c:pt idx="289">
                  <c:v>44280</c:v>
                </c:pt>
                <c:pt idx="290">
                  <c:v>44281</c:v>
                </c:pt>
                <c:pt idx="291">
                  <c:v>44284</c:v>
                </c:pt>
                <c:pt idx="292">
                  <c:v>44285</c:v>
                </c:pt>
                <c:pt idx="293">
                  <c:v>44286</c:v>
                </c:pt>
                <c:pt idx="294">
                  <c:v>44287</c:v>
                </c:pt>
                <c:pt idx="295">
                  <c:v>44292</c:v>
                </c:pt>
                <c:pt idx="296">
                  <c:v>44293</c:v>
                </c:pt>
                <c:pt idx="297">
                  <c:v>44294</c:v>
                </c:pt>
                <c:pt idx="298">
                  <c:v>44295</c:v>
                </c:pt>
                <c:pt idx="299">
                  <c:v>44298</c:v>
                </c:pt>
                <c:pt idx="300">
                  <c:v>44299</c:v>
                </c:pt>
                <c:pt idx="301">
                  <c:v>44300</c:v>
                </c:pt>
                <c:pt idx="302">
                  <c:v>44301</c:v>
                </c:pt>
                <c:pt idx="303">
                  <c:v>44302</c:v>
                </c:pt>
                <c:pt idx="304">
                  <c:v>44305</c:v>
                </c:pt>
                <c:pt idx="305">
                  <c:v>44306</c:v>
                </c:pt>
                <c:pt idx="306">
                  <c:v>44307</c:v>
                </c:pt>
                <c:pt idx="307">
                  <c:v>44308</c:v>
                </c:pt>
                <c:pt idx="308">
                  <c:v>44309</c:v>
                </c:pt>
                <c:pt idx="309">
                  <c:v>44312</c:v>
                </c:pt>
                <c:pt idx="310">
                  <c:v>44313</c:v>
                </c:pt>
                <c:pt idx="311">
                  <c:v>44314</c:v>
                </c:pt>
                <c:pt idx="312">
                  <c:v>44315</c:v>
                </c:pt>
                <c:pt idx="313">
                  <c:v>44316</c:v>
                </c:pt>
                <c:pt idx="314">
                  <c:v>44320</c:v>
                </c:pt>
                <c:pt idx="315">
                  <c:v>44321</c:v>
                </c:pt>
                <c:pt idx="316">
                  <c:v>44322</c:v>
                </c:pt>
                <c:pt idx="317">
                  <c:v>44323</c:v>
                </c:pt>
                <c:pt idx="318">
                  <c:v>44326</c:v>
                </c:pt>
                <c:pt idx="319">
                  <c:v>44327</c:v>
                </c:pt>
                <c:pt idx="320">
                  <c:v>44328</c:v>
                </c:pt>
                <c:pt idx="321">
                  <c:v>44329</c:v>
                </c:pt>
                <c:pt idx="322">
                  <c:v>44330</c:v>
                </c:pt>
                <c:pt idx="323">
                  <c:v>44333</c:v>
                </c:pt>
                <c:pt idx="324">
                  <c:v>44334</c:v>
                </c:pt>
                <c:pt idx="325">
                  <c:v>44335</c:v>
                </c:pt>
                <c:pt idx="326">
                  <c:v>44336</c:v>
                </c:pt>
                <c:pt idx="327">
                  <c:v>44337</c:v>
                </c:pt>
                <c:pt idx="328">
                  <c:v>44341</c:v>
                </c:pt>
                <c:pt idx="329">
                  <c:v>44342</c:v>
                </c:pt>
                <c:pt idx="330">
                  <c:v>44343</c:v>
                </c:pt>
                <c:pt idx="331">
                  <c:v>44344</c:v>
                </c:pt>
                <c:pt idx="332">
                  <c:v>44348</c:v>
                </c:pt>
                <c:pt idx="333">
                  <c:v>44349</c:v>
                </c:pt>
                <c:pt idx="334">
                  <c:v>44350</c:v>
                </c:pt>
                <c:pt idx="335">
                  <c:v>44351</c:v>
                </c:pt>
                <c:pt idx="336">
                  <c:v>44354</c:v>
                </c:pt>
                <c:pt idx="337">
                  <c:v>44355</c:v>
                </c:pt>
                <c:pt idx="338">
                  <c:v>44356</c:v>
                </c:pt>
                <c:pt idx="339">
                  <c:v>44357</c:v>
                </c:pt>
                <c:pt idx="340">
                  <c:v>44358</c:v>
                </c:pt>
                <c:pt idx="341">
                  <c:v>44361</c:v>
                </c:pt>
                <c:pt idx="342">
                  <c:v>44362</c:v>
                </c:pt>
                <c:pt idx="343">
                  <c:v>44363</c:v>
                </c:pt>
                <c:pt idx="344">
                  <c:v>44364</c:v>
                </c:pt>
                <c:pt idx="345">
                  <c:v>44365</c:v>
                </c:pt>
                <c:pt idx="346">
                  <c:v>44368</c:v>
                </c:pt>
                <c:pt idx="347">
                  <c:v>44369</c:v>
                </c:pt>
                <c:pt idx="348">
                  <c:v>44370</c:v>
                </c:pt>
                <c:pt idx="349">
                  <c:v>44371</c:v>
                </c:pt>
                <c:pt idx="350">
                  <c:v>44372</c:v>
                </c:pt>
                <c:pt idx="351">
                  <c:v>44375</c:v>
                </c:pt>
                <c:pt idx="352">
                  <c:v>44376</c:v>
                </c:pt>
                <c:pt idx="353">
                  <c:v>44377</c:v>
                </c:pt>
                <c:pt idx="354">
                  <c:v>44378</c:v>
                </c:pt>
                <c:pt idx="355">
                  <c:v>44379</c:v>
                </c:pt>
                <c:pt idx="356">
                  <c:v>44383</c:v>
                </c:pt>
                <c:pt idx="357">
                  <c:v>44384</c:v>
                </c:pt>
                <c:pt idx="358">
                  <c:v>44385</c:v>
                </c:pt>
                <c:pt idx="359">
                  <c:v>44386</c:v>
                </c:pt>
                <c:pt idx="360">
                  <c:v>44389</c:v>
                </c:pt>
                <c:pt idx="361">
                  <c:v>44390</c:v>
                </c:pt>
                <c:pt idx="362">
                  <c:v>44391</c:v>
                </c:pt>
                <c:pt idx="363">
                  <c:v>44392</c:v>
                </c:pt>
                <c:pt idx="364">
                  <c:v>44393</c:v>
                </c:pt>
                <c:pt idx="365">
                  <c:v>44396</c:v>
                </c:pt>
                <c:pt idx="366">
                  <c:v>44397</c:v>
                </c:pt>
                <c:pt idx="367">
                  <c:v>44398</c:v>
                </c:pt>
                <c:pt idx="368">
                  <c:v>44399</c:v>
                </c:pt>
                <c:pt idx="369">
                  <c:v>44400</c:v>
                </c:pt>
                <c:pt idx="370">
                  <c:v>44403</c:v>
                </c:pt>
                <c:pt idx="371">
                  <c:v>44404</c:v>
                </c:pt>
                <c:pt idx="372">
                  <c:v>44405</c:v>
                </c:pt>
                <c:pt idx="373">
                  <c:v>44406</c:v>
                </c:pt>
                <c:pt idx="374">
                  <c:v>44407</c:v>
                </c:pt>
                <c:pt idx="375">
                  <c:v>44410</c:v>
                </c:pt>
                <c:pt idx="376">
                  <c:v>44411</c:v>
                </c:pt>
                <c:pt idx="377">
                  <c:v>44412</c:v>
                </c:pt>
                <c:pt idx="378">
                  <c:v>44413</c:v>
                </c:pt>
                <c:pt idx="379">
                  <c:v>44414</c:v>
                </c:pt>
                <c:pt idx="380">
                  <c:v>44417</c:v>
                </c:pt>
                <c:pt idx="381">
                  <c:v>44418</c:v>
                </c:pt>
                <c:pt idx="382">
                  <c:v>44419</c:v>
                </c:pt>
                <c:pt idx="383">
                  <c:v>44420</c:v>
                </c:pt>
                <c:pt idx="384">
                  <c:v>44421</c:v>
                </c:pt>
                <c:pt idx="385">
                  <c:v>44424</c:v>
                </c:pt>
                <c:pt idx="386">
                  <c:v>44425</c:v>
                </c:pt>
                <c:pt idx="387">
                  <c:v>44426</c:v>
                </c:pt>
                <c:pt idx="388">
                  <c:v>44427</c:v>
                </c:pt>
                <c:pt idx="389">
                  <c:v>44428</c:v>
                </c:pt>
                <c:pt idx="390">
                  <c:v>44431</c:v>
                </c:pt>
                <c:pt idx="391">
                  <c:v>44432</c:v>
                </c:pt>
                <c:pt idx="392">
                  <c:v>44433</c:v>
                </c:pt>
                <c:pt idx="393">
                  <c:v>44434</c:v>
                </c:pt>
                <c:pt idx="394">
                  <c:v>44435</c:v>
                </c:pt>
                <c:pt idx="395">
                  <c:v>44438</c:v>
                </c:pt>
                <c:pt idx="396">
                  <c:v>44439</c:v>
                </c:pt>
                <c:pt idx="397">
                  <c:v>44440</c:v>
                </c:pt>
                <c:pt idx="398">
                  <c:v>44441</c:v>
                </c:pt>
                <c:pt idx="399">
                  <c:v>44442</c:v>
                </c:pt>
                <c:pt idx="400">
                  <c:v>44446</c:v>
                </c:pt>
                <c:pt idx="401">
                  <c:v>44447</c:v>
                </c:pt>
                <c:pt idx="402">
                  <c:v>44448</c:v>
                </c:pt>
                <c:pt idx="403">
                  <c:v>44449</c:v>
                </c:pt>
                <c:pt idx="404">
                  <c:v>44452</c:v>
                </c:pt>
                <c:pt idx="405">
                  <c:v>44453</c:v>
                </c:pt>
                <c:pt idx="406">
                  <c:v>44454</c:v>
                </c:pt>
                <c:pt idx="407">
                  <c:v>44455</c:v>
                </c:pt>
                <c:pt idx="408">
                  <c:v>44456</c:v>
                </c:pt>
                <c:pt idx="409">
                  <c:v>44459</c:v>
                </c:pt>
                <c:pt idx="410">
                  <c:v>44460</c:v>
                </c:pt>
                <c:pt idx="411">
                  <c:v>44461</c:v>
                </c:pt>
                <c:pt idx="412">
                  <c:v>44462</c:v>
                </c:pt>
                <c:pt idx="413">
                  <c:v>44463</c:v>
                </c:pt>
                <c:pt idx="414">
                  <c:v>44466</c:v>
                </c:pt>
                <c:pt idx="415">
                  <c:v>44467</c:v>
                </c:pt>
                <c:pt idx="416">
                  <c:v>44468</c:v>
                </c:pt>
                <c:pt idx="417">
                  <c:v>44469</c:v>
                </c:pt>
                <c:pt idx="418">
                  <c:v>44470</c:v>
                </c:pt>
                <c:pt idx="419">
                  <c:v>44473</c:v>
                </c:pt>
                <c:pt idx="420">
                  <c:v>44474</c:v>
                </c:pt>
                <c:pt idx="421">
                  <c:v>44475</c:v>
                </c:pt>
                <c:pt idx="422">
                  <c:v>44476</c:v>
                </c:pt>
                <c:pt idx="423">
                  <c:v>44477</c:v>
                </c:pt>
                <c:pt idx="424">
                  <c:v>44480</c:v>
                </c:pt>
                <c:pt idx="425">
                  <c:v>44481</c:v>
                </c:pt>
                <c:pt idx="426">
                  <c:v>44482</c:v>
                </c:pt>
                <c:pt idx="427">
                  <c:v>44483</c:v>
                </c:pt>
                <c:pt idx="428">
                  <c:v>44484</c:v>
                </c:pt>
                <c:pt idx="429">
                  <c:v>44487</c:v>
                </c:pt>
                <c:pt idx="430">
                  <c:v>44488</c:v>
                </c:pt>
                <c:pt idx="431">
                  <c:v>44489</c:v>
                </c:pt>
                <c:pt idx="432">
                  <c:v>44490</c:v>
                </c:pt>
                <c:pt idx="433">
                  <c:v>44491</c:v>
                </c:pt>
                <c:pt idx="434">
                  <c:v>44494</c:v>
                </c:pt>
                <c:pt idx="435">
                  <c:v>44495</c:v>
                </c:pt>
                <c:pt idx="436">
                  <c:v>44496</c:v>
                </c:pt>
                <c:pt idx="437">
                  <c:v>44497</c:v>
                </c:pt>
                <c:pt idx="438">
                  <c:v>44498</c:v>
                </c:pt>
                <c:pt idx="439">
                  <c:v>44501</c:v>
                </c:pt>
                <c:pt idx="440">
                  <c:v>44502</c:v>
                </c:pt>
                <c:pt idx="441">
                  <c:v>44503</c:v>
                </c:pt>
                <c:pt idx="442">
                  <c:v>44505</c:v>
                </c:pt>
                <c:pt idx="443">
                  <c:v>44508</c:v>
                </c:pt>
                <c:pt idx="444">
                  <c:v>44509</c:v>
                </c:pt>
                <c:pt idx="445">
                  <c:v>44510</c:v>
                </c:pt>
                <c:pt idx="446">
                  <c:v>44511</c:v>
                </c:pt>
                <c:pt idx="447">
                  <c:v>44512</c:v>
                </c:pt>
                <c:pt idx="448">
                  <c:v>44515</c:v>
                </c:pt>
                <c:pt idx="449">
                  <c:v>44516</c:v>
                </c:pt>
                <c:pt idx="450">
                  <c:v>44517</c:v>
                </c:pt>
                <c:pt idx="451">
                  <c:v>44518</c:v>
                </c:pt>
                <c:pt idx="452">
                  <c:v>44519</c:v>
                </c:pt>
                <c:pt idx="453">
                  <c:v>44522</c:v>
                </c:pt>
                <c:pt idx="454">
                  <c:v>44523</c:v>
                </c:pt>
                <c:pt idx="455">
                  <c:v>44524</c:v>
                </c:pt>
                <c:pt idx="456">
                  <c:v>44526</c:v>
                </c:pt>
                <c:pt idx="457">
                  <c:v>44529</c:v>
                </c:pt>
                <c:pt idx="458">
                  <c:v>44530</c:v>
                </c:pt>
                <c:pt idx="459">
                  <c:v>44531</c:v>
                </c:pt>
                <c:pt idx="460">
                  <c:v>44532</c:v>
                </c:pt>
                <c:pt idx="461">
                  <c:v>44533</c:v>
                </c:pt>
                <c:pt idx="462">
                  <c:v>44536</c:v>
                </c:pt>
                <c:pt idx="463">
                  <c:v>44537</c:v>
                </c:pt>
                <c:pt idx="464">
                  <c:v>44538</c:v>
                </c:pt>
                <c:pt idx="465">
                  <c:v>44539</c:v>
                </c:pt>
                <c:pt idx="466">
                  <c:v>44540</c:v>
                </c:pt>
                <c:pt idx="467">
                  <c:v>44543</c:v>
                </c:pt>
                <c:pt idx="468">
                  <c:v>44544</c:v>
                </c:pt>
                <c:pt idx="469">
                  <c:v>44545</c:v>
                </c:pt>
                <c:pt idx="470">
                  <c:v>44546</c:v>
                </c:pt>
                <c:pt idx="471">
                  <c:v>44547</c:v>
                </c:pt>
                <c:pt idx="472">
                  <c:v>44550</c:v>
                </c:pt>
                <c:pt idx="473">
                  <c:v>44551</c:v>
                </c:pt>
                <c:pt idx="474">
                  <c:v>44552</c:v>
                </c:pt>
                <c:pt idx="475">
                  <c:v>44553</c:v>
                </c:pt>
                <c:pt idx="476">
                  <c:v>44557</c:v>
                </c:pt>
                <c:pt idx="477">
                  <c:v>44558</c:v>
                </c:pt>
                <c:pt idx="478">
                  <c:v>44559</c:v>
                </c:pt>
                <c:pt idx="479">
                  <c:v>44560</c:v>
                </c:pt>
                <c:pt idx="480">
                  <c:v>44564</c:v>
                </c:pt>
                <c:pt idx="481">
                  <c:v>44565</c:v>
                </c:pt>
                <c:pt idx="482">
                  <c:v>44566</c:v>
                </c:pt>
                <c:pt idx="483">
                  <c:v>44567</c:v>
                </c:pt>
                <c:pt idx="484">
                  <c:v>44568</c:v>
                </c:pt>
                <c:pt idx="485">
                  <c:v>44571</c:v>
                </c:pt>
                <c:pt idx="486">
                  <c:v>44572</c:v>
                </c:pt>
                <c:pt idx="487">
                  <c:v>44573</c:v>
                </c:pt>
                <c:pt idx="488">
                  <c:v>44574</c:v>
                </c:pt>
                <c:pt idx="489">
                  <c:v>44575</c:v>
                </c:pt>
                <c:pt idx="490">
                  <c:v>44579</c:v>
                </c:pt>
                <c:pt idx="491">
                  <c:v>44580</c:v>
                </c:pt>
                <c:pt idx="492">
                  <c:v>44581</c:v>
                </c:pt>
                <c:pt idx="493">
                  <c:v>44582</c:v>
                </c:pt>
                <c:pt idx="494">
                  <c:v>44585</c:v>
                </c:pt>
                <c:pt idx="495">
                  <c:v>44586</c:v>
                </c:pt>
                <c:pt idx="496">
                  <c:v>44587</c:v>
                </c:pt>
                <c:pt idx="497">
                  <c:v>44588</c:v>
                </c:pt>
                <c:pt idx="498">
                  <c:v>44589</c:v>
                </c:pt>
                <c:pt idx="499">
                  <c:v>44592</c:v>
                </c:pt>
                <c:pt idx="500">
                  <c:v>44593</c:v>
                </c:pt>
                <c:pt idx="501">
                  <c:v>44594</c:v>
                </c:pt>
                <c:pt idx="502">
                  <c:v>44595</c:v>
                </c:pt>
                <c:pt idx="503">
                  <c:v>44596</c:v>
                </c:pt>
                <c:pt idx="504">
                  <c:v>44599</c:v>
                </c:pt>
                <c:pt idx="505">
                  <c:v>44600</c:v>
                </c:pt>
                <c:pt idx="506">
                  <c:v>44601</c:v>
                </c:pt>
                <c:pt idx="507">
                  <c:v>44602</c:v>
                </c:pt>
                <c:pt idx="508">
                  <c:v>44603</c:v>
                </c:pt>
                <c:pt idx="509">
                  <c:v>44606</c:v>
                </c:pt>
                <c:pt idx="510">
                  <c:v>44607</c:v>
                </c:pt>
                <c:pt idx="511">
                  <c:v>44608</c:v>
                </c:pt>
                <c:pt idx="512">
                  <c:v>44609</c:v>
                </c:pt>
                <c:pt idx="513">
                  <c:v>44610</c:v>
                </c:pt>
                <c:pt idx="514">
                  <c:v>44614</c:v>
                </c:pt>
                <c:pt idx="515">
                  <c:v>44644</c:v>
                </c:pt>
                <c:pt idx="516">
                  <c:v>44645</c:v>
                </c:pt>
                <c:pt idx="517">
                  <c:v>44648</c:v>
                </c:pt>
                <c:pt idx="518">
                  <c:v>44649</c:v>
                </c:pt>
                <c:pt idx="519">
                  <c:v>44650</c:v>
                </c:pt>
                <c:pt idx="520">
                  <c:v>44651</c:v>
                </c:pt>
                <c:pt idx="521">
                  <c:v>44652</c:v>
                </c:pt>
                <c:pt idx="522">
                  <c:v>44655</c:v>
                </c:pt>
                <c:pt idx="523">
                  <c:v>44656</c:v>
                </c:pt>
                <c:pt idx="524">
                  <c:v>44657</c:v>
                </c:pt>
                <c:pt idx="525">
                  <c:v>44658</c:v>
                </c:pt>
                <c:pt idx="526">
                  <c:v>44659</c:v>
                </c:pt>
                <c:pt idx="527">
                  <c:v>44662</c:v>
                </c:pt>
                <c:pt idx="528">
                  <c:v>44663</c:v>
                </c:pt>
                <c:pt idx="529">
                  <c:v>44664</c:v>
                </c:pt>
                <c:pt idx="530">
                  <c:v>44665</c:v>
                </c:pt>
                <c:pt idx="531">
                  <c:v>44670</c:v>
                </c:pt>
                <c:pt idx="532">
                  <c:v>44671</c:v>
                </c:pt>
                <c:pt idx="533">
                  <c:v>44672</c:v>
                </c:pt>
                <c:pt idx="534">
                  <c:v>44673</c:v>
                </c:pt>
                <c:pt idx="535">
                  <c:v>44676</c:v>
                </c:pt>
                <c:pt idx="536">
                  <c:v>44677</c:v>
                </c:pt>
                <c:pt idx="537">
                  <c:v>44678</c:v>
                </c:pt>
                <c:pt idx="538">
                  <c:v>44679</c:v>
                </c:pt>
                <c:pt idx="539">
                  <c:v>44680</c:v>
                </c:pt>
                <c:pt idx="540">
                  <c:v>44685</c:v>
                </c:pt>
                <c:pt idx="541">
                  <c:v>44686</c:v>
                </c:pt>
                <c:pt idx="542">
                  <c:v>44687</c:v>
                </c:pt>
                <c:pt idx="543">
                  <c:v>44692</c:v>
                </c:pt>
                <c:pt idx="544">
                  <c:v>44693</c:v>
                </c:pt>
                <c:pt idx="545">
                  <c:v>44694</c:v>
                </c:pt>
                <c:pt idx="546">
                  <c:v>44697</c:v>
                </c:pt>
                <c:pt idx="547">
                  <c:v>44698</c:v>
                </c:pt>
                <c:pt idx="548">
                  <c:v>44699</c:v>
                </c:pt>
                <c:pt idx="549">
                  <c:v>44700</c:v>
                </c:pt>
                <c:pt idx="550">
                  <c:v>44701</c:v>
                </c:pt>
                <c:pt idx="551">
                  <c:v>44704</c:v>
                </c:pt>
                <c:pt idx="552">
                  <c:v>44705</c:v>
                </c:pt>
                <c:pt idx="553">
                  <c:v>44706</c:v>
                </c:pt>
                <c:pt idx="554">
                  <c:v>44707</c:v>
                </c:pt>
                <c:pt idx="555">
                  <c:v>44708</c:v>
                </c:pt>
                <c:pt idx="556">
                  <c:v>44712</c:v>
                </c:pt>
                <c:pt idx="557">
                  <c:v>44713</c:v>
                </c:pt>
                <c:pt idx="558">
                  <c:v>44714</c:v>
                </c:pt>
                <c:pt idx="559">
                  <c:v>44715</c:v>
                </c:pt>
                <c:pt idx="560">
                  <c:v>44718</c:v>
                </c:pt>
                <c:pt idx="561">
                  <c:v>44719</c:v>
                </c:pt>
                <c:pt idx="562">
                  <c:v>44720</c:v>
                </c:pt>
                <c:pt idx="563">
                  <c:v>44721</c:v>
                </c:pt>
                <c:pt idx="564">
                  <c:v>44722</c:v>
                </c:pt>
                <c:pt idx="565">
                  <c:v>44725</c:v>
                </c:pt>
                <c:pt idx="566">
                  <c:v>44726</c:v>
                </c:pt>
                <c:pt idx="567">
                  <c:v>44727</c:v>
                </c:pt>
                <c:pt idx="568">
                  <c:v>44728</c:v>
                </c:pt>
                <c:pt idx="569">
                  <c:v>44729</c:v>
                </c:pt>
                <c:pt idx="570">
                  <c:v>44733</c:v>
                </c:pt>
                <c:pt idx="571">
                  <c:v>44734</c:v>
                </c:pt>
                <c:pt idx="572">
                  <c:v>44735</c:v>
                </c:pt>
                <c:pt idx="573">
                  <c:v>44736</c:v>
                </c:pt>
                <c:pt idx="574">
                  <c:v>44739</c:v>
                </c:pt>
                <c:pt idx="575">
                  <c:v>44740</c:v>
                </c:pt>
                <c:pt idx="576">
                  <c:v>44741</c:v>
                </c:pt>
                <c:pt idx="577">
                  <c:v>44742</c:v>
                </c:pt>
                <c:pt idx="578">
                  <c:v>44743</c:v>
                </c:pt>
                <c:pt idx="579">
                  <c:v>44747</c:v>
                </c:pt>
                <c:pt idx="580">
                  <c:v>44748</c:v>
                </c:pt>
                <c:pt idx="581">
                  <c:v>44749</c:v>
                </c:pt>
                <c:pt idx="582">
                  <c:v>44750</c:v>
                </c:pt>
                <c:pt idx="583">
                  <c:v>44753</c:v>
                </c:pt>
                <c:pt idx="584">
                  <c:v>44754</c:v>
                </c:pt>
                <c:pt idx="585">
                  <c:v>44755</c:v>
                </c:pt>
                <c:pt idx="586">
                  <c:v>44756</c:v>
                </c:pt>
                <c:pt idx="587">
                  <c:v>44757</c:v>
                </c:pt>
                <c:pt idx="588">
                  <c:v>44760</c:v>
                </c:pt>
                <c:pt idx="589">
                  <c:v>44761</c:v>
                </c:pt>
                <c:pt idx="590">
                  <c:v>44762</c:v>
                </c:pt>
                <c:pt idx="591">
                  <c:v>44763</c:v>
                </c:pt>
                <c:pt idx="592">
                  <c:v>44764</c:v>
                </c:pt>
                <c:pt idx="593">
                  <c:v>44767</c:v>
                </c:pt>
                <c:pt idx="594">
                  <c:v>44768</c:v>
                </c:pt>
                <c:pt idx="595">
                  <c:v>44769</c:v>
                </c:pt>
                <c:pt idx="596">
                  <c:v>44770</c:v>
                </c:pt>
                <c:pt idx="597">
                  <c:v>44771</c:v>
                </c:pt>
                <c:pt idx="598">
                  <c:v>44774</c:v>
                </c:pt>
                <c:pt idx="599">
                  <c:v>44775</c:v>
                </c:pt>
                <c:pt idx="600">
                  <c:v>44776</c:v>
                </c:pt>
                <c:pt idx="601">
                  <c:v>44777</c:v>
                </c:pt>
                <c:pt idx="602">
                  <c:v>44778</c:v>
                </c:pt>
                <c:pt idx="603">
                  <c:v>44781</c:v>
                </c:pt>
                <c:pt idx="604">
                  <c:v>44782</c:v>
                </c:pt>
                <c:pt idx="605">
                  <c:v>44783</c:v>
                </c:pt>
                <c:pt idx="606">
                  <c:v>44784</c:v>
                </c:pt>
                <c:pt idx="607">
                  <c:v>44785</c:v>
                </c:pt>
                <c:pt idx="608">
                  <c:v>44788</c:v>
                </c:pt>
                <c:pt idx="609">
                  <c:v>44789</c:v>
                </c:pt>
                <c:pt idx="610">
                  <c:v>44790</c:v>
                </c:pt>
                <c:pt idx="611">
                  <c:v>44791</c:v>
                </c:pt>
                <c:pt idx="612">
                  <c:v>44792</c:v>
                </c:pt>
                <c:pt idx="613">
                  <c:v>44795</c:v>
                </c:pt>
                <c:pt idx="614">
                  <c:v>44796</c:v>
                </c:pt>
                <c:pt idx="615">
                  <c:v>44797</c:v>
                </c:pt>
                <c:pt idx="616">
                  <c:v>44798</c:v>
                </c:pt>
                <c:pt idx="617">
                  <c:v>44799</c:v>
                </c:pt>
                <c:pt idx="618">
                  <c:v>44802</c:v>
                </c:pt>
                <c:pt idx="619">
                  <c:v>44803</c:v>
                </c:pt>
                <c:pt idx="620">
                  <c:v>44804</c:v>
                </c:pt>
                <c:pt idx="621">
                  <c:v>44805</c:v>
                </c:pt>
                <c:pt idx="622">
                  <c:v>44806</c:v>
                </c:pt>
                <c:pt idx="623">
                  <c:v>44810</c:v>
                </c:pt>
                <c:pt idx="624">
                  <c:v>44811</c:v>
                </c:pt>
                <c:pt idx="625">
                  <c:v>44812</c:v>
                </c:pt>
                <c:pt idx="626">
                  <c:v>44813</c:v>
                </c:pt>
                <c:pt idx="627">
                  <c:v>44816</c:v>
                </c:pt>
                <c:pt idx="628">
                  <c:v>44817</c:v>
                </c:pt>
                <c:pt idx="629">
                  <c:v>44818</c:v>
                </c:pt>
                <c:pt idx="630">
                  <c:v>44819</c:v>
                </c:pt>
                <c:pt idx="631">
                  <c:v>44820</c:v>
                </c:pt>
                <c:pt idx="632">
                  <c:v>44823</c:v>
                </c:pt>
                <c:pt idx="633">
                  <c:v>44824</c:v>
                </c:pt>
                <c:pt idx="634">
                  <c:v>44825</c:v>
                </c:pt>
                <c:pt idx="635">
                  <c:v>44826</c:v>
                </c:pt>
                <c:pt idx="636">
                  <c:v>44827</c:v>
                </c:pt>
                <c:pt idx="637">
                  <c:v>44830</c:v>
                </c:pt>
              </c:numCache>
            </c:numRef>
          </c:cat>
          <c:val>
            <c:numRef>
              <c:f>Sheet1!$F$2:$F$639</c:f>
              <c:numCache>
                <c:formatCode>0</c:formatCode>
                <c:ptCount val="638"/>
                <c:pt idx="0">
                  <c:v>100</c:v>
                </c:pt>
                <c:pt idx="1">
                  <c:v>101.01303400273477</c:v>
                </c:pt>
                <c:pt idx="2">
                  <c:v>101.27351918073839</c:v>
                </c:pt>
                <c:pt idx="3">
                  <c:v>101.45475450408755</c:v>
                </c:pt>
                <c:pt idx="4">
                  <c:v>102.36515344915506</c:v>
                </c:pt>
                <c:pt idx="5">
                  <c:v>101.65320393521</c:v>
                </c:pt>
                <c:pt idx="6">
                  <c:v>101.7460951582886</c:v>
                </c:pt>
                <c:pt idx="7">
                  <c:v>102.54508959455904</c:v>
                </c:pt>
                <c:pt idx="8">
                  <c:v>103.83289973269414</c:v>
                </c:pt>
                <c:pt idx="9">
                  <c:v>104.23369612877453</c:v>
                </c:pt>
                <c:pt idx="10">
                  <c:v>103.10990720621528</c:v>
                </c:pt>
                <c:pt idx="11">
                  <c:v>102.02444403303811</c:v>
                </c:pt>
                <c:pt idx="12">
                  <c:v>102.18684127618251</c:v>
                </c:pt>
                <c:pt idx="13">
                  <c:v>100.20429573187566</c:v>
                </c:pt>
                <c:pt idx="14">
                  <c:v>101.11177152656657</c:v>
                </c:pt>
                <c:pt idx="15">
                  <c:v>101.62169887003999</c:v>
                </c:pt>
                <c:pt idx="16">
                  <c:v>100.96496441876404</c:v>
                </c:pt>
                <c:pt idx="17">
                  <c:v>99.927895624043913</c:v>
                </c:pt>
                <c:pt idx="18">
                  <c:v>99.739190027510119</c:v>
                </c:pt>
                <c:pt idx="19">
                  <c:v>100.60834007281895</c:v>
                </c:pt>
                <c:pt idx="20">
                  <c:v>101.14912289248981</c:v>
                </c:pt>
                <c:pt idx="21">
                  <c:v>100.57845898008038</c:v>
                </c:pt>
                <c:pt idx="22">
                  <c:v>100.28451996998902</c:v>
                </c:pt>
                <c:pt idx="23">
                  <c:v>99.465388275568657</c:v>
                </c:pt>
                <c:pt idx="24">
                  <c:v>100.60769048384637</c:v>
                </c:pt>
                <c:pt idx="25">
                  <c:v>101.40960807049342</c:v>
                </c:pt>
                <c:pt idx="26">
                  <c:v>101.01270920824851</c:v>
                </c:pt>
                <c:pt idx="27">
                  <c:v>100.58495486980615</c:v>
                </c:pt>
                <c:pt idx="28">
                  <c:v>99.843449057608822</c:v>
                </c:pt>
                <c:pt idx="29">
                  <c:v>101.15951631605104</c:v>
                </c:pt>
                <c:pt idx="30">
                  <c:v>100.8821418247604</c:v>
                </c:pt>
                <c:pt idx="31">
                  <c:v>97.525390808965639</c:v>
                </c:pt>
                <c:pt idx="32">
                  <c:v>98.004137881755327</c:v>
                </c:pt>
                <c:pt idx="33">
                  <c:v>94.704875490033686</c:v>
                </c:pt>
                <c:pt idx="34">
                  <c:v>89.830684634297654</c:v>
                </c:pt>
                <c:pt idx="35">
                  <c:v>91.636541978063377</c:v>
                </c:pt>
                <c:pt idx="36">
                  <c:v>91.852205516959145</c:v>
                </c:pt>
                <c:pt idx="37">
                  <c:v>91.484862952966495</c:v>
                </c:pt>
                <c:pt idx="38">
                  <c:v>88.328185340725653</c:v>
                </c:pt>
                <c:pt idx="39">
                  <c:v>81.16419335665357</c:v>
                </c:pt>
                <c:pt idx="40">
                  <c:v>80.967367897962546</c:v>
                </c:pt>
                <c:pt idx="41">
                  <c:v>74.261011345071395</c:v>
                </c:pt>
                <c:pt idx="42">
                  <c:v>75.234745214965216</c:v>
                </c:pt>
                <c:pt idx="43">
                  <c:v>73.627662096808237</c:v>
                </c:pt>
                <c:pt idx="44">
                  <c:v>72.258328542614649</c:v>
                </c:pt>
                <c:pt idx="45">
                  <c:v>68.61738235131719</c:v>
                </c:pt>
                <c:pt idx="46">
                  <c:v>73.913481244742371</c:v>
                </c:pt>
                <c:pt idx="47">
                  <c:v>75.729407217583073</c:v>
                </c:pt>
                <c:pt idx="48">
                  <c:v>73.187565567886907</c:v>
                </c:pt>
                <c:pt idx="49">
                  <c:v>78.469373503915378</c:v>
                </c:pt>
                <c:pt idx="50">
                  <c:v>79.662018857567858</c:v>
                </c:pt>
                <c:pt idx="51">
                  <c:v>80.872852702452505</c:v>
                </c:pt>
                <c:pt idx="52">
                  <c:v>77.986728897290234</c:v>
                </c:pt>
                <c:pt idx="53">
                  <c:v>79.033866321085327</c:v>
                </c:pt>
                <c:pt idx="54">
                  <c:v>81.484765514620619</c:v>
                </c:pt>
                <c:pt idx="55">
                  <c:v>80.341488922884039</c:v>
                </c:pt>
                <c:pt idx="56">
                  <c:v>82.691052236697203</c:v>
                </c:pt>
                <c:pt idx="57">
                  <c:v>83.544612146664178</c:v>
                </c:pt>
                <c:pt idx="58">
                  <c:v>85.180277179614578</c:v>
                </c:pt>
                <c:pt idx="59">
                  <c:v>85.574902480455464</c:v>
                </c:pt>
                <c:pt idx="60">
                  <c:v>86.724025372945249</c:v>
                </c:pt>
                <c:pt idx="61">
                  <c:v>87.751999922049308</c:v>
                </c:pt>
                <c:pt idx="62">
                  <c:v>85.480387284945436</c:v>
                </c:pt>
                <c:pt idx="63">
                  <c:v>81.16419335665357</c:v>
                </c:pt>
                <c:pt idx="64">
                  <c:v>81.687437274064834</c:v>
                </c:pt>
                <c:pt idx="65">
                  <c:v>82.334427890752124</c:v>
                </c:pt>
                <c:pt idx="66">
                  <c:v>82.042112853092206</c:v>
                </c:pt>
                <c:pt idx="67">
                  <c:v>80.809517777626212</c:v>
                </c:pt>
                <c:pt idx="68">
                  <c:v>83.582937896046289</c:v>
                </c:pt>
                <c:pt idx="69">
                  <c:v>84.427403560397167</c:v>
                </c:pt>
                <c:pt idx="70">
                  <c:v>83.213321770649642</c:v>
                </c:pt>
                <c:pt idx="71">
                  <c:v>83.50173927447409</c:v>
                </c:pt>
                <c:pt idx="72">
                  <c:v>84.844114886305704</c:v>
                </c:pt>
                <c:pt idx="73">
                  <c:v>86.497318821515705</c:v>
                </c:pt>
                <c:pt idx="74">
                  <c:v>86.088727357764398</c:v>
                </c:pt>
                <c:pt idx="75">
                  <c:v>85.24686004930382</c:v>
                </c:pt>
                <c:pt idx="76">
                  <c:v>86.184541731219596</c:v>
                </c:pt>
                <c:pt idx="77">
                  <c:v>85.489156736075273</c:v>
                </c:pt>
                <c:pt idx="78">
                  <c:v>85.550867688470149</c:v>
                </c:pt>
                <c:pt idx="79">
                  <c:v>85.796087525618205</c:v>
                </c:pt>
                <c:pt idx="80">
                  <c:v>85.812002455446347</c:v>
                </c:pt>
                <c:pt idx="81">
                  <c:v>84.608314089260062</c:v>
                </c:pt>
                <c:pt idx="82">
                  <c:v>84.131840577874399</c:v>
                </c:pt>
                <c:pt idx="83">
                  <c:v>84.248766592938367</c:v>
                </c:pt>
                <c:pt idx="84">
                  <c:v>87.50775446836019</c:v>
                </c:pt>
                <c:pt idx="85">
                  <c:v>88.075170435906713</c:v>
                </c:pt>
                <c:pt idx="86">
                  <c:v>89.993731466414673</c:v>
                </c:pt>
                <c:pt idx="87">
                  <c:v>88.300902603877446</c:v>
                </c:pt>
                <c:pt idx="88">
                  <c:v>87.999168526115142</c:v>
                </c:pt>
                <c:pt idx="89">
                  <c:v>89.449700701880928</c:v>
                </c:pt>
                <c:pt idx="90">
                  <c:v>89.026818280732911</c:v>
                </c:pt>
                <c:pt idx="91">
                  <c:v>90.292217599314071</c:v>
                </c:pt>
                <c:pt idx="92">
                  <c:v>88.825770493720128</c:v>
                </c:pt>
                <c:pt idx="93">
                  <c:v>90.829102885149467</c:v>
                </c:pt>
                <c:pt idx="94">
                  <c:v>91.951917424249842</c:v>
                </c:pt>
                <c:pt idx="95">
                  <c:v>89.846599564125853</c:v>
                </c:pt>
                <c:pt idx="96">
                  <c:v>90.706655363818584</c:v>
                </c:pt>
                <c:pt idx="97">
                  <c:v>90.822282200937408</c:v>
                </c:pt>
                <c:pt idx="98">
                  <c:v>90.809290421485855</c:v>
                </c:pt>
                <c:pt idx="99">
                  <c:v>90.461110732184252</c:v>
                </c:pt>
                <c:pt idx="100">
                  <c:v>89.117111147921207</c:v>
                </c:pt>
                <c:pt idx="101">
                  <c:v>88.313569588842697</c:v>
                </c:pt>
                <c:pt idx="102">
                  <c:v>89.263268666751159</c:v>
                </c:pt>
                <c:pt idx="103">
                  <c:v>88.996937187994334</c:v>
                </c:pt>
                <c:pt idx="104">
                  <c:v>88.484736283116902</c:v>
                </c:pt>
                <c:pt idx="105">
                  <c:v>89.600080549032654</c:v>
                </c:pt>
                <c:pt idx="106">
                  <c:v>89.750135601698076</c:v>
                </c:pt>
                <c:pt idx="107">
                  <c:v>90.681646188374344</c:v>
                </c:pt>
                <c:pt idx="108">
                  <c:v>89.667637802180721</c:v>
                </c:pt>
                <c:pt idx="109">
                  <c:v>89.699792456323308</c:v>
                </c:pt>
                <c:pt idx="110">
                  <c:v>89.901489832308656</c:v>
                </c:pt>
                <c:pt idx="111">
                  <c:v>89.09762347874387</c:v>
                </c:pt>
                <c:pt idx="112">
                  <c:v>90.578361541734523</c:v>
                </c:pt>
                <c:pt idx="113">
                  <c:v>92.085083163628269</c:v>
                </c:pt>
                <c:pt idx="114">
                  <c:v>91.761263060798342</c:v>
                </c:pt>
                <c:pt idx="115">
                  <c:v>91.456605832659449</c:v>
                </c:pt>
                <c:pt idx="116">
                  <c:v>90.371792248454852</c:v>
                </c:pt>
                <c:pt idx="117">
                  <c:v>90.972986842575438</c:v>
                </c:pt>
                <c:pt idx="118">
                  <c:v>89.86381367189918</c:v>
                </c:pt>
                <c:pt idx="119">
                  <c:v>89.141145939906608</c:v>
                </c:pt>
                <c:pt idx="120">
                  <c:v>89.250601681785923</c:v>
                </c:pt>
                <c:pt idx="121">
                  <c:v>89.643603010195392</c:v>
                </c:pt>
                <c:pt idx="122">
                  <c:v>90.123649260930236</c:v>
                </c:pt>
                <c:pt idx="123">
                  <c:v>91.01521012579299</c:v>
                </c:pt>
                <c:pt idx="124">
                  <c:v>91.777502785112816</c:v>
                </c:pt>
                <c:pt idx="125">
                  <c:v>92.067869055854999</c:v>
                </c:pt>
                <c:pt idx="126">
                  <c:v>92.624566805353993</c:v>
                </c:pt>
                <c:pt idx="127">
                  <c:v>92.992558958319208</c:v>
                </c:pt>
                <c:pt idx="128">
                  <c:v>93.699311760483639</c:v>
                </c:pt>
                <c:pt idx="129">
                  <c:v>94.042619532490889</c:v>
                </c:pt>
                <c:pt idx="130">
                  <c:v>94.788672467496284</c:v>
                </c:pt>
                <c:pt idx="131">
                  <c:v>93.62623300106867</c:v>
                </c:pt>
                <c:pt idx="132">
                  <c:v>94.566188244388456</c:v>
                </c:pt>
                <c:pt idx="133">
                  <c:v>95.163810099159846</c:v>
                </c:pt>
                <c:pt idx="134">
                  <c:v>95.504519515276812</c:v>
                </c:pt>
                <c:pt idx="135">
                  <c:v>97.203844267539822</c:v>
                </c:pt>
                <c:pt idx="136">
                  <c:v>97.064832227408218</c:v>
                </c:pt>
                <c:pt idx="137">
                  <c:v>96.540289132051797</c:v>
                </c:pt>
                <c:pt idx="138">
                  <c:v>96.16450191141567</c:v>
                </c:pt>
                <c:pt idx="139">
                  <c:v>97.621205182420937</c:v>
                </c:pt>
                <c:pt idx="140">
                  <c:v>99.191911318113554</c:v>
                </c:pt>
                <c:pt idx="141">
                  <c:v>100.05099273434745</c:v>
                </c:pt>
                <c:pt idx="142">
                  <c:v>99.45174690714461</c:v>
                </c:pt>
                <c:pt idx="143">
                  <c:v>99.142217761711393</c:v>
                </c:pt>
                <c:pt idx="144">
                  <c:v>99.085053932124552</c:v>
                </c:pt>
                <c:pt idx="145">
                  <c:v>99.274733912117213</c:v>
                </c:pt>
                <c:pt idx="146">
                  <c:v>97.23340056579211</c:v>
                </c:pt>
                <c:pt idx="147">
                  <c:v>97.295761107159564</c:v>
                </c:pt>
                <c:pt idx="148">
                  <c:v>98.393891265302003</c:v>
                </c:pt>
                <c:pt idx="149">
                  <c:v>98.381873869309317</c:v>
                </c:pt>
                <c:pt idx="150">
                  <c:v>99.126302831883237</c:v>
                </c:pt>
                <c:pt idx="151">
                  <c:v>97.8284240646732</c:v>
                </c:pt>
                <c:pt idx="152">
                  <c:v>96.794278420329661</c:v>
                </c:pt>
                <c:pt idx="153">
                  <c:v>96.340540522984199</c:v>
                </c:pt>
                <c:pt idx="154">
                  <c:v>96.626359670918347</c:v>
                </c:pt>
                <c:pt idx="155">
                  <c:v>96.025489871284066</c:v>
                </c:pt>
                <c:pt idx="156">
                  <c:v>95.227145023986182</c:v>
                </c:pt>
                <c:pt idx="157">
                  <c:v>94.890333141704701</c:v>
                </c:pt>
                <c:pt idx="158">
                  <c:v>93.826306404622571</c:v>
                </c:pt>
                <c:pt idx="159">
                  <c:v>93.413167818063229</c:v>
                </c:pt>
                <c:pt idx="160">
                  <c:v>94.110826374611577</c:v>
                </c:pt>
                <c:pt idx="161">
                  <c:v>94.531760028841859</c:v>
                </c:pt>
                <c:pt idx="162">
                  <c:v>95.112167775839936</c:v>
                </c:pt>
                <c:pt idx="163">
                  <c:v>96.807594994267475</c:v>
                </c:pt>
                <c:pt idx="164">
                  <c:v>96.626684465404622</c:v>
                </c:pt>
                <c:pt idx="165">
                  <c:v>96.52047666838817</c:v>
                </c:pt>
                <c:pt idx="166">
                  <c:v>95.872511668242012</c:v>
                </c:pt>
                <c:pt idx="167">
                  <c:v>93.010422655065113</c:v>
                </c:pt>
                <c:pt idx="168">
                  <c:v>93.692166281785305</c:v>
                </c:pt>
                <c:pt idx="169">
                  <c:v>94.722739186779677</c:v>
                </c:pt>
                <c:pt idx="170">
                  <c:v>94.604838788256842</c:v>
                </c:pt>
                <c:pt idx="171">
                  <c:v>94.087441171598769</c:v>
                </c:pt>
                <c:pt idx="172">
                  <c:v>95.072867642999</c:v>
                </c:pt>
                <c:pt idx="173">
                  <c:v>94.519093043876595</c:v>
                </c:pt>
                <c:pt idx="174">
                  <c:v>94.379106620286123</c:v>
                </c:pt>
                <c:pt idx="175">
                  <c:v>93.859110647737765</c:v>
                </c:pt>
                <c:pt idx="176">
                  <c:v>92.645028857990226</c:v>
                </c:pt>
                <c:pt idx="177">
                  <c:v>93.605121359459929</c:v>
                </c:pt>
                <c:pt idx="178">
                  <c:v>93.962720088863904</c:v>
                </c:pt>
                <c:pt idx="179">
                  <c:v>92.325431083482059</c:v>
                </c:pt>
                <c:pt idx="180">
                  <c:v>92.449177782758099</c:v>
                </c:pt>
                <c:pt idx="181">
                  <c:v>92.049680564622875</c:v>
                </c:pt>
                <c:pt idx="182">
                  <c:v>92.441057920600869</c:v>
                </c:pt>
                <c:pt idx="183">
                  <c:v>91.891830444286512</c:v>
                </c:pt>
                <c:pt idx="184">
                  <c:v>92.763903639971943</c:v>
                </c:pt>
                <c:pt idx="185">
                  <c:v>91.504025827657685</c:v>
                </c:pt>
                <c:pt idx="186">
                  <c:v>90.927515614495064</c:v>
                </c:pt>
                <c:pt idx="187">
                  <c:v>90.756348920220873</c:v>
                </c:pt>
                <c:pt idx="188">
                  <c:v>91.041843273668732</c:v>
                </c:pt>
                <c:pt idx="189">
                  <c:v>90.495214153244689</c:v>
                </c:pt>
                <c:pt idx="190">
                  <c:v>91.045416013017913</c:v>
                </c:pt>
                <c:pt idx="191">
                  <c:v>91.484862952966651</c:v>
                </c:pt>
                <c:pt idx="192">
                  <c:v>90.474427306122195</c:v>
                </c:pt>
                <c:pt idx="193">
                  <c:v>89.741690945054657</c:v>
                </c:pt>
                <c:pt idx="194">
                  <c:v>87.482095703943457</c:v>
                </c:pt>
                <c:pt idx="195">
                  <c:v>87.988125513581409</c:v>
                </c:pt>
                <c:pt idx="196">
                  <c:v>87.388879686378573</c:v>
                </c:pt>
                <c:pt idx="197">
                  <c:v>88.913789799504485</c:v>
                </c:pt>
                <c:pt idx="198">
                  <c:v>90.501385248484155</c:v>
                </c:pt>
                <c:pt idx="199">
                  <c:v>92.936369512191291</c:v>
                </c:pt>
                <c:pt idx="200">
                  <c:v>94.048141038757862</c:v>
                </c:pt>
                <c:pt idx="201">
                  <c:v>97.040472640936599</c:v>
                </c:pt>
                <c:pt idx="202">
                  <c:v>97.393199453046236</c:v>
                </c:pt>
                <c:pt idx="203">
                  <c:v>97.926511999532451</c:v>
                </c:pt>
                <c:pt idx="204">
                  <c:v>98.277290044724339</c:v>
                </c:pt>
                <c:pt idx="205">
                  <c:v>98.257477581060712</c:v>
                </c:pt>
                <c:pt idx="206">
                  <c:v>100.02825712030726</c:v>
                </c:pt>
                <c:pt idx="207">
                  <c:v>99.134422694040481</c:v>
                </c:pt>
                <c:pt idx="208">
                  <c:v>100.05878780201841</c:v>
                </c:pt>
                <c:pt idx="209">
                  <c:v>98.948315453396987</c:v>
                </c:pt>
                <c:pt idx="210">
                  <c:v>99.096096944658399</c:v>
                </c:pt>
                <c:pt idx="211">
                  <c:v>98.966828739115442</c:v>
                </c:pt>
                <c:pt idx="212">
                  <c:v>100.55117624323222</c:v>
                </c:pt>
                <c:pt idx="213">
                  <c:v>101.8074813161973</c:v>
                </c:pt>
                <c:pt idx="214">
                  <c:v>102.07251361700897</c:v>
                </c:pt>
                <c:pt idx="215">
                  <c:v>100.93248497013528</c:v>
                </c:pt>
                <c:pt idx="216">
                  <c:v>102.23848359950256</c:v>
                </c:pt>
                <c:pt idx="217">
                  <c:v>103.59677414116233</c:v>
                </c:pt>
                <c:pt idx="218">
                  <c:v>102.72177779510029</c:v>
                </c:pt>
                <c:pt idx="219">
                  <c:v>103.43794963736708</c:v>
                </c:pt>
                <c:pt idx="220">
                  <c:v>103.77443672516229</c:v>
                </c:pt>
                <c:pt idx="221">
                  <c:v>103.27197965487352</c:v>
                </c:pt>
                <c:pt idx="222">
                  <c:v>104.31294598342912</c:v>
                </c:pt>
                <c:pt idx="223">
                  <c:v>105.82811226196637</c:v>
                </c:pt>
                <c:pt idx="224">
                  <c:v>106.421511788416</c:v>
                </c:pt>
                <c:pt idx="225">
                  <c:v>105.71508378073786</c:v>
                </c:pt>
                <c:pt idx="226">
                  <c:v>105.49682188595179</c:v>
                </c:pt>
                <c:pt idx="227">
                  <c:v>106.20617304400652</c:v>
                </c:pt>
                <c:pt idx="228">
                  <c:v>106.61931163056587</c:v>
                </c:pt>
                <c:pt idx="229">
                  <c:v>106.32959494879626</c:v>
                </c:pt>
                <c:pt idx="230">
                  <c:v>103.491865522091</c:v>
                </c:pt>
                <c:pt idx="231">
                  <c:v>105.11843630942532</c:v>
                </c:pt>
                <c:pt idx="232">
                  <c:v>105.62641488598099</c:v>
                </c:pt>
                <c:pt idx="233">
                  <c:v>105.84889910908883</c:v>
                </c:pt>
                <c:pt idx="234">
                  <c:v>106.35947604153483</c:v>
                </c:pt>
                <c:pt idx="235">
                  <c:v>106.82555612935926</c:v>
                </c:pt>
                <c:pt idx="236">
                  <c:v>108.8227174255491</c:v>
                </c:pt>
                <c:pt idx="237">
                  <c:v>109.10333986170262</c:v>
                </c:pt>
                <c:pt idx="238">
                  <c:v>109.48919571141371</c:v>
                </c:pt>
                <c:pt idx="239">
                  <c:v>112.21064871202759</c:v>
                </c:pt>
                <c:pt idx="240">
                  <c:v>113.10903026110242</c:v>
                </c:pt>
                <c:pt idx="241">
                  <c:v>112.75727783245165</c:v>
                </c:pt>
                <c:pt idx="242">
                  <c:v>112.71213139885751</c:v>
                </c:pt>
                <c:pt idx="243">
                  <c:v>113.38088324612615</c:v>
                </c:pt>
                <c:pt idx="244">
                  <c:v>112.08495324583383</c:v>
                </c:pt>
                <c:pt idx="245">
                  <c:v>111.83421190241889</c:v>
                </c:pt>
                <c:pt idx="246">
                  <c:v>112.5997525066016</c:v>
                </c:pt>
                <c:pt idx="247">
                  <c:v>111.16643443860912</c:v>
                </c:pt>
                <c:pt idx="248">
                  <c:v>109.87537635561112</c:v>
                </c:pt>
                <c:pt idx="249">
                  <c:v>110.34827712764762</c:v>
                </c:pt>
                <c:pt idx="250">
                  <c:v>110.13001523286155</c:v>
                </c:pt>
                <c:pt idx="251">
                  <c:v>108.59893402449613</c:v>
                </c:pt>
                <c:pt idx="252">
                  <c:v>108.54664211220366</c:v>
                </c:pt>
                <c:pt idx="253">
                  <c:v>106.43775151273046</c:v>
                </c:pt>
                <c:pt idx="254">
                  <c:v>106.89441256045251</c:v>
                </c:pt>
                <c:pt idx="255">
                  <c:v>109.13906725519442</c:v>
                </c:pt>
                <c:pt idx="256">
                  <c:v>108.59373731271552</c:v>
                </c:pt>
                <c:pt idx="257">
                  <c:v>109.52070077658377</c:v>
                </c:pt>
                <c:pt idx="258">
                  <c:v>110.19399974666044</c:v>
                </c:pt>
                <c:pt idx="259">
                  <c:v>111.92093203025799</c:v>
                </c:pt>
                <c:pt idx="260">
                  <c:v>111.3025233283641</c:v>
                </c:pt>
                <c:pt idx="261">
                  <c:v>110.41908232565856</c:v>
                </c:pt>
                <c:pt idx="262">
                  <c:v>110.89523104255795</c:v>
                </c:pt>
                <c:pt idx="263">
                  <c:v>111.30966880706247</c:v>
                </c:pt>
                <c:pt idx="264">
                  <c:v>113.52411761457952</c:v>
                </c:pt>
                <c:pt idx="265">
                  <c:v>111.62536904773519</c:v>
                </c:pt>
                <c:pt idx="266">
                  <c:v>110.43564684445931</c:v>
                </c:pt>
                <c:pt idx="267">
                  <c:v>112.30353993510622</c:v>
                </c:pt>
                <c:pt idx="268">
                  <c:v>111.53215303017032</c:v>
                </c:pt>
                <c:pt idx="269">
                  <c:v>109.95852374410109</c:v>
                </c:pt>
                <c:pt idx="270">
                  <c:v>110.74712475681031</c:v>
                </c:pt>
                <c:pt idx="271">
                  <c:v>108.69702195935538</c:v>
                </c:pt>
                <c:pt idx="272">
                  <c:v>109.98060976916872</c:v>
                </c:pt>
                <c:pt idx="273">
                  <c:v>110.75816776934411</c:v>
                </c:pt>
                <c:pt idx="274">
                  <c:v>110.95109569419967</c:v>
                </c:pt>
                <c:pt idx="275">
                  <c:v>110.35087548353795</c:v>
                </c:pt>
                <c:pt idx="276">
                  <c:v>110.8890599473185</c:v>
                </c:pt>
                <c:pt idx="277">
                  <c:v>112.98690753425785</c:v>
                </c:pt>
                <c:pt idx="278">
                  <c:v>112.4782793687296</c:v>
                </c:pt>
                <c:pt idx="279">
                  <c:v>113.95447030891221</c:v>
                </c:pt>
                <c:pt idx="280">
                  <c:v>114.96100842192121</c:v>
                </c:pt>
                <c:pt idx="281">
                  <c:v>116.42225881573451</c:v>
                </c:pt>
                <c:pt idx="282">
                  <c:v>116.59569907141272</c:v>
                </c:pt>
                <c:pt idx="283">
                  <c:v>113.93498263973486</c:v>
                </c:pt>
                <c:pt idx="284">
                  <c:v>113.83559552693048</c:v>
                </c:pt>
                <c:pt idx="285">
                  <c:v>112.87452864200193</c:v>
                </c:pt>
                <c:pt idx="286">
                  <c:v>113.32306982756677</c:v>
                </c:pt>
                <c:pt idx="287">
                  <c:v>112.61306908053943</c:v>
                </c:pt>
                <c:pt idx="288">
                  <c:v>113.20159668969474</c:v>
                </c:pt>
                <c:pt idx="289">
                  <c:v>111.7065676693074</c:v>
                </c:pt>
                <c:pt idx="290">
                  <c:v>113.34775420852471</c:v>
                </c:pt>
                <c:pt idx="291">
                  <c:v>114.63069242936547</c:v>
                </c:pt>
                <c:pt idx="292">
                  <c:v>114.49752668998705</c:v>
                </c:pt>
                <c:pt idx="293">
                  <c:v>115.03311279787728</c:v>
                </c:pt>
                <c:pt idx="294">
                  <c:v>114.57255421631976</c:v>
                </c:pt>
                <c:pt idx="295">
                  <c:v>113.47962076995793</c:v>
                </c:pt>
                <c:pt idx="296">
                  <c:v>113.68911321361422</c:v>
                </c:pt>
                <c:pt idx="297">
                  <c:v>113.93238428384453</c:v>
                </c:pt>
                <c:pt idx="298">
                  <c:v>113.22433230373494</c:v>
                </c:pt>
                <c:pt idx="299">
                  <c:v>114.41372971252451</c:v>
                </c:pt>
                <c:pt idx="300">
                  <c:v>114.53227970001993</c:v>
                </c:pt>
                <c:pt idx="301">
                  <c:v>116.17541500615496</c:v>
                </c:pt>
                <c:pt idx="302">
                  <c:v>115.90323722664496</c:v>
                </c:pt>
                <c:pt idx="303">
                  <c:v>116.87534712410734</c:v>
                </c:pt>
                <c:pt idx="304">
                  <c:v>116.08414775550781</c:v>
                </c:pt>
                <c:pt idx="305">
                  <c:v>115.38031810371999</c:v>
                </c:pt>
                <c:pt idx="306">
                  <c:v>115.68270177045487</c:v>
                </c:pt>
                <c:pt idx="307">
                  <c:v>116.93738287098851</c:v>
                </c:pt>
                <c:pt idx="308">
                  <c:v>116.83409822434868</c:v>
                </c:pt>
                <c:pt idx="309">
                  <c:v>117.28263940991351</c:v>
                </c:pt>
                <c:pt idx="310">
                  <c:v>116.94550273314573</c:v>
                </c:pt>
                <c:pt idx="311">
                  <c:v>116.21536472796851</c:v>
                </c:pt>
                <c:pt idx="312">
                  <c:v>115.98573502616233</c:v>
                </c:pt>
                <c:pt idx="313">
                  <c:v>115.10716594075112</c:v>
                </c:pt>
                <c:pt idx="314">
                  <c:v>116.18580842971623</c:v>
                </c:pt>
                <c:pt idx="315">
                  <c:v>118.34081984624243</c:v>
                </c:pt>
                <c:pt idx="316">
                  <c:v>118.81859253557325</c:v>
                </c:pt>
                <c:pt idx="317">
                  <c:v>119.6117406710905</c:v>
                </c:pt>
                <c:pt idx="318">
                  <c:v>120.00441720501367</c:v>
                </c:pt>
                <c:pt idx="319">
                  <c:v>118.61657036510162</c:v>
                </c:pt>
                <c:pt idx="320">
                  <c:v>118.68445241273596</c:v>
                </c:pt>
                <c:pt idx="321">
                  <c:v>118.14009685371595</c:v>
                </c:pt>
                <c:pt idx="322">
                  <c:v>118.14724233241429</c:v>
                </c:pt>
                <c:pt idx="323">
                  <c:v>118.21252602415835</c:v>
                </c:pt>
                <c:pt idx="324">
                  <c:v>119.78290736536471</c:v>
                </c:pt>
                <c:pt idx="325">
                  <c:v>118.05500069830829</c:v>
                </c:pt>
                <c:pt idx="326">
                  <c:v>118.10047192638871</c:v>
                </c:pt>
                <c:pt idx="327">
                  <c:v>118.89037211704307</c:v>
                </c:pt>
                <c:pt idx="328">
                  <c:v>119.74393202701005</c:v>
                </c:pt>
                <c:pt idx="329">
                  <c:v>120.53285783420554</c:v>
                </c:pt>
                <c:pt idx="330">
                  <c:v>121.43026499982149</c:v>
                </c:pt>
                <c:pt idx="331">
                  <c:v>121.1662070824687</c:v>
                </c:pt>
                <c:pt idx="332">
                  <c:v>122.27180751379578</c:v>
                </c:pt>
                <c:pt idx="333">
                  <c:v>123.99614144150301</c:v>
                </c:pt>
                <c:pt idx="334">
                  <c:v>123.5989177847718</c:v>
                </c:pt>
                <c:pt idx="335">
                  <c:v>123.66322709305699</c:v>
                </c:pt>
                <c:pt idx="336">
                  <c:v>124.14327334379183</c:v>
                </c:pt>
                <c:pt idx="337">
                  <c:v>123.66322709305699</c:v>
                </c:pt>
                <c:pt idx="338">
                  <c:v>124.82761532640235</c:v>
                </c:pt>
                <c:pt idx="339">
                  <c:v>124.32191031125069</c:v>
                </c:pt>
                <c:pt idx="340">
                  <c:v>124.77077629130181</c:v>
                </c:pt>
                <c:pt idx="341">
                  <c:v>125.37651800823042</c:v>
                </c:pt>
                <c:pt idx="342">
                  <c:v>124.14944443903134</c:v>
                </c:pt>
                <c:pt idx="343">
                  <c:v>124.3855700305633</c:v>
                </c:pt>
                <c:pt idx="344">
                  <c:v>124.04128787509717</c:v>
                </c:pt>
                <c:pt idx="345">
                  <c:v>123.5177191631996</c:v>
                </c:pt>
                <c:pt idx="346">
                  <c:v>123.85875337380284</c:v>
                </c:pt>
                <c:pt idx="347">
                  <c:v>124.12605923601852</c:v>
                </c:pt>
                <c:pt idx="348">
                  <c:v>124.6285163063073</c:v>
                </c:pt>
                <c:pt idx="349">
                  <c:v>124.18322306560536</c:v>
                </c:pt>
                <c:pt idx="350">
                  <c:v>124.45605043408796</c:v>
                </c:pt>
                <c:pt idx="351">
                  <c:v>124.25240429118489</c:v>
                </c:pt>
                <c:pt idx="352">
                  <c:v>123.12471783479016</c:v>
                </c:pt>
                <c:pt idx="353">
                  <c:v>124.78116971486305</c:v>
                </c:pt>
                <c:pt idx="354">
                  <c:v>125.31610623378072</c:v>
                </c:pt>
                <c:pt idx="355">
                  <c:v>125.54671031904576</c:v>
                </c:pt>
                <c:pt idx="356">
                  <c:v>126.15992230915901</c:v>
                </c:pt>
                <c:pt idx="357">
                  <c:v>126.5107003543509</c:v>
                </c:pt>
                <c:pt idx="358">
                  <c:v>125.4057495119964</c:v>
                </c:pt>
                <c:pt idx="359">
                  <c:v>125.21834309340777</c:v>
                </c:pt>
                <c:pt idx="360">
                  <c:v>125.87767590057405</c:v>
                </c:pt>
                <c:pt idx="361">
                  <c:v>125.92379671762706</c:v>
                </c:pt>
                <c:pt idx="362">
                  <c:v>124.48885467720312</c:v>
                </c:pt>
                <c:pt idx="363">
                  <c:v>123.42093040628554</c:v>
                </c:pt>
                <c:pt idx="364">
                  <c:v>122.45239324817234</c:v>
                </c:pt>
                <c:pt idx="365">
                  <c:v>119.96024515487838</c:v>
                </c:pt>
                <c:pt idx="366">
                  <c:v>120.31686950082349</c:v>
                </c:pt>
                <c:pt idx="367">
                  <c:v>120.9196880673755</c:v>
                </c:pt>
                <c:pt idx="368">
                  <c:v>121.94214111021266</c:v>
                </c:pt>
                <c:pt idx="369">
                  <c:v>121.29580008249793</c:v>
                </c:pt>
                <c:pt idx="370">
                  <c:v>121.80118030316331</c:v>
                </c:pt>
                <c:pt idx="371">
                  <c:v>121.24902967647233</c:v>
                </c:pt>
                <c:pt idx="372">
                  <c:v>122.84636896004066</c:v>
                </c:pt>
                <c:pt idx="373">
                  <c:v>123.56254080230747</c:v>
                </c:pt>
                <c:pt idx="374">
                  <c:v>122.49883885971164</c:v>
                </c:pt>
                <c:pt idx="375">
                  <c:v>123.03539935106075</c:v>
                </c:pt>
                <c:pt idx="376">
                  <c:v>123.21695946889619</c:v>
                </c:pt>
                <c:pt idx="377">
                  <c:v>123.76683653418313</c:v>
                </c:pt>
                <c:pt idx="378">
                  <c:v>124.51808618096912</c:v>
                </c:pt>
                <c:pt idx="379">
                  <c:v>123.59599463439523</c:v>
                </c:pt>
                <c:pt idx="380">
                  <c:v>124.56225823110441</c:v>
                </c:pt>
                <c:pt idx="381">
                  <c:v>125.44602402829624</c:v>
                </c:pt>
                <c:pt idx="382">
                  <c:v>125.93483973016087</c:v>
                </c:pt>
                <c:pt idx="383">
                  <c:v>126.30802859490672</c:v>
                </c:pt>
                <c:pt idx="384">
                  <c:v>125.79290453965267</c:v>
                </c:pt>
                <c:pt idx="385">
                  <c:v>126.51752103856298</c:v>
                </c:pt>
                <c:pt idx="386">
                  <c:v>128.06679073816056</c:v>
                </c:pt>
                <c:pt idx="387">
                  <c:v>127.48735737462134</c:v>
                </c:pt>
                <c:pt idx="388">
                  <c:v>125.17514542673136</c:v>
                </c:pt>
                <c:pt idx="389">
                  <c:v>124.48398275990878</c:v>
                </c:pt>
                <c:pt idx="390">
                  <c:v>126.11802382042777</c:v>
                </c:pt>
                <c:pt idx="391">
                  <c:v>126.30835338939299</c:v>
                </c:pt>
                <c:pt idx="392">
                  <c:v>126.23592421895059</c:v>
                </c:pt>
                <c:pt idx="393">
                  <c:v>125.09686995553577</c:v>
                </c:pt>
                <c:pt idx="394">
                  <c:v>126.25995901093596</c:v>
                </c:pt>
                <c:pt idx="395">
                  <c:v>127.59551393855551</c:v>
                </c:pt>
                <c:pt idx="396">
                  <c:v>127.28565999863599</c:v>
                </c:pt>
                <c:pt idx="397">
                  <c:v>128.97654009425548</c:v>
                </c:pt>
                <c:pt idx="398">
                  <c:v>129.61800920467587</c:v>
                </c:pt>
                <c:pt idx="399">
                  <c:v>129.97300957818953</c:v>
                </c:pt>
                <c:pt idx="400">
                  <c:v>130.24778571358985</c:v>
                </c:pt>
                <c:pt idx="401">
                  <c:v>130.48196253820407</c:v>
                </c:pt>
                <c:pt idx="402">
                  <c:v>129.70862686635044</c:v>
                </c:pt>
                <c:pt idx="403">
                  <c:v>130.00418984887324</c:v>
                </c:pt>
                <c:pt idx="404">
                  <c:v>131.2546486210851</c:v>
                </c:pt>
                <c:pt idx="405">
                  <c:v>131.72689980414901</c:v>
                </c:pt>
                <c:pt idx="406">
                  <c:v>132.04617278417092</c:v>
                </c:pt>
                <c:pt idx="407">
                  <c:v>131.3826176486829</c:v>
                </c:pt>
                <c:pt idx="408">
                  <c:v>131.06009672379813</c:v>
                </c:pt>
                <c:pt idx="409">
                  <c:v>128.93074407168874</c:v>
                </c:pt>
                <c:pt idx="410">
                  <c:v>128.95900119199587</c:v>
                </c:pt>
                <c:pt idx="411">
                  <c:v>130.92400783404312</c:v>
                </c:pt>
                <c:pt idx="412">
                  <c:v>131.6112729670302</c:v>
                </c:pt>
                <c:pt idx="413">
                  <c:v>131.1594838366025</c:v>
                </c:pt>
                <c:pt idx="414">
                  <c:v>132.55577533315804</c:v>
                </c:pt>
                <c:pt idx="415">
                  <c:v>132.0438992227669</c:v>
                </c:pt>
                <c:pt idx="416">
                  <c:v>131.81361993198814</c:v>
                </c:pt>
                <c:pt idx="417">
                  <c:v>133.28006703758209</c:v>
                </c:pt>
                <c:pt idx="418">
                  <c:v>132.74318175174668</c:v>
                </c:pt>
                <c:pt idx="419">
                  <c:v>133.5788779649678</c:v>
                </c:pt>
                <c:pt idx="420">
                  <c:v>137.18831909109525</c:v>
                </c:pt>
                <c:pt idx="421">
                  <c:v>135.49484063958542</c:v>
                </c:pt>
                <c:pt idx="422">
                  <c:v>137.32375839187767</c:v>
                </c:pt>
                <c:pt idx="423">
                  <c:v>137.64790328919386</c:v>
                </c:pt>
                <c:pt idx="424">
                  <c:v>139.00781780328506</c:v>
                </c:pt>
                <c:pt idx="425">
                  <c:v>138.48587306381896</c:v>
                </c:pt>
                <c:pt idx="426">
                  <c:v>137.84018162507681</c:v>
                </c:pt>
                <c:pt idx="427">
                  <c:v>138.33419403872207</c:v>
                </c:pt>
                <c:pt idx="428">
                  <c:v>138.42156375553375</c:v>
                </c:pt>
                <c:pt idx="429">
                  <c:v>137.98341599353017</c:v>
                </c:pt>
                <c:pt idx="430">
                  <c:v>138.89056699373478</c:v>
                </c:pt>
                <c:pt idx="431">
                  <c:v>139.25628558529596</c:v>
                </c:pt>
                <c:pt idx="432">
                  <c:v>137.01877636925241</c:v>
                </c:pt>
                <c:pt idx="433">
                  <c:v>136.31494671746458</c:v>
                </c:pt>
                <c:pt idx="434">
                  <c:v>138.1994043269122</c:v>
                </c:pt>
                <c:pt idx="435">
                  <c:v>137.57872206361429</c:v>
                </c:pt>
                <c:pt idx="436">
                  <c:v>137.37280235930717</c:v>
                </c:pt>
                <c:pt idx="437">
                  <c:v>136.07784674247375</c:v>
                </c:pt>
                <c:pt idx="438">
                  <c:v>134.78971180985238</c:v>
                </c:pt>
                <c:pt idx="439">
                  <c:v>137.111667592331</c:v>
                </c:pt>
                <c:pt idx="440">
                  <c:v>136.65825448947183</c:v>
                </c:pt>
                <c:pt idx="441">
                  <c:v>135.9222701835414</c:v>
                </c:pt>
                <c:pt idx="442">
                  <c:v>135.59390295790342</c:v>
                </c:pt>
                <c:pt idx="443">
                  <c:v>137.007083767746</c:v>
                </c:pt>
                <c:pt idx="444">
                  <c:v>136.00216962716843</c:v>
                </c:pt>
                <c:pt idx="445">
                  <c:v>135.51952502054326</c:v>
                </c:pt>
                <c:pt idx="446">
                  <c:v>136.06777811339876</c:v>
                </c:pt>
                <c:pt idx="447">
                  <c:v>133.86924423570986</c:v>
                </c:pt>
                <c:pt idx="448">
                  <c:v>134.30706720322718</c:v>
                </c:pt>
                <c:pt idx="449">
                  <c:v>133.81597793995851</c:v>
                </c:pt>
                <c:pt idx="450">
                  <c:v>134.75788195019604</c:v>
                </c:pt>
                <c:pt idx="451">
                  <c:v>132.96599076934069</c:v>
                </c:pt>
                <c:pt idx="452">
                  <c:v>130.45273103443793</c:v>
                </c:pt>
                <c:pt idx="453">
                  <c:v>125.78543426646787</c:v>
                </c:pt>
                <c:pt idx="454">
                  <c:v>128.62933478841262</c:v>
                </c:pt>
                <c:pt idx="455">
                  <c:v>128.31201057530845</c:v>
                </c:pt>
                <c:pt idx="456">
                  <c:v>123.77852913568937</c:v>
                </c:pt>
                <c:pt idx="457">
                  <c:v>126.00532013368539</c:v>
                </c:pt>
                <c:pt idx="458">
                  <c:v>126.36421804103452</c:v>
                </c:pt>
                <c:pt idx="459">
                  <c:v>128.59555616183857</c:v>
                </c:pt>
                <c:pt idx="460">
                  <c:v>128.21392264044923</c:v>
                </c:pt>
                <c:pt idx="461">
                  <c:v>127.09403125172544</c:v>
                </c:pt>
                <c:pt idx="462">
                  <c:v>123.74994722089595</c:v>
                </c:pt>
                <c:pt idx="463">
                  <c:v>125.79940042937828</c:v>
                </c:pt>
                <c:pt idx="464">
                  <c:v>122.56477214042813</c:v>
                </c:pt>
                <c:pt idx="465">
                  <c:v>123.85355666202209</c:v>
                </c:pt>
                <c:pt idx="466">
                  <c:v>122.13019711777372</c:v>
                </c:pt>
                <c:pt idx="467">
                  <c:v>117.52071376836305</c:v>
                </c:pt>
                <c:pt idx="468">
                  <c:v>117.55579157288224</c:v>
                </c:pt>
                <c:pt idx="469">
                  <c:v>117.63471663305043</c:v>
                </c:pt>
                <c:pt idx="470">
                  <c:v>121.80962495980668</c:v>
                </c:pt>
                <c:pt idx="471">
                  <c:v>120.92975669645031</c:v>
                </c:pt>
                <c:pt idx="472">
                  <c:v>119.16872099179243</c:v>
                </c:pt>
                <c:pt idx="473">
                  <c:v>119.94725337542667</c:v>
                </c:pt>
                <c:pt idx="474">
                  <c:v>121.6923741502564</c:v>
                </c:pt>
                <c:pt idx="475">
                  <c:v>120.3233653905491</c:v>
                </c:pt>
                <c:pt idx="476">
                  <c:v>121.49359992464765</c:v>
                </c:pt>
                <c:pt idx="477">
                  <c:v>122.69306596251219</c:v>
                </c:pt>
                <c:pt idx="478">
                  <c:v>121.50789088204438</c:v>
                </c:pt>
                <c:pt idx="479">
                  <c:v>123.00811661421234</c:v>
                </c:pt>
                <c:pt idx="480">
                  <c:v>125.12707584276046</c:v>
                </c:pt>
                <c:pt idx="481">
                  <c:v>125.80881946948065</c:v>
                </c:pt>
                <c:pt idx="482">
                  <c:v>123.91072049160891</c:v>
                </c:pt>
                <c:pt idx="483">
                  <c:v>121.90478974428927</c:v>
                </c:pt>
                <c:pt idx="484">
                  <c:v>122.51377940608077</c:v>
                </c:pt>
                <c:pt idx="485">
                  <c:v>121.43026499982133</c:v>
                </c:pt>
                <c:pt idx="486">
                  <c:v>122.94413210041343</c:v>
                </c:pt>
                <c:pt idx="487">
                  <c:v>124.39466427617921</c:v>
                </c:pt>
                <c:pt idx="488">
                  <c:v>119.35320426000446</c:v>
                </c:pt>
                <c:pt idx="489">
                  <c:v>116.82792712910904</c:v>
                </c:pt>
                <c:pt idx="490">
                  <c:v>108.12213571862402</c:v>
                </c:pt>
                <c:pt idx="491">
                  <c:v>111.62601863670761</c:v>
                </c:pt>
                <c:pt idx="492">
                  <c:v>114.19839096811491</c:v>
                </c:pt>
                <c:pt idx="493">
                  <c:v>111.70494369687579</c:v>
                </c:pt>
                <c:pt idx="494">
                  <c:v>105.08011056004312</c:v>
                </c:pt>
                <c:pt idx="495">
                  <c:v>105.84207842487665</c:v>
                </c:pt>
                <c:pt idx="496">
                  <c:v>109.05494548324546</c:v>
                </c:pt>
                <c:pt idx="497">
                  <c:v>112.24670090000551</c:v>
                </c:pt>
                <c:pt idx="498">
                  <c:v>113.30780448671102</c:v>
                </c:pt>
                <c:pt idx="499">
                  <c:v>114.66479585042563</c:v>
                </c:pt>
                <c:pt idx="500">
                  <c:v>115.24260524153341</c:v>
                </c:pt>
                <c:pt idx="501">
                  <c:v>115.10067005102522</c:v>
                </c:pt>
                <c:pt idx="502">
                  <c:v>112.74201249159594</c:v>
                </c:pt>
                <c:pt idx="503">
                  <c:v>112.73649098532906</c:v>
                </c:pt>
                <c:pt idx="504">
                  <c:v>112.72902071214442</c:v>
                </c:pt>
                <c:pt idx="505">
                  <c:v>115.35563372276195</c:v>
                </c:pt>
                <c:pt idx="506">
                  <c:v>118.1904399990906</c:v>
                </c:pt>
                <c:pt idx="507">
                  <c:v>118.73706911951466</c:v>
                </c:pt>
                <c:pt idx="508">
                  <c:v>115.19226209615869</c:v>
                </c:pt>
                <c:pt idx="509">
                  <c:v>113.07330286761056</c:v>
                </c:pt>
                <c:pt idx="510">
                  <c:v>116.93543410407068</c:v>
                </c:pt>
                <c:pt idx="511">
                  <c:v>118.43338627483462</c:v>
                </c:pt>
                <c:pt idx="512">
                  <c:v>114.03794249188829</c:v>
                </c:pt>
                <c:pt idx="513">
                  <c:v>110.21283782686508</c:v>
                </c:pt>
                <c:pt idx="514">
                  <c:v>100.19065436345156</c:v>
                </c:pt>
                <c:pt idx="515">
                  <c:v>83.748583084053607</c:v>
                </c:pt>
                <c:pt idx="516">
                  <c:v>80.683172722459901</c:v>
                </c:pt>
                <c:pt idx="517">
                  <c:v>78.947795782218833</c:v>
                </c:pt>
                <c:pt idx="518">
                  <c:v>78.226427228171403</c:v>
                </c:pt>
                <c:pt idx="519">
                  <c:v>81.621828787834545</c:v>
                </c:pt>
                <c:pt idx="520">
                  <c:v>87.808514162663627</c:v>
                </c:pt>
                <c:pt idx="521">
                  <c:v>89.631585614202649</c:v>
                </c:pt>
                <c:pt idx="522">
                  <c:v>90.54263414824274</c:v>
                </c:pt>
                <c:pt idx="523">
                  <c:v>86.485951014495612</c:v>
                </c:pt>
                <c:pt idx="524">
                  <c:v>84.817806532916336</c:v>
                </c:pt>
                <c:pt idx="525">
                  <c:v>85.596014122064304</c:v>
                </c:pt>
                <c:pt idx="526">
                  <c:v>84.210116049069981</c:v>
                </c:pt>
                <c:pt idx="527">
                  <c:v>83.055146855827005</c:v>
                </c:pt>
                <c:pt idx="528">
                  <c:v>82.529954171498005</c:v>
                </c:pt>
                <c:pt idx="529">
                  <c:v>82.121687502232987</c:v>
                </c:pt>
                <c:pt idx="530">
                  <c:v>78.104304501326808</c:v>
                </c:pt>
                <c:pt idx="531">
                  <c:v>75.269823019484448</c:v>
                </c:pt>
                <c:pt idx="532">
                  <c:v>75.700825302789681</c:v>
                </c:pt>
                <c:pt idx="533">
                  <c:v>73.762451808618124</c:v>
                </c:pt>
                <c:pt idx="534">
                  <c:v>72.501599612844984</c:v>
                </c:pt>
                <c:pt idx="535">
                  <c:v>71.007220181430199</c:v>
                </c:pt>
                <c:pt idx="536">
                  <c:v>75.302302468113311</c:v>
                </c:pt>
                <c:pt idx="537">
                  <c:v>78.739277722021413</c:v>
                </c:pt>
                <c:pt idx="538">
                  <c:v>77.419962518716289</c:v>
                </c:pt>
                <c:pt idx="539">
                  <c:v>79.417773403878712</c:v>
                </c:pt>
                <c:pt idx="540">
                  <c:v>77.078928308113049</c:v>
                </c:pt>
                <c:pt idx="541">
                  <c:v>78.106578062730833</c:v>
                </c:pt>
                <c:pt idx="542">
                  <c:v>77.724294952368908</c:v>
                </c:pt>
                <c:pt idx="543">
                  <c:v>77.532990999944786</c:v>
                </c:pt>
                <c:pt idx="544">
                  <c:v>74.634200209817237</c:v>
                </c:pt>
                <c:pt idx="545">
                  <c:v>74.946327711140782</c:v>
                </c:pt>
                <c:pt idx="546">
                  <c:v>76.800904227849841</c:v>
                </c:pt>
                <c:pt idx="547">
                  <c:v>78.733431421268207</c:v>
                </c:pt>
                <c:pt idx="548">
                  <c:v>79.421995732200472</c:v>
                </c:pt>
                <c:pt idx="549">
                  <c:v>79.138450145670348</c:v>
                </c:pt>
                <c:pt idx="550">
                  <c:v>77.082176252975955</c:v>
                </c:pt>
                <c:pt idx="551">
                  <c:v>74.762818826387615</c:v>
                </c:pt>
                <c:pt idx="552">
                  <c:v>74.495512964171937</c:v>
                </c:pt>
                <c:pt idx="553">
                  <c:v>76.007756092332585</c:v>
                </c:pt>
                <c:pt idx="554">
                  <c:v>78.374858308405379</c:v>
                </c:pt>
                <c:pt idx="555">
                  <c:v>78.197195724405418</c:v>
                </c:pt>
                <c:pt idx="556">
                  <c:v>76.513461107484275</c:v>
                </c:pt>
                <c:pt idx="557">
                  <c:v>77.125698714138665</c:v>
                </c:pt>
                <c:pt idx="558">
                  <c:v>76.007431297846324</c:v>
                </c:pt>
                <c:pt idx="559">
                  <c:v>74.963541818914123</c:v>
                </c:pt>
                <c:pt idx="560">
                  <c:v>74.123298482884977</c:v>
                </c:pt>
                <c:pt idx="561">
                  <c:v>74.430554066914183</c:v>
                </c:pt>
                <c:pt idx="562">
                  <c:v>75.314969453078589</c:v>
                </c:pt>
                <c:pt idx="563">
                  <c:v>74.507530360164623</c:v>
                </c:pt>
                <c:pt idx="564">
                  <c:v>74.232429430278017</c:v>
                </c:pt>
                <c:pt idx="565">
                  <c:v>74.36981749797819</c:v>
                </c:pt>
                <c:pt idx="566">
                  <c:v>75.318542192427785</c:v>
                </c:pt>
                <c:pt idx="567">
                  <c:v>76.968173388288605</c:v>
                </c:pt>
                <c:pt idx="568">
                  <c:v>76.455972483411159</c:v>
                </c:pt>
                <c:pt idx="569">
                  <c:v>78.093586283279294</c:v>
                </c:pt>
                <c:pt idx="570">
                  <c:v>76.61284822028864</c:v>
                </c:pt>
                <c:pt idx="571">
                  <c:v>77.090620909619474</c:v>
                </c:pt>
                <c:pt idx="572">
                  <c:v>78.098133406087328</c:v>
                </c:pt>
                <c:pt idx="573">
                  <c:v>77.674926190453036</c:v>
                </c:pt>
                <c:pt idx="574">
                  <c:v>78.504776102920914</c:v>
                </c:pt>
                <c:pt idx="575">
                  <c:v>78.234871884814922</c:v>
                </c:pt>
                <c:pt idx="576">
                  <c:v>77.253992536222754</c:v>
                </c:pt>
                <c:pt idx="577">
                  <c:v>71.612312309386283</c:v>
                </c:pt>
                <c:pt idx="578">
                  <c:v>71.669476138973124</c:v>
                </c:pt>
                <c:pt idx="579">
                  <c:v>71.606141214146803</c:v>
                </c:pt>
                <c:pt idx="580">
                  <c:v>72.320039495009581</c:v>
                </c:pt>
                <c:pt idx="581">
                  <c:v>72.16543731953611</c:v>
                </c:pt>
                <c:pt idx="582">
                  <c:v>72.32036428949587</c:v>
                </c:pt>
                <c:pt idx="583">
                  <c:v>72.185899372172315</c:v>
                </c:pt>
                <c:pt idx="584">
                  <c:v>70.231610948172602</c:v>
                </c:pt>
                <c:pt idx="585">
                  <c:v>69.303673100845486</c:v>
                </c:pt>
                <c:pt idx="586">
                  <c:v>67.351983032736086</c:v>
                </c:pt>
                <c:pt idx="587">
                  <c:v>67.014846355968317</c:v>
                </c:pt>
                <c:pt idx="588">
                  <c:v>68.516046471595146</c:v>
                </c:pt>
                <c:pt idx="589">
                  <c:v>68.09056569455683</c:v>
                </c:pt>
                <c:pt idx="590">
                  <c:v>67.274032356026794</c:v>
                </c:pt>
                <c:pt idx="591">
                  <c:v>67.402650972597144</c:v>
                </c:pt>
                <c:pt idx="592">
                  <c:v>66.70109488221334</c:v>
                </c:pt>
                <c:pt idx="593">
                  <c:v>68.101283912604373</c:v>
                </c:pt>
                <c:pt idx="594">
                  <c:v>69.147446952940598</c:v>
                </c:pt>
                <c:pt idx="595">
                  <c:v>71.208592762929328</c:v>
                </c:pt>
                <c:pt idx="596">
                  <c:v>71.332014667719065</c:v>
                </c:pt>
                <c:pt idx="597">
                  <c:v>71.102709760399165</c:v>
                </c:pt>
                <c:pt idx="598">
                  <c:v>71.903328169101059</c:v>
                </c:pt>
                <c:pt idx="599">
                  <c:v>70.808121161335222</c:v>
                </c:pt>
                <c:pt idx="600">
                  <c:v>69.418325554505444</c:v>
                </c:pt>
                <c:pt idx="601">
                  <c:v>68.98375053185103</c:v>
                </c:pt>
                <c:pt idx="602">
                  <c:v>68.745351378915046</c:v>
                </c:pt>
                <c:pt idx="603">
                  <c:v>66.722206523822109</c:v>
                </c:pt>
                <c:pt idx="604">
                  <c:v>67.830080516553224</c:v>
                </c:pt>
                <c:pt idx="605">
                  <c:v>69.402085830191027</c:v>
                </c:pt>
                <c:pt idx="606">
                  <c:v>69.879533725035557</c:v>
                </c:pt>
                <c:pt idx="607">
                  <c:v>69.282236664750457</c:v>
                </c:pt>
                <c:pt idx="608">
                  <c:v>69.74409442425312</c:v>
                </c:pt>
                <c:pt idx="609">
                  <c:v>70.321903815360898</c:v>
                </c:pt>
                <c:pt idx="610">
                  <c:v>71.725340790614808</c:v>
                </c:pt>
                <c:pt idx="611">
                  <c:v>71.083222091221856</c:v>
                </c:pt>
                <c:pt idx="612">
                  <c:v>71.269978920837914</c:v>
                </c:pt>
                <c:pt idx="613">
                  <c:v>71.297586452172453</c:v>
                </c:pt>
                <c:pt idx="614">
                  <c:v>72.367784284494064</c:v>
                </c:pt>
                <c:pt idx="615">
                  <c:v>73.406152257159349</c:v>
                </c:pt>
                <c:pt idx="616">
                  <c:v>73.020945996420835</c:v>
                </c:pt>
                <c:pt idx="617">
                  <c:v>72.959884632998552</c:v>
                </c:pt>
                <c:pt idx="618">
                  <c:v>73.692296199579786</c:v>
                </c:pt>
                <c:pt idx="619">
                  <c:v>74.583532269956265</c:v>
                </c:pt>
                <c:pt idx="620">
                  <c:v>74.917745796347447</c:v>
                </c:pt>
                <c:pt idx="621">
                  <c:v>77.95327506520259</c:v>
                </c:pt>
                <c:pt idx="622">
                  <c:v>79.437261073056135</c:v>
                </c:pt>
                <c:pt idx="623">
                  <c:v>80.271333313845773</c:v>
                </c:pt>
                <c:pt idx="624">
                  <c:v>80.823159146050457</c:v>
                </c:pt>
                <c:pt idx="625">
                  <c:v>78.773381143081835</c:v>
                </c:pt>
                <c:pt idx="626">
                  <c:v>78.001669443659651</c:v>
                </c:pt>
                <c:pt idx="627">
                  <c:v>77.634651674153304</c:v>
                </c:pt>
                <c:pt idx="628">
                  <c:v>78.797091140580918</c:v>
                </c:pt>
                <c:pt idx="629">
                  <c:v>79.563281333736199</c:v>
                </c:pt>
                <c:pt idx="630">
                  <c:v>79.473638055520496</c:v>
                </c:pt>
                <c:pt idx="631">
                  <c:v>79.11636412060281</c:v>
                </c:pt>
                <c:pt idx="632">
                  <c:v>79.463894220931834</c:v>
                </c:pt>
                <c:pt idx="633">
                  <c:v>78.977352080471206</c:v>
                </c:pt>
                <c:pt idx="634">
                  <c:v>78.942599070438291</c:v>
                </c:pt>
                <c:pt idx="635">
                  <c:v>71.96373994355082</c:v>
                </c:pt>
                <c:pt idx="636">
                  <c:v>69.204285988041164</c:v>
                </c:pt>
                <c:pt idx="637">
                  <c:v>71.158249617554588</c:v>
                </c:pt>
              </c:numCache>
            </c:numRef>
          </c:val>
          <c:smooth val="0"/>
          <c:extLst>
            <c:ext xmlns:c16="http://schemas.microsoft.com/office/drawing/2014/chart" uri="{C3380CC4-5D6E-409C-BE32-E72D297353CC}">
              <c16:uniqueId val="{00000002-6081-4704-A359-D34AB5B0377E}"/>
            </c:ext>
          </c:extLst>
        </c:ser>
        <c:dLbls>
          <c:showLegendKey val="0"/>
          <c:showVal val="0"/>
          <c:showCatName val="0"/>
          <c:showSerName val="0"/>
          <c:showPercent val="0"/>
          <c:showBubbleSize val="0"/>
        </c:dLbls>
        <c:smooth val="0"/>
        <c:axId val="456873856"/>
        <c:axId val="456875392"/>
      </c:lineChart>
      <c:dateAx>
        <c:axId val="456873856"/>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56875392"/>
        <c:crosses val="autoZero"/>
        <c:auto val="1"/>
        <c:lblOffset val="100"/>
        <c:baseTimeUnit val="days"/>
      </c:dateAx>
      <c:valAx>
        <c:axId val="456875392"/>
        <c:scaling>
          <c:orientation val="minMax"/>
          <c:min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Ինդեքս՝ 20</a:t>
                </a:r>
                <a:r>
                  <a:rPr lang="en-US" sz="700" b="0" i="0" u="none" strike="noStrike" baseline="0">
                    <a:effectLst/>
                  </a:rPr>
                  <a:t>20</a:t>
                </a:r>
                <a:r>
                  <a:rPr lang="en-GB" sz="700" b="0" i="0" u="none" strike="noStrike" baseline="0">
                    <a:effectLst/>
                  </a:rPr>
                  <a:t> </a:t>
                </a:r>
                <a:r>
                  <a:rPr lang="hy-AM" sz="700" b="0" i="0" u="none" strike="noStrike" baseline="0">
                    <a:effectLst/>
                  </a:rPr>
                  <a:t>թ. հունվար</a:t>
                </a:r>
                <a:r>
                  <a:rPr lang="en-GB" sz="700" b="0" i="0" u="none" strike="noStrike" baseline="0">
                    <a:effectLst/>
                  </a:rPr>
                  <a:t>  </a:t>
                </a:r>
                <a:r>
                  <a:rPr lang="hy-AM" sz="700" b="0" i="0" u="none" strike="noStrike" baseline="0">
                    <a:effectLst/>
                  </a:rPr>
                  <a:t> =100</a:t>
                </a:r>
                <a:endParaRPr lang="en-US" sz="700"/>
              </a:p>
            </c:rich>
          </c:tx>
          <c:layout>
            <c:manualLayout>
              <c:xMode val="edge"/>
              <c:yMode val="edge"/>
              <c:x val="1.0471204188481676E-2"/>
              <c:y val="5.673758865248230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73856"/>
        <c:crosses val="autoZero"/>
        <c:crossBetween val="between"/>
      </c:valAx>
      <c:spPr>
        <a:noFill/>
        <a:ln>
          <a:noFill/>
        </a:ln>
        <a:effectLst/>
      </c:spPr>
    </c:plotArea>
    <c:legend>
      <c:legendPos val="b"/>
      <c:layout>
        <c:manualLayout>
          <c:xMode val="edge"/>
          <c:yMode val="edge"/>
          <c:x val="1.5918499878236868E-2"/>
          <c:y val="0.917673683646687"/>
          <c:w val="0.93723489460724629"/>
          <c:h val="6.5865873908618561E-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01330725379073"/>
          <c:y val="3.2484228945066071E-2"/>
          <c:w val="0.72934918167076246"/>
          <c:h val="0.51943868858497955"/>
        </c:manualLayout>
      </c:layout>
      <c:lineChart>
        <c:grouping val="standard"/>
        <c:varyColors val="0"/>
        <c:ser>
          <c:idx val="0"/>
          <c:order val="0"/>
          <c:tx>
            <c:strRef>
              <c:f>Sheet1!$B$1</c:f>
              <c:strCache>
                <c:ptCount val="1"/>
                <c:pt idx="0">
                  <c:v>Հայաստան (2025թ.)</c:v>
                </c:pt>
              </c:strCache>
            </c:strRef>
          </c:tx>
          <c:spPr>
            <a:ln w="19050" cap="rnd">
              <a:solidFill>
                <a:schemeClr val="accent1"/>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Sheet1!$B$2:$B$971</c:f>
              <c:numCache>
                <c:formatCode>0</c:formatCode>
                <c:ptCount val="709"/>
                <c:pt idx="0">
                  <c:v>1.6859</c:v>
                </c:pt>
                <c:pt idx="1">
                  <c:v>1.7477699999999998</c:v>
                </c:pt>
                <c:pt idx="2">
                  <c:v>1.82551</c:v>
                </c:pt>
                <c:pt idx="3">
                  <c:v>1.84619</c:v>
                </c:pt>
                <c:pt idx="4">
                  <c:v>1.8530099999999998</c:v>
                </c:pt>
                <c:pt idx="5">
                  <c:v>1.76298</c:v>
                </c:pt>
                <c:pt idx="6">
                  <c:v>1.71441</c:v>
                </c:pt>
                <c:pt idx="7">
                  <c:v>1.69597</c:v>
                </c:pt>
                <c:pt idx="8">
                  <c:v>1.68232</c:v>
                </c:pt>
                <c:pt idx="9">
                  <c:v>1.6440000000000001</c:v>
                </c:pt>
                <c:pt idx="10">
                  <c:v>1.65828</c:v>
                </c:pt>
                <c:pt idx="11">
                  <c:v>1.6056600000000001</c:v>
                </c:pt>
                <c:pt idx="12">
                  <c:v>1.6185800000000001</c:v>
                </c:pt>
                <c:pt idx="13">
                  <c:v>1.60589</c:v>
                </c:pt>
                <c:pt idx="14">
                  <c:v>1.6539599999999999</c:v>
                </c:pt>
                <c:pt idx="15">
                  <c:v>1.6646399999999999</c:v>
                </c:pt>
                <c:pt idx="16">
                  <c:v>1.7176800000000001</c:v>
                </c:pt>
                <c:pt idx="17">
                  <c:v>1.74583</c:v>
                </c:pt>
                <c:pt idx="18">
                  <c:v>1.8301699999999999</c:v>
                </c:pt>
                <c:pt idx="19">
                  <c:v>1.7846899999999999</c:v>
                </c:pt>
                <c:pt idx="20">
                  <c:v>1.83524</c:v>
                </c:pt>
                <c:pt idx="21">
                  <c:v>1.8591800000000001</c:v>
                </c:pt>
                <c:pt idx="22">
                  <c:v>1.8522900000000002</c:v>
                </c:pt>
                <c:pt idx="23">
                  <c:v>1.82233</c:v>
                </c:pt>
                <c:pt idx="24">
                  <c:v>1.8011299999999999</c:v>
                </c:pt>
                <c:pt idx="25">
                  <c:v>1.7584600000000001</c:v>
                </c:pt>
                <c:pt idx="26">
                  <c:v>1.7105299999999999</c:v>
                </c:pt>
                <c:pt idx="27">
                  <c:v>1.7858500000000002</c:v>
                </c:pt>
                <c:pt idx="28">
                  <c:v>1.8150200000000001</c:v>
                </c:pt>
                <c:pt idx="29">
                  <c:v>1.7945900000000001</c:v>
                </c:pt>
                <c:pt idx="30">
                  <c:v>1.76406</c:v>
                </c:pt>
                <c:pt idx="31">
                  <c:v>1.75101</c:v>
                </c:pt>
                <c:pt idx="32">
                  <c:v>1.7766</c:v>
                </c:pt>
                <c:pt idx="33">
                  <c:v>1.7423500000000001</c:v>
                </c:pt>
                <c:pt idx="34">
                  <c:v>1.77847</c:v>
                </c:pt>
                <c:pt idx="35">
                  <c:v>1.7563900000000001</c:v>
                </c:pt>
                <c:pt idx="36">
                  <c:v>1.75631</c:v>
                </c:pt>
                <c:pt idx="37">
                  <c:v>1.8122900000000002</c:v>
                </c:pt>
                <c:pt idx="38">
                  <c:v>1.8916300000000001</c:v>
                </c:pt>
                <c:pt idx="39">
                  <c:v>1.9592599999999998</c:v>
                </c:pt>
                <c:pt idx="40">
                  <c:v>1.9554900000000002</c:v>
                </c:pt>
                <c:pt idx="41">
                  <c:v>2.0955500000000002</c:v>
                </c:pt>
                <c:pt idx="42">
                  <c:v>2.3081100000000001</c:v>
                </c:pt>
                <c:pt idx="43">
                  <c:v>2.2382900000000001</c:v>
                </c:pt>
                <c:pt idx="44">
                  <c:v>2.1936400000000003</c:v>
                </c:pt>
                <c:pt idx="45">
                  <c:v>2.3379400000000001</c:v>
                </c:pt>
                <c:pt idx="46">
                  <c:v>2.38198</c:v>
                </c:pt>
                <c:pt idx="47">
                  <c:v>2.45668</c:v>
                </c:pt>
                <c:pt idx="48">
                  <c:v>3.2864100000000001</c:v>
                </c:pt>
                <c:pt idx="49">
                  <c:v>3.2430399999999997</c:v>
                </c:pt>
                <c:pt idx="50">
                  <c:v>3.35649</c:v>
                </c:pt>
                <c:pt idx="51">
                  <c:v>4.0519600000000002</c:v>
                </c:pt>
                <c:pt idx="52">
                  <c:v>4.0224200000000003</c:v>
                </c:pt>
                <c:pt idx="53">
                  <c:v>4.1732899999999997</c:v>
                </c:pt>
                <c:pt idx="54">
                  <c:v>4.3857100000000004</c:v>
                </c:pt>
                <c:pt idx="55">
                  <c:v>5.0128699999999995</c:v>
                </c:pt>
                <c:pt idx="56">
                  <c:v>5.7238899999999999</c:v>
                </c:pt>
                <c:pt idx="57">
                  <c:v>6.1408500000000004</c:v>
                </c:pt>
                <c:pt idx="58">
                  <c:v>6.7024499999999998</c:v>
                </c:pt>
                <c:pt idx="59">
                  <c:v>6.6089799999999999</c:v>
                </c:pt>
                <c:pt idx="60">
                  <c:v>6.27346</c:v>
                </c:pt>
                <c:pt idx="61">
                  <c:v>6.1350099999999994</c:v>
                </c:pt>
                <c:pt idx="62">
                  <c:v>6.0872599999999997</c:v>
                </c:pt>
                <c:pt idx="63">
                  <c:v>6.0945799999999997</c:v>
                </c:pt>
                <c:pt idx="64">
                  <c:v>6.08779</c:v>
                </c:pt>
                <c:pt idx="65">
                  <c:v>6.0872000000000002</c:v>
                </c:pt>
                <c:pt idx="66">
                  <c:v>6.0364800000000001</c:v>
                </c:pt>
                <c:pt idx="67">
                  <c:v>5.8486400000000005</c:v>
                </c:pt>
                <c:pt idx="68">
                  <c:v>5.71957</c:v>
                </c:pt>
                <c:pt idx="69">
                  <c:v>5.6973299999999991</c:v>
                </c:pt>
                <c:pt idx="70">
                  <c:v>5.7235199999999997</c:v>
                </c:pt>
                <c:pt idx="71">
                  <c:v>5.3898599999999997</c:v>
                </c:pt>
                <c:pt idx="72">
                  <c:v>5.3898599999999997</c:v>
                </c:pt>
                <c:pt idx="73">
                  <c:v>5.3898599999999997</c:v>
                </c:pt>
                <c:pt idx="74">
                  <c:v>5.1810400000000003</c:v>
                </c:pt>
                <c:pt idx="75">
                  <c:v>5.2589399999999999</c:v>
                </c:pt>
                <c:pt idx="76">
                  <c:v>5.2698599999999995</c:v>
                </c:pt>
                <c:pt idx="77">
                  <c:v>5.1793200000000006</c:v>
                </c:pt>
                <c:pt idx="78">
                  <c:v>5.2169100000000004</c:v>
                </c:pt>
                <c:pt idx="79">
                  <c:v>5.31013</c:v>
                </c:pt>
                <c:pt idx="80">
                  <c:v>5.3277599999999996</c:v>
                </c:pt>
                <c:pt idx="81">
                  <c:v>5.3096400000000008</c:v>
                </c:pt>
                <c:pt idx="82">
                  <c:v>5.2977800000000004</c:v>
                </c:pt>
                <c:pt idx="83">
                  <c:v>5.3167600000000004</c:v>
                </c:pt>
                <c:pt idx="84">
                  <c:v>5.3631899999999995</c:v>
                </c:pt>
                <c:pt idx="85">
                  <c:v>5.37202</c:v>
                </c:pt>
                <c:pt idx="86">
                  <c:v>5.2356699999999998</c:v>
                </c:pt>
                <c:pt idx="87">
                  <c:v>5.2660200000000001</c:v>
                </c:pt>
                <c:pt idx="88">
                  <c:v>5.1895500000000006</c:v>
                </c:pt>
                <c:pt idx="89">
                  <c:v>4.8594900000000001</c:v>
                </c:pt>
                <c:pt idx="90">
                  <c:v>4.8160300000000005</c:v>
                </c:pt>
                <c:pt idx="91">
                  <c:v>4.7640599999999997</c:v>
                </c:pt>
                <c:pt idx="92">
                  <c:v>4.7640599999999997</c:v>
                </c:pt>
                <c:pt idx="93">
                  <c:v>4.3402199999999995</c:v>
                </c:pt>
                <c:pt idx="94">
                  <c:v>4.3495600000000003</c:v>
                </c:pt>
                <c:pt idx="95">
                  <c:v>3.9028199999999997</c:v>
                </c:pt>
                <c:pt idx="96">
                  <c:v>3.73278</c:v>
                </c:pt>
                <c:pt idx="97">
                  <c:v>3.6306400000000001</c:v>
                </c:pt>
                <c:pt idx="98">
                  <c:v>3.4985599999999999</c:v>
                </c:pt>
                <c:pt idx="99">
                  <c:v>3.4788000000000001</c:v>
                </c:pt>
                <c:pt idx="100">
                  <c:v>3.4404000000000003</c:v>
                </c:pt>
                <c:pt idx="101">
                  <c:v>3.4206500000000002</c:v>
                </c:pt>
                <c:pt idx="102">
                  <c:v>3.4000499999999998</c:v>
                </c:pt>
                <c:pt idx="103">
                  <c:v>3.4000499999999998</c:v>
                </c:pt>
                <c:pt idx="104">
                  <c:v>3.42014</c:v>
                </c:pt>
                <c:pt idx="105">
                  <c:v>3.3954300000000002</c:v>
                </c:pt>
                <c:pt idx="106">
                  <c:v>3.3866100000000001</c:v>
                </c:pt>
                <c:pt idx="107">
                  <c:v>3.4058699999999997</c:v>
                </c:pt>
                <c:pt idx="108">
                  <c:v>3.3812000000000002</c:v>
                </c:pt>
                <c:pt idx="109">
                  <c:v>3.3576299999999999</c:v>
                </c:pt>
                <c:pt idx="110">
                  <c:v>3.3441699999999996</c:v>
                </c:pt>
                <c:pt idx="111">
                  <c:v>3.3216399999999999</c:v>
                </c:pt>
                <c:pt idx="112">
                  <c:v>3.1954399999999996</c:v>
                </c:pt>
                <c:pt idx="113">
                  <c:v>3.2696199999999997</c:v>
                </c:pt>
                <c:pt idx="114">
                  <c:v>3.4010599999999998</c:v>
                </c:pt>
                <c:pt idx="115">
                  <c:v>3.3069000000000002</c:v>
                </c:pt>
                <c:pt idx="116">
                  <c:v>3.5170699999999999</c:v>
                </c:pt>
                <c:pt idx="117">
                  <c:v>3.6090900000000001</c:v>
                </c:pt>
                <c:pt idx="118">
                  <c:v>3.9274100000000001</c:v>
                </c:pt>
                <c:pt idx="119">
                  <c:v>3.90069</c:v>
                </c:pt>
                <c:pt idx="120">
                  <c:v>3.9155399999999996</c:v>
                </c:pt>
                <c:pt idx="121">
                  <c:v>3.9113899999999999</c:v>
                </c:pt>
                <c:pt idx="122">
                  <c:v>3.8133900000000001</c:v>
                </c:pt>
                <c:pt idx="123">
                  <c:v>3.8786200000000002</c:v>
                </c:pt>
                <c:pt idx="124">
                  <c:v>3.87392</c:v>
                </c:pt>
                <c:pt idx="125">
                  <c:v>3.8611300000000002</c:v>
                </c:pt>
                <c:pt idx="126">
                  <c:v>3.9540499999999996</c:v>
                </c:pt>
                <c:pt idx="127">
                  <c:v>3.9254199999999999</c:v>
                </c:pt>
                <c:pt idx="128">
                  <c:v>3.9742099999999998</c:v>
                </c:pt>
                <c:pt idx="129">
                  <c:v>3.9412500000000001</c:v>
                </c:pt>
                <c:pt idx="130">
                  <c:v>3.8425700000000003</c:v>
                </c:pt>
                <c:pt idx="131">
                  <c:v>3.5997399999999997</c:v>
                </c:pt>
                <c:pt idx="132">
                  <c:v>3.5082499999999999</c:v>
                </c:pt>
                <c:pt idx="133">
                  <c:v>3.54074</c:v>
                </c:pt>
                <c:pt idx="134">
                  <c:v>3.5425</c:v>
                </c:pt>
                <c:pt idx="135">
                  <c:v>3.5669099999999996</c:v>
                </c:pt>
                <c:pt idx="136">
                  <c:v>3.58033</c:v>
                </c:pt>
                <c:pt idx="137">
                  <c:v>3.57924</c:v>
                </c:pt>
                <c:pt idx="138">
                  <c:v>3.5852999999999997</c:v>
                </c:pt>
                <c:pt idx="139">
                  <c:v>3.5625200000000001</c:v>
                </c:pt>
                <c:pt idx="140">
                  <c:v>3.56915</c:v>
                </c:pt>
                <c:pt idx="141">
                  <c:v>3.5693299999999999</c:v>
                </c:pt>
                <c:pt idx="142">
                  <c:v>3.60798</c:v>
                </c:pt>
                <c:pt idx="143">
                  <c:v>3.6467299999999998</c:v>
                </c:pt>
                <c:pt idx="144">
                  <c:v>3.65977</c:v>
                </c:pt>
                <c:pt idx="145">
                  <c:v>3.6255500000000001</c:v>
                </c:pt>
                <c:pt idx="146">
                  <c:v>3.5727899999999999</c:v>
                </c:pt>
                <c:pt idx="147">
                  <c:v>3.6133300000000004</c:v>
                </c:pt>
                <c:pt idx="148">
                  <c:v>3.5324200000000001</c:v>
                </c:pt>
                <c:pt idx="149">
                  <c:v>3.58433</c:v>
                </c:pt>
                <c:pt idx="150">
                  <c:v>3.5957600000000003</c:v>
                </c:pt>
                <c:pt idx="151">
                  <c:v>3.6127800000000003</c:v>
                </c:pt>
                <c:pt idx="152">
                  <c:v>3.5972899999999997</c:v>
                </c:pt>
                <c:pt idx="153">
                  <c:v>3.5765199999999999</c:v>
                </c:pt>
                <c:pt idx="154">
                  <c:v>3.5291000000000001</c:v>
                </c:pt>
                <c:pt idx="155">
                  <c:v>3.48115</c:v>
                </c:pt>
                <c:pt idx="156">
                  <c:v>3.4201899999999998</c:v>
                </c:pt>
                <c:pt idx="157">
                  <c:v>3.4097500000000003</c:v>
                </c:pt>
                <c:pt idx="158">
                  <c:v>3.41371</c:v>
                </c:pt>
                <c:pt idx="159">
                  <c:v>3.3065699999999998</c:v>
                </c:pt>
                <c:pt idx="160">
                  <c:v>3.2416500000000004</c:v>
                </c:pt>
                <c:pt idx="161">
                  <c:v>3.1546499999999997</c:v>
                </c:pt>
                <c:pt idx="162">
                  <c:v>3.1822000000000004</c:v>
                </c:pt>
                <c:pt idx="163">
                  <c:v>3.2836700000000003</c:v>
                </c:pt>
                <c:pt idx="164">
                  <c:v>3.26993</c:v>
                </c:pt>
                <c:pt idx="165">
                  <c:v>3.2781099999999999</c:v>
                </c:pt>
                <c:pt idx="166">
                  <c:v>3.2792399999999997</c:v>
                </c:pt>
                <c:pt idx="167">
                  <c:v>3.22919</c:v>
                </c:pt>
                <c:pt idx="168">
                  <c:v>3.2758300000000005</c:v>
                </c:pt>
                <c:pt idx="169">
                  <c:v>3.1957400000000002</c:v>
                </c:pt>
                <c:pt idx="170">
                  <c:v>3.23691</c:v>
                </c:pt>
                <c:pt idx="171">
                  <c:v>3.13733</c:v>
                </c:pt>
                <c:pt idx="172">
                  <c:v>3.2535700000000003</c:v>
                </c:pt>
                <c:pt idx="173">
                  <c:v>3.2535700000000003</c:v>
                </c:pt>
                <c:pt idx="174">
                  <c:v>3.1889699999999999</c:v>
                </c:pt>
                <c:pt idx="175">
                  <c:v>3.1729700000000003</c:v>
                </c:pt>
                <c:pt idx="176">
                  <c:v>3.1801400000000002</c:v>
                </c:pt>
                <c:pt idx="177">
                  <c:v>3.1379600000000001</c:v>
                </c:pt>
                <c:pt idx="178">
                  <c:v>3.1014499999999998</c:v>
                </c:pt>
                <c:pt idx="179">
                  <c:v>3.2462999999999997</c:v>
                </c:pt>
                <c:pt idx="180">
                  <c:v>3.1824400000000002</c:v>
                </c:pt>
                <c:pt idx="181">
                  <c:v>3.1961900000000001</c:v>
                </c:pt>
                <c:pt idx="182">
                  <c:v>3.1934699999999996</c:v>
                </c:pt>
                <c:pt idx="183">
                  <c:v>3.1857699999999998</c:v>
                </c:pt>
                <c:pt idx="184">
                  <c:v>3.1794500000000001</c:v>
                </c:pt>
                <c:pt idx="185">
                  <c:v>3.1475900000000001</c:v>
                </c:pt>
                <c:pt idx="186">
                  <c:v>3.1689999999999996</c:v>
                </c:pt>
                <c:pt idx="187">
                  <c:v>3.1254199999999996</c:v>
                </c:pt>
                <c:pt idx="188">
                  <c:v>3.2145600000000001</c:v>
                </c:pt>
                <c:pt idx="189">
                  <c:v>3.1876199999999999</c:v>
                </c:pt>
                <c:pt idx="190">
                  <c:v>3.3254000000000001</c:v>
                </c:pt>
                <c:pt idx="191">
                  <c:v>3.3633899999999999</c:v>
                </c:pt>
                <c:pt idx="192">
                  <c:v>3.3443400000000003</c:v>
                </c:pt>
                <c:pt idx="193">
                  <c:v>4.2612899999999998</c:v>
                </c:pt>
                <c:pt idx="194">
                  <c:v>4.5760100000000001</c:v>
                </c:pt>
                <c:pt idx="195">
                  <c:v>4.55877</c:v>
                </c:pt>
                <c:pt idx="196">
                  <c:v>4.2644600000000006</c:v>
                </c:pt>
                <c:pt idx="197">
                  <c:v>4.0815599999999996</c:v>
                </c:pt>
                <c:pt idx="198">
                  <c:v>4.1283700000000003</c:v>
                </c:pt>
                <c:pt idx="199">
                  <c:v>4.1028899999999995</c:v>
                </c:pt>
                <c:pt idx="200">
                  <c:v>4.1012700000000004</c:v>
                </c:pt>
                <c:pt idx="201">
                  <c:v>4.0822099999999999</c:v>
                </c:pt>
                <c:pt idx="202">
                  <c:v>4.0218799999999995</c:v>
                </c:pt>
                <c:pt idx="203">
                  <c:v>4.0381</c:v>
                </c:pt>
                <c:pt idx="204">
                  <c:v>4.0638199999999998</c:v>
                </c:pt>
                <c:pt idx="205">
                  <c:v>4.1706799999999999</c:v>
                </c:pt>
                <c:pt idx="206">
                  <c:v>4.1944799999999995</c:v>
                </c:pt>
                <c:pt idx="207">
                  <c:v>4.1690399999999999</c:v>
                </c:pt>
                <c:pt idx="208">
                  <c:v>4.1135700000000002</c:v>
                </c:pt>
                <c:pt idx="209">
                  <c:v>4.1735500000000005</c:v>
                </c:pt>
                <c:pt idx="210">
                  <c:v>4.2457700000000003</c:v>
                </c:pt>
                <c:pt idx="211">
                  <c:v>4.3036799999999999</c:v>
                </c:pt>
                <c:pt idx="212">
                  <c:v>4.3067000000000002</c:v>
                </c:pt>
                <c:pt idx="213">
                  <c:v>4.44773</c:v>
                </c:pt>
                <c:pt idx="214">
                  <c:v>4.4968900000000005</c:v>
                </c:pt>
                <c:pt idx="215">
                  <c:v>4.5446300000000006</c:v>
                </c:pt>
                <c:pt idx="216">
                  <c:v>4.62141</c:v>
                </c:pt>
                <c:pt idx="217">
                  <c:v>4.7405900000000001</c:v>
                </c:pt>
                <c:pt idx="218">
                  <c:v>4.8166899999999995</c:v>
                </c:pt>
                <c:pt idx="219">
                  <c:v>4.5529000000000002</c:v>
                </c:pt>
                <c:pt idx="220">
                  <c:v>4.5093899999999998</c:v>
                </c:pt>
                <c:pt idx="221">
                  <c:v>4.45817</c:v>
                </c:pt>
                <c:pt idx="222">
                  <c:v>4.3535300000000001</c:v>
                </c:pt>
                <c:pt idx="223">
                  <c:v>4.0021300000000002</c:v>
                </c:pt>
                <c:pt idx="224">
                  <c:v>3.48142</c:v>
                </c:pt>
                <c:pt idx="225">
                  <c:v>3.5032299999999998</c:v>
                </c:pt>
                <c:pt idx="226">
                  <c:v>3.4840100000000001</c:v>
                </c:pt>
                <c:pt idx="227">
                  <c:v>3.5190499999999996</c:v>
                </c:pt>
                <c:pt idx="228">
                  <c:v>3.4093200000000001</c:v>
                </c:pt>
                <c:pt idx="229">
                  <c:v>3.5037599999999998</c:v>
                </c:pt>
                <c:pt idx="230">
                  <c:v>3.49586</c:v>
                </c:pt>
                <c:pt idx="231">
                  <c:v>3.5369000000000002</c:v>
                </c:pt>
                <c:pt idx="232">
                  <c:v>3.5538099999999999</c:v>
                </c:pt>
                <c:pt idx="233">
                  <c:v>3.6341399999999999</c:v>
                </c:pt>
                <c:pt idx="234">
                  <c:v>3.5356400000000003</c:v>
                </c:pt>
                <c:pt idx="235">
                  <c:v>3.5569000000000002</c:v>
                </c:pt>
                <c:pt idx="236">
                  <c:v>3.62601</c:v>
                </c:pt>
                <c:pt idx="237">
                  <c:v>3.5594099999999997</c:v>
                </c:pt>
                <c:pt idx="238">
                  <c:v>3.60276</c:v>
                </c:pt>
                <c:pt idx="239">
                  <c:v>3.5872000000000002</c:v>
                </c:pt>
                <c:pt idx="240">
                  <c:v>3.6068000000000002</c:v>
                </c:pt>
                <c:pt idx="241">
                  <c:v>3.4394999999999998</c:v>
                </c:pt>
                <c:pt idx="242">
                  <c:v>3.00983</c:v>
                </c:pt>
                <c:pt idx="243">
                  <c:v>3.0683800000000003</c:v>
                </c:pt>
                <c:pt idx="244">
                  <c:v>3.07334</c:v>
                </c:pt>
                <c:pt idx="245">
                  <c:v>3.0583300000000002</c:v>
                </c:pt>
                <c:pt idx="246">
                  <c:v>3.1620900000000001</c:v>
                </c:pt>
                <c:pt idx="247">
                  <c:v>3.18621</c:v>
                </c:pt>
                <c:pt idx="248">
                  <c:v>3.2034400000000001</c:v>
                </c:pt>
                <c:pt idx="249">
                  <c:v>3.1088400000000003</c:v>
                </c:pt>
                <c:pt idx="250">
                  <c:v>3.0331400000000004</c:v>
                </c:pt>
                <c:pt idx="251">
                  <c:v>2.9569099999999997</c:v>
                </c:pt>
                <c:pt idx="252">
                  <c:v>2.9670800000000002</c:v>
                </c:pt>
                <c:pt idx="253">
                  <c:v>3.04637</c:v>
                </c:pt>
                <c:pt idx="254">
                  <c:v>2.9947900000000001</c:v>
                </c:pt>
                <c:pt idx="255">
                  <c:v>2.9796199999999997</c:v>
                </c:pt>
                <c:pt idx="256">
                  <c:v>2.8973899999999997</c:v>
                </c:pt>
                <c:pt idx="257">
                  <c:v>2.8973899999999997</c:v>
                </c:pt>
                <c:pt idx="258">
                  <c:v>2.8973899999999997</c:v>
                </c:pt>
                <c:pt idx="259">
                  <c:v>2.8551299999999999</c:v>
                </c:pt>
                <c:pt idx="260">
                  <c:v>2.83507</c:v>
                </c:pt>
                <c:pt idx="261">
                  <c:v>2.84999</c:v>
                </c:pt>
                <c:pt idx="262">
                  <c:v>2.84999</c:v>
                </c:pt>
                <c:pt idx="263">
                  <c:v>2.83026</c:v>
                </c:pt>
                <c:pt idx="264">
                  <c:v>2.7719400000000003</c:v>
                </c:pt>
                <c:pt idx="265">
                  <c:v>2.7272000000000003</c:v>
                </c:pt>
                <c:pt idx="266">
                  <c:v>2.7063999999999999</c:v>
                </c:pt>
                <c:pt idx="267">
                  <c:v>2.6563400000000001</c:v>
                </c:pt>
                <c:pt idx="268">
                  <c:v>2.6425599999999996</c:v>
                </c:pt>
                <c:pt idx="269">
                  <c:v>2.63748</c:v>
                </c:pt>
                <c:pt idx="270">
                  <c:v>2.5964200000000002</c:v>
                </c:pt>
                <c:pt idx="271">
                  <c:v>2.4563199999999998</c:v>
                </c:pt>
                <c:pt idx="272">
                  <c:v>2.3912</c:v>
                </c:pt>
                <c:pt idx="273">
                  <c:v>2.4177300000000002</c:v>
                </c:pt>
                <c:pt idx="274">
                  <c:v>2.4197000000000002</c:v>
                </c:pt>
                <c:pt idx="275">
                  <c:v>2.4509600000000002</c:v>
                </c:pt>
                <c:pt idx="276">
                  <c:v>2.41893</c:v>
                </c:pt>
                <c:pt idx="277">
                  <c:v>2.4547099999999999</c:v>
                </c:pt>
                <c:pt idx="278">
                  <c:v>2.6194299999999999</c:v>
                </c:pt>
                <c:pt idx="279">
                  <c:v>2.5180899999999999</c:v>
                </c:pt>
                <c:pt idx="280">
                  <c:v>2.6387</c:v>
                </c:pt>
                <c:pt idx="281">
                  <c:v>2.5921400000000001</c:v>
                </c:pt>
                <c:pt idx="282">
                  <c:v>2.5949599999999999</c:v>
                </c:pt>
                <c:pt idx="283">
                  <c:v>2.6556500000000001</c:v>
                </c:pt>
                <c:pt idx="284">
                  <c:v>2.6566000000000001</c:v>
                </c:pt>
                <c:pt idx="285">
                  <c:v>2.60467</c:v>
                </c:pt>
                <c:pt idx="286">
                  <c:v>2.6760700000000002</c:v>
                </c:pt>
                <c:pt idx="287">
                  <c:v>2.6442899999999998</c:v>
                </c:pt>
                <c:pt idx="288">
                  <c:v>2.65354</c:v>
                </c:pt>
                <c:pt idx="289">
                  <c:v>2.73909</c:v>
                </c:pt>
                <c:pt idx="290">
                  <c:v>2.7401400000000002</c:v>
                </c:pt>
                <c:pt idx="291">
                  <c:v>2.77976</c:v>
                </c:pt>
                <c:pt idx="292">
                  <c:v>2.77902</c:v>
                </c:pt>
                <c:pt idx="293">
                  <c:v>2.8184500000000003</c:v>
                </c:pt>
                <c:pt idx="294">
                  <c:v>2.8595299999999999</c:v>
                </c:pt>
                <c:pt idx="295">
                  <c:v>2.9311900000000004</c:v>
                </c:pt>
                <c:pt idx="296">
                  <c:v>2.9389400000000001</c:v>
                </c:pt>
                <c:pt idx="297">
                  <c:v>2.88747</c:v>
                </c:pt>
                <c:pt idx="298">
                  <c:v>2.9359300000000004</c:v>
                </c:pt>
                <c:pt idx="299">
                  <c:v>2.9451299999999998</c:v>
                </c:pt>
                <c:pt idx="300">
                  <c:v>2.9074800000000001</c:v>
                </c:pt>
                <c:pt idx="301">
                  <c:v>3.2785099999999998</c:v>
                </c:pt>
                <c:pt idx="302">
                  <c:v>3.2042599999999997</c:v>
                </c:pt>
                <c:pt idx="303">
                  <c:v>3.2022699999999999</c:v>
                </c:pt>
                <c:pt idx="304">
                  <c:v>3.2845800000000001</c:v>
                </c:pt>
                <c:pt idx="305">
                  <c:v>3.1831999999999998</c:v>
                </c:pt>
                <c:pt idx="306">
                  <c:v>3.21759</c:v>
                </c:pt>
                <c:pt idx="307">
                  <c:v>3.31419</c:v>
                </c:pt>
                <c:pt idx="308">
                  <c:v>3.3776999999999999</c:v>
                </c:pt>
                <c:pt idx="309">
                  <c:v>3.3266800000000001</c:v>
                </c:pt>
                <c:pt idx="310">
                  <c:v>3.3518500000000002</c:v>
                </c:pt>
                <c:pt idx="311">
                  <c:v>3.2787999999999999</c:v>
                </c:pt>
                <c:pt idx="312">
                  <c:v>3.2583600000000001</c:v>
                </c:pt>
                <c:pt idx="313">
                  <c:v>3.2419199999999999</c:v>
                </c:pt>
                <c:pt idx="314">
                  <c:v>3.2052499999999999</c:v>
                </c:pt>
                <c:pt idx="315">
                  <c:v>3.3919700000000002</c:v>
                </c:pt>
                <c:pt idx="316">
                  <c:v>3.45567</c:v>
                </c:pt>
                <c:pt idx="317">
                  <c:v>3.4133200000000001</c:v>
                </c:pt>
                <c:pt idx="318">
                  <c:v>3.47418</c:v>
                </c:pt>
                <c:pt idx="319">
                  <c:v>3.49051</c:v>
                </c:pt>
                <c:pt idx="320">
                  <c:v>3.5009699999999997</c:v>
                </c:pt>
                <c:pt idx="321">
                  <c:v>3.5038400000000003</c:v>
                </c:pt>
                <c:pt idx="322">
                  <c:v>3.4491000000000001</c:v>
                </c:pt>
                <c:pt idx="323">
                  <c:v>3.4088699999999998</c:v>
                </c:pt>
                <c:pt idx="324">
                  <c:v>3.4126499999999997</c:v>
                </c:pt>
                <c:pt idx="325">
                  <c:v>3.3776700000000002</c:v>
                </c:pt>
                <c:pt idx="326">
                  <c:v>3.3879999999999999</c:v>
                </c:pt>
                <c:pt idx="327">
                  <c:v>3.3879999999999999</c:v>
                </c:pt>
                <c:pt idx="328">
                  <c:v>3.3879999999999999</c:v>
                </c:pt>
                <c:pt idx="329">
                  <c:v>3.2984399999999998</c:v>
                </c:pt>
                <c:pt idx="330">
                  <c:v>3.3277699999999997</c:v>
                </c:pt>
                <c:pt idx="331">
                  <c:v>3.3539299999999996</c:v>
                </c:pt>
                <c:pt idx="332">
                  <c:v>3.2992300000000001</c:v>
                </c:pt>
                <c:pt idx="333">
                  <c:v>3.2917000000000001</c:v>
                </c:pt>
                <c:pt idx="334">
                  <c:v>3.2842599999999997</c:v>
                </c:pt>
                <c:pt idx="335">
                  <c:v>3.3097500000000002</c:v>
                </c:pt>
                <c:pt idx="336">
                  <c:v>3.32822</c:v>
                </c:pt>
                <c:pt idx="337">
                  <c:v>3.3182799999999997</c:v>
                </c:pt>
                <c:pt idx="338">
                  <c:v>3.2888500000000001</c:v>
                </c:pt>
                <c:pt idx="339">
                  <c:v>3.2685899999999997</c:v>
                </c:pt>
                <c:pt idx="340">
                  <c:v>3.2714999999999996</c:v>
                </c:pt>
                <c:pt idx="341">
                  <c:v>3.24702</c:v>
                </c:pt>
                <c:pt idx="342">
                  <c:v>3.2581700000000002</c:v>
                </c:pt>
                <c:pt idx="343">
                  <c:v>3.2035</c:v>
                </c:pt>
                <c:pt idx="344">
                  <c:v>3.17625</c:v>
                </c:pt>
                <c:pt idx="345">
                  <c:v>3.2614900000000002</c:v>
                </c:pt>
                <c:pt idx="346">
                  <c:v>3.2716000000000003</c:v>
                </c:pt>
                <c:pt idx="347">
                  <c:v>3.2848200000000003</c:v>
                </c:pt>
                <c:pt idx="348">
                  <c:v>3.2848200000000003</c:v>
                </c:pt>
                <c:pt idx="349">
                  <c:v>3.3122799999999999</c:v>
                </c:pt>
                <c:pt idx="350">
                  <c:v>3.1513900000000001</c:v>
                </c:pt>
                <c:pt idx="351">
                  <c:v>3.0332499999999998</c:v>
                </c:pt>
                <c:pt idx="352">
                  <c:v>2.87385</c:v>
                </c:pt>
                <c:pt idx="353">
                  <c:v>2.8301499999999997</c:v>
                </c:pt>
                <c:pt idx="354">
                  <c:v>2.9152300000000002</c:v>
                </c:pt>
                <c:pt idx="355">
                  <c:v>2.8899500000000002</c:v>
                </c:pt>
                <c:pt idx="356">
                  <c:v>2.9045399999999999</c:v>
                </c:pt>
                <c:pt idx="357">
                  <c:v>2.91865</c:v>
                </c:pt>
                <c:pt idx="358">
                  <c:v>2.9590800000000002</c:v>
                </c:pt>
                <c:pt idx="359">
                  <c:v>2.9363600000000001</c:v>
                </c:pt>
                <c:pt idx="360">
                  <c:v>2.8584800000000001</c:v>
                </c:pt>
                <c:pt idx="361">
                  <c:v>2.93574</c:v>
                </c:pt>
                <c:pt idx="362">
                  <c:v>2.9285899999999998</c:v>
                </c:pt>
                <c:pt idx="363">
                  <c:v>2.9451299999999998</c:v>
                </c:pt>
                <c:pt idx="364">
                  <c:v>2.94983</c:v>
                </c:pt>
                <c:pt idx="365">
                  <c:v>2.9536700000000002</c:v>
                </c:pt>
                <c:pt idx="366">
                  <c:v>2.9439100000000002</c:v>
                </c:pt>
                <c:pt idx="367">
                  <c:v>2.9498700000000002</c:v>
                </c:pt>
                <c:pt idx="368">
                  <c:v>2.9498700000000002</c:v>
                </c:pt>
                <c:pt idx="369">
                  <c:v>2.9679899999999999</c:v>
                </c:pt>
                <c:pt idx="370">
                  <c:v>2.9524699999999999</c:v>
                </c:pt>
                <c:pt idx="371">
                  <c:v>2.9184500000000004</c:v>
                </c:pt>
                <c:pt idx="372">
                  <c:v>2.9620899999999999</c:v>
                </c:pt>
                <c:pt idx="373">
                  <c:v>2.9576600000000002</c:v>
                </c:pt>
                <c:pt idx="374">
                  <c:v>3.0043299999999999</c:v>
                </c:pt>
                <c:pt idx="375">
                  <c:v>2.9546100000000002</c:v>
                </c:pt>
                <c:pt idx="376">
                  <c:v>2.8875599999999997</c:v>
                </c:pt>
                <c:pt idx="377">
                  <c:v>2.84348</c:v>
                </c:pt>
                <c:pt idx="378">
                  <c:v>2.83954</c:v>
                </c:pt>
                <c:pt idx="379">
                  <c:v>2.8419400000000001</c:v>
                </c:pt>
                <c:pt idx="380">
                  <c:v>2.81372</c:v>
                </c:pt>
                <c:pt idx="381">
                  <c:v>2.80301</c:v>
                </c:pt>
                <c:pt idx="382">
                  <c:v>2.81046</c:v>
                </c:pt>
                <c:pt idx="383">
                  <c:v>2.7508999999999997</c:v>
                </c:pt>
                <c:pt idx="384">
                  <c:v>2.6792099999999999</c:v>
                </c:pt>
                <c:pt idx="385">
                  <c:v>2.7357400000000003</c:v>
                </c:pt>
                <c:pt idx="386">
                  <c:v>2.5428299999999999</c:v>
                </c:pt>
                <c:pt idx="387">
                  <c:v>2.63822</c:v>
                </c:pt>
                <c:pt idx="388">
                  <c:v>2.54508</c:v>
                </c:pt>
                <c:pt idx="389">
                  <c:v>2.5514799999999997</c:v>
                </c:pt>
                <c:pt idx="390">
                  <c:v>2.53389</c:v>
                </c:pt>
                <c:pt idx="391">
                  <c:v>2.3795099999999998</c:v>
                </c:pt>
                <c:pt idx="392">
                  <c:v>2.45865</c:v>
                </c:pt>
                <c:pt idx="393">
                  <c:v>2.4207800000000002</c:v>
                </c:pt>
                <c:pt idx="394">
                  <c:v>2.5047000000000001</c:v>
                </c:pt>
                <c:pt idx="395">
                  <c:v>2.5322399999999998</c:v>
                </c:pt>
                <c:pt idx="396">
                  <c:v>2.5562899999999997</c:v>
                </c:pt>
                <c:pt idx="397">
                  <c:v>2.5099800000000001</c:v>
                </c:pt>
                <c:pt idx="398">
                  <c:v>2.5183300000000002</c:v>
                </c:pt>
                <c:pt idx="399">
                  <c:v>2.4238300000000002</c:v>
                </c:pt>
                <c:pt idx="400">
                  <c:v>2.5194700000000001</c:v>
                </c:pt>
                <c:pt idx="401">
                  <c:v>2.49146</c:v>
                </c:pt>
                <c:pt idx="402">
                  <c:v>2.53315</c:v>
                </c:pt>
                <c:pt idx="403">
                  <c:v>2.5258699999999998</c:v>
                </c:pt>
                <c:pt idx="404">
                  <c:v>2.57734</c:v>
                </c:pt>
                <c:pt idx="405">
                  <c:v>2.5060199999999999</c:v>
                </c:pt>
                <c:pt idx="406">
                  <c:v>2.5251900000000003</c:v>
                </c:pt>
                <c:pt idx="407">
                  <c:v>2.52006</c:v>
                </c:pt>
                <c:pt idx="408">
                  <c:v>2.5067900000000001</c:v>
                </c:pt>
                <c:pt idx="409">
                  <c:v>2.49248</c:v>
                </c:pt>
                <c:pt idx="410">
                  <c:v>2.48312</c:v>
                </c:pt>
                <c:pt idx="411">
                  <c:v>2.4671600000000002</c:v>
                </c:pt>
                <c:pt idx="412">
                  <c:v>2.5079799999999999</c:v>
                </c:pt>
                <c:pt idx="413">
                  <c:v>2.5399700000000003</c:v>
                </c:pt>
                <c:pt idx="414">
                  <c:v>2.4941200000000001</c:v>
                </c:pt>
                <c:pt idx="415">
                  <c:v>2.4313099999999999</c:v>
                </c:pt>
                <c:pt idx="416">
                  <c:v>2.3862700000000001</c:v>
                </c:pt>
                <c:pt idx="417">
                  <c:v>2.33053</c:v>
                </c:pt>
                <c:pt idx="418">
                  <c:v>2.34531</c:v>
                </c:pt>
                <c:pt idx="419">
                  <c:v>2.41465</c:v>
                </c:pt>
                <c:pt idx="420">
                  <c:v>2.4412700000000003</c:v>
                </c:pt>
                <c:pt idx="421">
                  <c:v>2.4442599999999999</c:v>
                </c:pt>
                <c:pt idx="422">
                  <c:v>2.40774</c:v>
                </c:pt>
                <c:pt idx="423">
                  <c:v>2.4554400000000003</c:v>
                </c:pt>
                <c:pt idx="424">
                  <c:v>2.44591</c:v>
                </c:pt>
                <c:pt idx="425">
                  <c:v>2.4270900000000002</c:v>
                </c:pt>
                <c:pt idx="426">
                  <c:v>2.4463900000000001</c:v>
                </c:pt>
                <c:pt idx="427">
                  <c:v>2.38707</c:v>
                </c:pt>
                <c:pt idx="428">
                  <c:v>2.2851400000000002</c:v>
                </c:pt>
                <c:pt idx="429">
                  <c:v>2.2503899999999999</c:v>
                </c:pt>
                <c:pt idx="430">
                  <c:v>2.2038199999999999</c:v>
                </c:pt>
                <c:pt idx="431">
                  <c:v>2.16012</c:v>
                </c:pt>
                <c:pt idx="432">
                  <c:v>2.1652</c:v>
                </c:pt>
                <c:pt idx="433">
                  <c:v>2.1652</c:v>
                </c:pt>
                <c:pt idx="434">
                  <c:v>2.1614300000000002</c:v>
                </c:pt>
                <c:pt idx="435">
                  <c:v>2.1033500000000003</c:v>
                </c:pt>
                <c:pt idx="436">
                  <c:v>2.0390899999999998</c:v>
                </c:pt>
                <c:pt idx="437">
                  <c:v>2.03546</c:v>
                </c:pt>
                <c:pt idx="438">
                  <c:v>2.0171199999999998</c:v>
                </c:pt>
                <c:pt idx="439">
                  <c:v>2.00949</c:v>
                </c:pt>
                <c:pt idx="440">
                  <c:v>2.0150999999999999</c:v>
                </c:pt>
                <c:pt idx="441">
                  <c:v>2.0003100000000003</c:v>
                </c:pt>
                <c:pt idx="442">
                  <c:v>1.8906200000000002</c:v>
                </c:pt>
                <c:pt idx="443">
                  <c:v>1.96061</c:v>
                </c:pt>
                <c:pt idx="444">
                  <c:v>1.9104099999999999</c:v>
                </c:pt>
                <c:pt idx="445">
                  <c:v>1.8746</c:v>
                </c:pt>
                <c:pt idx="446">
                  <c:v>1.8809800000000001</c:v>
                </c:pt>
                <c:pt idx="447">
                  <c:v>1.8297800000000002</c:v>
                </c:pt>
                <c:pt idx="448">
                  <c:v>1.8661799999999999</c:v>
                </c:pt>
                <c:pt idx="449">
                  <c:v>1.88466</c:v>
                </c:pt>
                <c:pt idx="450">
                  <c:v>1.9424199999999998</c:v>
                </c:pt>
                <c:pt idx="451">
                  <c:v>1.7988300000000002</c:v>
                </c:pt>
                <c:pt idx="452">
                  <c:v>1.91394</c:v>
                </c:pt>
                <c:pt idx="453">
                  <c:v>1.9331399999999999</c:v>
                </c:pt>
                <c:pt idx="454">
                  <c:v>1.9878499999999999</c:v>
                </c:pt>
                <c:pt idx="455">
                  <c:v>2.0474100000000002</c:v>
                </c:pt>
                <c:pt idx="456">
                  <c:v>2.0664799999999999</c:v>
                </c:pt>
                <c:pt idx="457">
                  <c:v>2.1705399999999999</c:v>
                </c:pt>
                <c:pt idx="458">
                  <c:v>2.2295599999999998</c:v>
                </c:pt>
                <c:pt idx="459">
                  <c:v>2.2271199999999998</c:v>
                </c:pt>
                <c:pt idx="460">
                  <c:v>2.2364799999999998</c:v>
                </c:pt>
                <c:pt idx="461">
                  <c:v>2.1903999999999999</c:v>
                </c:pt>
                <c:pt idx="462">
                  <c:v>2.16981</c:v>
                </c:pt>
                <c:pt idx="463">
                  <c:v>2.1356999999999999</c:v>
                </c:pt>
                <c:pt idx="464">
                  <c:v>2.1256599999999999</c:v>
                </c:pt>
                <c:pt idx="465">
                  <c:v>2.05308</c:v>
                </c:pt>
                <c:pt idx="466">
                  <c:v>1.9055099999999998</c:v>
                </c:pt>
                <c:pt idx="467">
                  <c:v>1.7738900000000002</c:v>
                </c:pt>
                <c:pt idx="468">
                  <c:v>1.7571199999999998</c:v>
                </c:pt>
                <c:pt idx="469">
                  <c:v>1.7713300000000001</c:v>
                </c:pt>
                <c:pt idx="470">
                  <c:v>1.7767900000000001</c:v>
                </c:pt>
                <c:pt idx="471">
                  <c:v>1.75149</c:v>
                </c:pt>
                <c:pt idx="472">
                  <c:v>1.7342299999999999</c:v>
                </c:pt>
                <c:pt idx="473">
                  <c:v>1.73034</c:v>
                </c:pt>
                <c:pt idx="474">
                  <c:v>1.7545200000000001</c:v>
                </c:pt>
                <c:pt idx="475">
                  <c:v>1.1887399999999999</c:v>
                </c:pt>
                <c:pt idx="476">
                  <c:v>1.7242599999999999</c:v>
                </c:pt>
                <c:pt idx="477">
                  <c:v>1.1964700000000001</c:v>
                </c:pt>
                <c:pt idx="478">
                  <c:v>1.9295900000000001</c:v>
                </c:pt>
                <c:pt idx="479">
                  <c:v>1.99007</c:v>
                </c:pt>
                <c:pt idx="480">
                  <c:v>1.9476100000000001</c:v>
                </c:pt>
                <c:pt idx="481">
                  <c:v>2.0501100000000001</c:v>
                </c:pt>
                <c:pt idx="482">
                  <c:v>1.9979900000000002</c:v>
                </c:pt>
                <c:pt idx="483">
                  <c:v>1.9412799999999999</c:v>
                </c:pt>
                <c:pt idx="484">
                  <c:v>1.96299</c:v>
                </c:pt>
                <c:pt idx="485">
                  <c:v>1.9281899999999998</c:v>
                </c:pt>
                <c:pt idx="486">
                  <c:v>1.86076</c:v>
                </c:pt>
                <c:pt idx="487">
                  <c:v>1.8740600000000001</c:v>
                </c:pt>
                <c:pt idx="488">
                  <c:v>1.8952500000000001</c:v>
                </c:pt>
                <c:pt idx="489">
                  <c:v>1.9382599999999999</c:v>
                </c:pt>
                <c:pt idx="490">
                  <c:v>1.9950399999999999</c:v>
                </c:pt>
                <c:pt idx="491">
                  <c:v>1.98482</c:v>
                </c:pt>
                <c:pt idx="492">
                  <c:v>1.9703299999999999</c:v>
                </c:pt>
                <c:pt idx="493">
                  <c:v>1.9231299999999998</c:v>
                </c:pt>
                <c:pt idx="494">
                  <c:v>2.0788099999999998</c:v>
                </c:pt>
                <c:pt idx="495">
                  <c:v>2.0350200000000003</c:v>
                </c:pt>
                <c:pt idx="496">
                  <c:v>2.0829599999999999</c:v>
                </c:pt>
                <c:pt idx="497">
                  <c:v>2.2760599999999998</c:v>
                </c:pt>
                <c:pt idx="498">
                  <c:v>2.19421</c:v>
                </c:pt>
                <c:pt idx="499">
                  <c:v>2.2818799999999997</c:v>
                </c:pt>
                <c:pt idx="500">
                  <c:v>2.24227</c:v>
                </c:pt>
                <c:pt idx="501">
                  <c:v>2.2231999999999998</c:v>
                </c:pt>
                <c:pt idx="502">
                  <c:v>2.2334399999999999</c:v>
                </c:pt>
                <c:pt idx="503">
                  <c:v>2.2657799999999999</c:v>
                </c:pt>
                <c:pt idx="504">
                  <c:v>2.1771100000000003</c:v>
                </c:pt>
                <c:pt idx="505">
                  <c:v>2.15456</c:v>
                </c:pt>
                <c:pt idx="506">
                  <c:v>2.1967500000000002</c:v>
                </c:pt>
                <c:pt idx="507">
                  <c:v>2.2311700000000001</c:v>
                </c:pt>
                <c:pt idx="508">
                  <c:v>2.2443499999999998</c:v>
                </c:pt>
                <c:pt idx="509">
                  <c:v>2.18946</c:v>
                </c:pt>
                <c:pt idx="510">
                  <c:v>2.2484999999999999</c:v>
                </c:pt>
                <c:pt idx="511">
                  <c:v>2.2805900000000001</c:v>
                </c:pt>
                <c:pt idx="512">
                  <c:v>2.28586</c:v>
                </c:pt>
                <c:pt idx="513">
                  <c:v>2.2999499999999999</c:v>
                </c:pt>
                <c:pt idx="514">
                  <c:v>2.29596</c:v>
                </c:pt>
                <c:pt idx="515">
                  <c:v>2.22688</c:v>
                </c:pt>
                <c:pt idx="516">
                  <c:v>2.2669600000000001</c:v>
                </c:pt>
                <c:pt idx="517">
                  <c:v>2.1954599999999997</c:v>
                </c:pt>
                <c:pt idx="518">
                  <c:v>2.1954599999999997</c:v>
                </c:pt>
                <c:pt idx="519">
                  <c:v>2.1954599999999997</c:v>
                </c:pt>
                <c:pt idx="520">
                  <c:v>2.2451499999999998</c:v>
                </c:pt>
                <c:pt idx="521">
                  <c:v>2.2543899999999999</c:v>
                </c:pt>
                <c:pt idx="522">
                  <c:v>2.2367699999999999</c:v>
                </c:pt>
                <c:pt idx="523">
                  <c:v>2.2367699999999999</c:v>
                </c:pt>
                <c:pt idx="524">
                  <c:v>2.26173</c:v>
                </c:pt>
                <c:pt idx="525">
                  <c:v>2.2271399999999999</c:v>
                </c:pt>
                <c:pt idx="526">
                  <c:v>2.2277</c:v>
                </c:pt>
                <c:pt idx="527">
                  <c:v>2.3199299999999998</c:v>
                </c:pt>
                <c:pt idx="528">
                  <c:v>2.24126</c:v>
                </c:pt>
                <c:pt idx="529">
                  <c:v>2.2431299999999998</c:v>
                </c:pt>
                <c:pt idx="530">
                  <c:v>2.28138</c:v>
                </c:pt>
                <c:pt idx="531">
                  <c:v>2.27521</c:v>
                </c:pt>
                <c:pt idx="532">
                  <c:v>2.2433800000000002</c:v>
                </c:pt>
                <c:pt idx="533">
                  <c:v>2.2196500000000001</c:v>
                </c:pt>
                <c:pt idx="534">
                  <c:v>2.3856899999999999</c:v>
                </c:pt>
                <c:pt idx="535">
                  <c:v>2.3886099999999999</c:v>
                </c:pt>
                <c:pt idx="536">
                  <c:v>2.3266900000000001</c:v>
                </c:pt>
                <c:pt idx="537">
                  <c:v>2.3484700000000003</c:v>
                </c:pt>
                <c:pt idx="538">
                  <c:v>2.4581599999999999</c:v>
                </c:pt>
                <c:pt idx="539">
                  <c:v>2.4218100000000002</c:v>
                </c:pt>
                <c:pt idx="540">
                  <c:v>2.4079600000000001</c:v>
                </c:pt>
                <c:pt idx="541">
                  <c:v>2.5264799999999998</c:v>
                </c:pt>
                <c:pt idx="542">
                  <c:v>2.4904799999999998</c:v>
                </c:pt>
                <c:pt idx="543">
                  <c:v>2.49865</c:v>
                </c:pt>
                <c:pt idx="544">
                  <c:v>2.5196199999999997</c:v>
                </c:pt>
                <c:pt idx="545">
                  <c:v>2.5208500000000003</c:v>
                </c:pt>
                <c:pt idx="546">
                  <c:v>2.4933299999999998</c:v>
                </c:pt>
                <c:pt idx="547">
                  <c:v>2.4350999999999998</c:v>
                </c:pt>
                <c:pt idx="548">
                  <c:v>2.5089199999999998</c:v>
                </c:pt>
                <c:pt idx="549">
                  <c:v>2.4993700000000003</c:v>
                </c:pt>
                <c:pt idx="550">
                  <c:v>2.43662</c:v>
                </c:pt>
                <c:pt idx="551">
                  <c:v>2.4508799999999997</c:v>
                </c:pt>
                <c:pt idx="552">
                  <c:v>2.5356299999999998</c:v>
                </c:pt>
                <c:pt idx="553">
                  <c:v>2.6017399999999999</c:v>
                </c:pt>
                <c:pt idx="554">
                  <c:v>2.6160300000000003</c:v>
                </c:pt>
                <c:pt idx="555">
                  <c:v>2.6282000000000001</c:v>
                </c:pt>
                <c:pt idx="556">
                  <c:v>2.69014</c:v>
                </c:pt>
                <c:pt idx="557">
                  <c:v>2.7256799999999997</c:v>
                </c:pt>
                <c:pt idx="558">
                  <c:v>2.7044600000000001</c:v>
                </c:pt>
                <c:pt idx="559">
                  <c:v>2.79806</c:v>
                </c:pt>
                <c:pt idx="560">
                  <c:v>2.7662599999999999</c:v>
                </c:pt>
                <c:pt idx="561">
                  <c:v>3.1890199999999997</c:v>
                </c:pt>
                <c:pt idx="562">
                  <c:v>2.9618200000000003</c:v>
                </c:pt>
                <c:pt idx="563">
                  <c:v>3.40205</c:v>
                </c:pt>
                <c:pt idx="564">
                  <c:v>4.1705800000000002</c:v>
                </c:pt>
                <c:pt idx="565">
                  <c:v>3.5303699999999996</c:v>
                </c:pt>
                <c:pt idx="566">
                  <c:v>4.0788099999999998</c:v>
                </c:pt>
                <c:pt idx="567">
                  <c:v>5.45092</c:v>
                </c:pt>
                <c:pt idx="568">
                  <c:v>6.0208599999999999</c:v>
                </c:pt>
                <c:pt idx="569">
                  <c:v>6.9082299999999996</c:v>
                </c:pt>
                <c:pt idx="570">
                  <c:v>7.4928599999999994</c:v>
                </c:pt>
                <c:pt idx="571">
                  <c:v>7.4293499999999995</c:v>
                </c:pt>
                <c:pt idx="572">
                  <c:v>7.5011599999999996</c:v>
                </c:pt>
                <c:pt idx="573">
                  <c:v>5.9519399999999996</c:v>
                </c:pt>
                <c:pt idx="574">
                  <c:v>5.9226599999999996</c:v>
                </c:pt>
                <c:pt idx="575">
                  <c:v>5.3771799999999992</c:v>
                </c:pt>
                <c:pt idx="576">
                  <c:v>5.5852200000000005</c:v>
                </c:pt>
                <c:pt idx="577">
                  <c:v>5.5207600000000001</c:v>
                </c:pt>
                <c:pt idx="578">
                  <c:v>4.9899000000000004</c:v>
                </c:pt>
                <c:pt idx="579">
                  <c:v>5.0343400000000003</c:v>
                </c:pt>
                <c:pt idx="580">
                  <c:v>5.0437700000000003</c:v>
                </c:pt>
                <c:pt idx="581">
                  <c:v>5.0941999999999998</c:v>
                </c:pt>
                <c:pt idx="582">
                  <c:v>4.81243</c:v>
                </c:pt>
                <c:pt idx="583">
                  <c:v>4.9851900000000002</c:v>
                </c:pt>
                <c:pt idx="584">
                  <c:v>4.9350300000000002</c:v>
                </c:pt>
                <c:pt idx="585">
                  <c:v>4.8435100000000002</c:v>
                </c:pt>
                <c:pt idx="586">
                  <c:v>4.9011700000000005</c:v>
                </c:pt>
                <c:pt idx="587">
                  <c:v>4.78308</c:v>
                </c:pt>
                <c:pt idx="588">
                  <c:v>4.79575</c:v>
                </c:pt>
                <c:pt idx="589">
                  <c:v>4.7033199999999997</c:v>
                </c:pt>
                <c:pt idx="590">
                  <c:v>4.8559000000000001</c:v>
                </c:pt>
                <c:pt idx="591">
                  <c:v>4.9384500000000005</c:v>
                </c:pt>
                <c:pt idx="592">
                  <c:v>4.8439999999999994</c:v>
                </c:pt>
                <c:pt idx="593">
                  <c:v>4.8574200000000003</c:v>
                </c:pt>
                <c:pt idx="594">
                  <c:v>4.8968299999999996</c:v>
                </c:pt>
                <c:pt idx="595">
                  <c:v>5.0629900000000001</c:v>
                </c:pt>
                <c:pt idx="596">
                  <c:v>4.9945399999999998</c:v>
                </c:pt>
                <c:pt idx="597">
                  <c:v>4.9945399999999998</c:v>
                </c:pt>
                <c:pt idx="598">
                  <c:v>4.9945399999999998</c:v>
                </c:pt>
                <c:pt idx="599">
                  <c:v>4.6792499999999997</c:v>
                </c:pt>
                <c:pt idx="600">
                  <c:v>4.7240399999999996</c:v>
                </c:pt>
                <c:pt idx="601">
                  <c:v>4.60222</c:v>
                </c:pt>
                <c:pt idx="602">
                  <c:v>4.7334500000000004</c:v>
                </c:pt>
                <c:pt idx="603">
                  <c:v>4.9345699999999999</c:v>
                </c:pt>
                <c:pt idx="604">
                  <c:v>4.9757299999999995</c:v>
                </c:pt>
                <c:pt idx="605">
                  <c:v>4.9638499999999999</c:v>
                </c:pt>
                <c:pt idx="606">
                  <c:v>5.0329100000000002</c:v>
                </c:pt>
                <c:pt idx="607">
                  <c:v>4.9652099999999999</c:v>
                </c:pt>
                <c:pt idx="608">
                  <c:v>4.9652099999999999</c:v>
                </c:pt>
                <c:pt idx="609">
                  <c:v>4.9614900000000004</c:v>
                </c:pt>
                <c:pt idx="610">
                  <c:v>5.0156099999999997</c:v>
                </c:pt>
                <c:pt idx="611">
                  <c:v>5.0481199999999999</c:v>
                </c:pt>
                <c:pt idx="612">
                  <c:v>5.0705999999999998</c:v>
                </c:pt>
                <c:pt idx="613">
                  <c:v>5.1238099999999998</c:v>
                </c:pt>
                <c:pt idx="614">
                  <c:v>5.15707</c:v>
                </c:pt>
                <c:pt idx="615">
                  <c:v>5.1090900000000001</c:v>
                </c:pt>
                <c:pt idx="616">
                  <c:v>5.1432899999999995</c:v>
                </c:pt>
                <c:pt idx="617">
                  <c:v>5.0451699999999997</c:v>
                </c:pt>
                <c:pt idx="618">
                  <c:v>5.1225500000000004</c:v>
                </c:pt>
                <c:pt idx="619">
                  <c:v>5.0343599999999995</c:v>
                </c:pt>
                <c:pt idx="620">
                  <c:v>5.0141499999999999</c:v>
                </c:pt>
                <c:pt idx="621">
                  <c:v>5.0519799999999995</c:v>
                </c:pt>
                <c:pt idx="622">
                  <c:v>5.0488900000000001</c:v>
                </c:pt>
                <c:pt idx="623">
                  <c:v>4.9655300000000002</c:v>
                </c:pt>
                <c:pt idx="624">
                  <c:v>4.9454099999999999</c:v>
                </c:pt>
                <c:pt idx="625">
                  <c:v>4.8875500000000001</c:v>
                </c:pt>
                <c:pt idx="626">
                  <c:v>4.9129399999999999</c:v>
                </c:pt>
                <c:pt idx="627">
                  <c:v>4.9470299999999998</c:v>
                </c:pt>
                <c:pt idx="628">
                  <c:v>4.8215300000000001</c:v>
                </c:pt>
                <c:pt idx="629">
                  <c:v>4.7726299999999995</c:v>
                </c:pt>
                <c:pt idx="630">
                  <c:v>4.6412399999999998</c:v>
                </c:pt>
                <c:pt idx="631">
                  <c:v>4.6412399999999998</c:v>
                </c:pt>
                <c:pt idx="632">
                  <c:v>4.6412399999999998</c:v>
                </c:pt>
                <c:pt idx="633">
                  <c:v>4.5723500000000001</c:v>
                </c:pt>
                <c:pt idx="634">
                  <c:v>4.5680100000000001</c:v>
                </c:pt>
                <c:pt idx="635">
                  <c:v>4.5444199999999997</c:v>
                </c:pt>
                <c:pt idx="636">
                  <c:v>4.5162900000000006</c:v>
                </c:pt>
                <c:pt idx="637">
                  <c:v>4.3266200000000001</c:v>
                </c:pt>
                <c:pt idx="638">
                  <c:v>4.2811300000000001</c:v>
                </c:pt>
                <c:pt idx="639">
                  <c:v>4.2660900000000002</c:v>
                </c:pt>
                <c:pt idx="640">
                  <c:v>4.37094</c:v>
                </c:pt>
                <c:pt idx="641">
                  <c:v>4.4075499999999996</c:v>
                </c:pt>
                <c:pt idx="642">
                  <c:v>4.4172399999999996</c:v>
                </c:pt>
                <c:pt idx="643">
                  <c:v>4.3921099999999997</c:v>
                </c:pt>
                <c:pt idx="644">
                  <c:v>4.3871500000000001</c:v>
                </c:pt>
                <c:pt idx="645">
                  <c:v>4.4583699999999995</c:v>
                </c:pt>
                <c:pt idx="646">
                  <c:v>4.4872500000000004</c:v>
                </c:pt>
                <c:pt idx="647">
                  <c:v>4.5117700000000003</c:v>
                </c:pt>
                <c:pt idx="648">
                  <c:v>4.4612999999999996</c:v>
                </c:pt>
                <c:pt idx="649">
                  <c:v>4.4579700000000004</c:v>
                </c:pt>
                <c:pt idx="650">
                  <c:v>4.5535700000000006</c:v>
                </c:pt>
                <c:pt idx="651">
                  <c:v>4.6656200000000005</c:v>
                </c:pt>
                <c:pt idx="652">
                  <c:v>4.8435899999999998</c:v>
                </c:pt>
                <c:pt idx="653">
                  <c:v>4.7359299999999998</c:v>
                </c:pt>
                <c:pt idx="654">
                  <c:v>4.7399200000000006</c:v>
                </c:pt>
                <c:pt idx="655">
                  <c:v>4.6573700000000002</c:v>
                </c:pt>
                <c:pt idx="656">
                  <c:v>4.6476699999999997</c:v>
                </c:pt>
                <c:pt idx="657">
                  <c:v>4.4951499999999998</c:v>
                </c:pt>
                <c:pt idx="658">
                  <c:v>4.5850900000000001</c:v>
                </c:pt>
                <c:pt idx="659">
                  <c:v>4.6518899999999999</c:v>
                </c:pt>
                <c:pt idx="660">
                  <c:v>4.6571199999999999</c:v>
                </c:pt>
                <c:pt idx="661">
                  <c:v>4.7264600000000003</c:v>
                </c:pt>
                <c:pt idx="662">
                  <c:v>4.7826699999999995</c:v>
                </c:pt>
                <c:pt idx="663">
                  <c:v>4.6898099999999996</c:v>
                </c:pt>
                <c:pt idx="664">
                  <c:v>4.5995699999999999</c:v>
                </c:pt>
                <c:pt idx="665">
                  <c:v>4.5763799999999994</c:v>
                </c:pt>
                <c:pt idx="666">
                  <c:v>4.6770199999999997</c:v>
                </c:pt>
                <c:pt idx="667">
                  <c:v>4.64107</c:v>
                </c:pt>
                <c:pt idx="668">
                  <c:v>4.5139100000000001</c:v>
                </c:pt>
                <c:pt idx="669">
                  <c:v>4.5037000000000003</c:v>
                </c:pt>
                <c:pt idx="670">
                  <c:v>4.5425800000000001</c:v>
                </c:pt>
                <c:pt idx="671">
                  <c:v>4.5483500000000001</c:v>
                </c:pt>
                <c:pt idx="672">
                  <c:v>4.50427</c:v>
                </c:pt>
                <c:pt idx="673">
                  <c:v>4.4598500000000003</c:v>
                </c:pt>
                <c:pt idx="674">
                  <c:v>4.3602600000000002</c:v>
                </c:pt>
                <c:pt idx="675">
                  <c:v>4.4186800000000002</c:v>
                </c:pt>
                <c:pt idx="676">
                  <c:v>4.3733300000000002</c:v>
                </c:pt>
                <c:pt idx="677">
                  <c:v>4.3008800000000003</c:v>
                </c:pt>
                <c:pt idx="678">
                  <c:v>4.2580200000000001</c:v>
                </c:pt>
                <c:pt idx="679">
                  <c:v>4.1030499999999996</c:v>
                </c:pt>
                <c:pt idx="680">
                  <c:v>4.1532799999999996</c:v>
                </c:pt>
                <c:pt idx="681">
                  <c:v>3.97139</c:v>
                </c:pt>
                <c:pt idx="682">
                  <c:v>3.9144099999999997</c:v>
                </c:pt>
                <c:pt idx="683">
                  <c:v>3.9285100000000002</c:v>
                </c:pt>
                <c:pt idx="684">
                  <c:v>3.8974599999999997</c:v>
                </c:pt>
                <c:pt idx="685">
                  <c:v>3.8936799999999998</c:v>
                </c:pt>
                <c:pt idx="686">
                  <c:v>3.9206300000000001</c:v>
                </c:pt>
                <c:pt idx="687">
                  <c:v>3.8726699999999998</c:v>
                </c:pt>
                <c:pt idx="688">
                  <c:v>3.8623599999999998</c:v>
                </c:pt>
                <c:pt idx="689">
                  <c:v>3.8171599999999999</c:v>
                </c:pt>
                <c:pt idx="690">
                  <c:v>3.85324</c:v>
                </c:pt>
                <c:pt idx="691">
                  <c:v>3.7338499999999999</c:v>
                </c:pt>
                <c:pt idx="692">
                  <c:v>3.7820400000000003</c:v>
                </c:pt>
                <c:pt idx="693">
                  <c:v>3.7820400000000003</c:v>
                </c:pt>
                <c:pt idx="694">
                  <c:v>3.5970200000000001</c:v>
                </c:pt>
                <c:pt idx="695">
                  <c:v>3.5019600000000004</c:v>
                </c:pt>
                <c:pt idx="696">
                  <c:v>3.5338499999999997</c:v>
                </c:pt>
                <c:pt idx="697">
                  <c:v>3.6394000000000002</c:v>
                </c:pt>
                <c:pt idx="698">
                  <c:v>3.6355500000000003</c:v>
                </c:pt>
                <c:pt idx="699">
                  <c:v>3.4923999999999999</c:v>
                </c:pt>
                <c:pt idx="700">
                  <c:v>3.4699200000000001</c:v>
                </c:pt>
                <c:pt idx="701">
                  <c:v>3.35379</c:v>
                </c:pt>
                <c:pt idx="702">
                  <c:v>3.3185799999999999</c:v>
                </c:pt>
                <c:pt idx="703">
                  <c:v>3.2735599999999998</c:v>
                </c:pt>
                <c:pt idx="704">
                  <c:v>3.4678500000000003</c:v>
                </c:pt>
                <c:pt idx="705">
                  <c:v>3.6237900000000001</c:v>
                </c:pt>
                <c:pt idx="706">
                  <c:v>3.9392800000000001</c:v>
                </c:pt>
                <c:pt idx="707">
                  <c:v>3.8303500000000001</c:v>
                </c:pt>
              </c:numCache>
            </c:numRef>
          </c:val>
          <c:smooth val="0"/>
          <c:extLst>
            <c:ext xmlns:c16="http://schemas.microsoft.com/office/drawing/2014/chart" uri="{C3380CC4-5D6E-409C-BE32-E72D297353CC}">
              <c16:uniqueId val="{00000000-F31E-4170-9322-6C48FF56580E}"/>
            </c:ext>
          </c:extLst>
        </c:ser>
        <c:ser>
          <c:idx val="1"/>
          <c:order val="1"/>
          <c:tx>
            <c:strRef>
              <c:f>Sheet1!$C$1</c:f>
              <c:strCache>
                <c:ptCount val="1"/>
                <c:pt idx="0">
                  <c:v>Ռուսաստան (2026թ.)</c:v>
                </c:pt>
              </c:strCache>
            </c:strRef>
          </c:tx>
          <c:spPr>
            <a:ln w="28575" cap="rnd">
              <a:solidFill>
                <a:schemeClr val="accent2"/>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Sheet1!$C$2:$C$971</c:f>
              <c:numCache>
                <c:formatCode>0</c:formatCode>
                <c:ptCount val="709"/>
                <c:pt idx="0">
                  <c:v>1.18544</c:v>
                </c:pt>
                <c:pt idx="1">
                  <c:v>1.24397</c:v>
                </c:pt>
                <c:pt idx="2">
                  <c:v>1.3716200000000001</c:v>
                </c:pt>
                <c:pt idx="3">
                  <c:v>1.3917200000000001</c:v>
                </c:pt>
                <c:pt idx="4">
                  <c:v>1.3711600000000002</c:v>
                </c:pt>
                <c:pt idx="5">
                  <c:v>1.29209</c:v>
                </c:pt>
                <c:pt idx="6">
                  <c:v>1.2887999999999999</c:v>
                </c:pt>
                <c:pt idx="7">
                  <c:v>1.3050600000000001</c:v>
                </c:pt>
                <c:pt idx="8">
                  <c:v>1.2485899999999999</c:v>
                </c:pt>
                <c:pt idx="9">
                  <c:v>1.2646999999999999</c:v>
                </c:pt>
                <c:pt idx="10">
                  <c:v>1.2675400000000001</c:v>
                </c:pt>
                <c:pt idx="11">
                  <c:v>1.25423</c:v>
                </c:pt>
                <c:pt idx="12">
                  <c:v>1.24817</c:v>
                </c:pt>
                <c:pt idx="13">
                  <c:v>1.24817</c:v>
                </c:pt>
                <c:pt idx="14">
                  <c:v>1.26308</c:v>
                </c:pt>
                <c:pt idx="15">
                  <c:v>1.2609600000000001</c:v>
                </c:pt>
                <c:pt idx="16">
                  <c:v>1.2917599999999998</c:v>
                </c:pt>
                <c:pt idx="17">
                  <c:v>1.31291</c:v>
                </c:pt>
                <c:pt idx="18">
                  <c:v>1.3828399999999998</c:v>
                </c:pt>
                <c:pt idx="19">
                  <c:v>1.3215700000000001</c:v>
                </c:pt>
                <c:pt idx="20">
                  <c:v>1.3544999999999998</c:v>
                </c:pt>
                <c:pt idx="21">
                  <c:v>1.31863</c:v>
                </c:pt>
                <c:pt idx="22">
                  <c:v>1.3499299999999999</c:v>
                </c:pt>
                <c:pt idx="23">
                  <c:v>1.3478299999999999</c:v>
                </c:pt>
                <c:pt idx="24">
                  <c:v>1.3246199999999999</c:v>
                </c:pt>
                <c:pt idx="25">
                  <c:v>1.2850299999999999</c:v>
                </c:pt>
                <c:pt idx="26">
                  <c:v>1.28454</c:v>
                </c:pt>
                <c:pt idx="27">
                  <c:v>1.3418299999999999</c:v>
                </c:pt>
                <c:pt idx="28">
                  <c:v>1.3418700000000001</c:v>
                </c:pt>
                <c:pt idx="29">
                  <c:v>1.23492</c:v>
                </c:pt>
                <c:pt idx="30">
                  <c:v>1.2054499999999999</c:v>
                </c:pt>
                <c:pt idx="31">
                  <c:v>1.2175499999999999</c:v>
                </c:pt>
                <c:pt idx="32">
                  <c:v>1.2385899999999999</c:v>
                </c:pt>
                <c:pt idx="33">
                  <c:v>1.2385899999999999</c:v>
                </c:pt>
                <c:pt idx="34">
                  <c:v>1.2635700000000001</c:v>
                </c:pt>
                <c:pt idx="35">
                  <c:v>1.2473099999999999</c:v>
                </c:pt>
                <c:pt idx="36">
                  <c:v>1.2774099999999999</c:v>
                </c:pt>
                <c:pt idx="37">
                  <c:v>1.2747599999999999</c:v>
                </c:pt>
                <c:pt idx="38">
                  <c:v>1.2927000000000002</c:v>
                </c:pt>
                <c:pt idx="39">
                  <c:v>1.33754</c:v>
                </c:pt>
                <c:pt idx="40">
                  <c:v>1.3896999999999999</c:v>
                </c:pt>
                <c:pt idx="41">
                  <c:v>1.5402099999999999</c:v>
                </c:pt>
                <c:pt idx="42">
                  <c:v>1.7472099999999999</c:v>
                </c:pt>
                <c:pt idx="43">
                  <c:v>1.7464599999999999</c:v>
                </c:pt>
                <c:pt idx="44">
                  <c:v>1.7397200000000002</c:v>
                </c:pt>
                <c:pt idx="45">
                  <c:v>1.57951</c:v>
                </c:pt>
                <c:pt idx="46">
                  <c:v>1.66934</c:v>
                </c:pt>
                <c:pt idx="47">
                  <c:v>1.7666999999999999</c:v>
                </c:pt>
                <c:pt idx="48">
                  <c:v>2.33832</c:v>
                </c:pt>
                <c:pt idx="49">
                  <c:v>2.1477599999999999</c:v>
                </c:pt>
                <c:pt idx="50">
                  <c:v>2.1487400000000001</c:v>
                </c:pt>
                <c:pt idx="51">
                  <c:v>2.7117599999999999</c:v>
                </c:pt>
                <c:pt idx="52">
                  <c:v>2.6636700000000002</c:v>
                </c:pt>
                <c:pt idx="53">
                  <c:v>3.0865899999999997</c:v>
                </c:pt>
                <c:pt idx="54">
                  <c:v>3.0011099999999997</c:v>
                </c:pt>
                <c:pt idx="55">
                  <c:v>3.8112499999999998</c:v>
                </c:pt>
                <c:pt idx="56">
                  <c:v>4.2248200000000002</c:v>
                </c:pt>
                <c:pt idx="57">
                  <c:v>4.0363899999999999</c:v>
                </c:pt>
                <c:pt idx="58">
                  <c:v>4.0837700000000003</c:v>
                </c:pt>
                <c:pt idx="59">
                  <c:v>3.4874099999999997</c:v>
                </c:pt>
                <c:pt idx="60">
                  <c:v>3.2182600000000003</c:v>
                </c:pt>
                <c:pt idx="61">
                  <c:v>2.9489800000000002</c:v>
                </c:pt>
                <c:pt idx="62">
                  <c:v>3.1634699999999998</c:v>
                </c:pt>
                <c:pt idx="63">
                  <c:v>3.38673</c:v>
                </c:pt>
                <c:pt idx="64">
                  <c:v>3.2359500000000003</c:v>
                </c:pt>
                <c:pt idx="65">
                  <c:v>3.2908300000000001</c:v>
                </c:pt>
                <c:pt idx="66">
                  <c:v>3.2074900000000004</c:v>
                </c:pt>
                <c:pt idx="67">
                  <c:v>2.9151400000000001</c:v>
                </c:pt>
                <c:pt idx="68">
                  <c:v>2.7314499999999997</c:v>
                </c:pt>
                <c:pt idx="69">
                  <c:v>2.5560300000000002</c:v>
                </c:pt>
                <c:pt idx="70">
                  <c:v>2.6149100000000001</c:v>
                </c:pt>
                <c:pt idx="71">
                  <c:v>2.5115500000000002</c:v>
                </c:pt>
                <c:pt idx="72">
                  <c:v>2.5115500000000002</c:v>
                </c:pt>
                <c:pt idx="73">
                  <c:v>2.4967600000000001</c:v>
                </c:pt>
                <c:pt idx="74">
                  <c:v>2.4912000000000001</c:v>
                </c:pt>
                <c:pt idx="75">
                  <c:v>2.6633900000000001</c:v>
                </c:pt>
                <c:pt idx="76">
                  <c:v>2.6059899999999998</c:v>
                </c:pt>
                <c:pt idx="77">
                  <c:v>2.60229</c:v>
                </c:pt>
                <c:pt idx="78">
                  <c:v>2.6967399999999997</c:v>
                </c:pt>
                <c:pt idx="79">
                  <c:v>2.8136200000000002</c:v>
                </c:pt>
                <c:pt idx="80">
                  <c:v>2.7465499999999996</c:v>
                </c:pt>
                <c:pt idx="81">
                  <c:v>2.66269</c:v>
                </c:pt>
                <c:pt idx="82">
                  <c:v>2.6619700000000002</c:v>
                </c:pt>
                <c:pt idx="83">
                  <c:v>2.6496599999999999</c:v>
                </c:pt>
                <c:pt idx="84">
                  <c:v>2.6830599999999998</c:v>
                </c:pt>
                <c:pt idx="85">
                  <c:v>2.6452599999999999</c:v>
                </c:pt>
                <c:pt idx="86">
                  <c:v>2.5492300000000001</c:v>
                </c:pt>
                <c:pt idx="87">
                  <c:v>2.5664299999999995</c:v>
                </c:pt>
                <c:pt idx="88">
                  <c:v>2.5990800000000003</c:v>
                </c:pt>
                <c:pt idx="89">
                  <c:v>2.50162</c:v>
                </c:pt>
                <c:pt idx="90">
                  <c:v>2.5091600000000001</c:v>
                </c:pt>
                <c:pt idx="91">
                  <c:v>2.5396700000000001</c:v>
                </c:pt>
                <c:pt idx="92">
                  <c:v>2.5274000000000001</c:v>
                </c:pt>
                <c:pt idx="93">
                  <c:v>2.44428</c:v>
                </c:pt>
                <c:pt idx="94">
                  <c:v>2.4464899999999998</c:v>
                </c:pt>
                <c:pt idx="95">
                  <c:v>2.4529300000000003</c:v>
                </c:pt>
                <c:pt idx="96">
                  <c:v>2.4757699999999998</c:v>
                </c:pt>
                <c:pt idx="97">
                  <c:v>2.3743700000000003</c:v>
                </c:pt>
                <c:pt idx="98">
                  <c:v>2.19014</c:v>
                </c:pt>
                <c:pt idx="99">
                  <c:v>2.1497299999999999</c:v>
                </c:pt>
                <c:pt idx="100">
                  <c:v>2.0340500000000001</c:v>
                </c:pt>
                <c:pt idx="101">
                  <c:v>1.9702799999999998</c:v>
                </c:pt>
                <c:pt idx="102">
                  <c:v>1.9975299999999998</c:v>
                </c:pt>
                <c:pt idx="103">
                  <c:v>1.9975299999999998</c:v>
                </c:pt>
                <c:pt idx="104">
                  <c:v>1.93743</c:v>
                </c:pt>
                <c:pt idx="105">
                  <c:v>1.96332</c:v>
                </c:pt>
                <c:pt idx="106">
                  <c:v>1.94442</c:v>
                </c:pt>
                <c:pt idx="107">
                  <c:v>1.96071</c:v>
                </c:pt>
                <c:pt idx="108">
                  <c:v>1.9391</c:v>
                </c:pt>
                <c:pt idx="109">
                  <c:v>1.92171</c:v>
                </c:pt>
                <c:pt idx="110">
                  <c:v>1.8808500000000001</c:v>
                </c:pt>
                <c:pt idx="111">
                  <c:v>1.8936500000000001</c:v>
                </c:pt>
                <c:pt idx="112">
                  <c:v>1.8897200000000001</c:v>
                </c:pt>
                <c:pt idx="113">
                  <c:v>1.9284299999999999</c:v>
                </c:pt>
                <c:pt idx="114">
                  <c:v>1.9176900000000001</c:v>
                </c:pt>
                <c:pt idx="115">
                  <c:v>1.9692699999999999</c:v>
                </c:pt>
                <c:pt idx="116">
                  <c:v>2.0912299999999999</c:v>
                </c:pt>
                <c:pt idx="117">
                  <c:v>2.0506200000000003</c:v>
                </c:pt>
                <c:pt idx="118">
                  <c:v>2.0251900000000003</c:v>
                </c:pt>
                <c:pt idx="119">
                  <c:v>1.88741</c:v>
                </c:pt>
                <c:pt idx="120">
                  <c:v>1.89056</c:v>
                </c:pt>
                <c:pt idx="121">
                  <c:v>1.9218500000000001</c:v>
                </c:pt>
                <c:pt idx="122">
                  <c:v>1.92381</c:v>
                </c:pt>
                <c:pt idx="123">
                  <c:v>1.9243700000000001</c:v>
                </c:pt>
                <c:pt idx="124">
                  <c:v>1.90486</c:v>
                </c:pt>
                <c:pt idx="125">
                  <c:v>1.96214</c:v>
                </c:pt>
                <c:pt idx="126">
                  <c:v>1.98227</c:v>
                </c:pt>
                <c:pt idx="127">
                  <c:v>1.98841</c:v>
                </c:pt>
                <c:pt idx="128">
                  <c:v>2.0433699999999999</c:v>
                </c:pt>
                <c:pt idx="129">
                  <c:v>2.0513399999999997</c:v>
                </c:pt>
                <c:pt idx="130">
                  <c:v>1.9764699999999999</c:v>
                </c:pt>
                <c:pt idx="131">
                  <c:v>1.95689</c:v>
                </c:pt>
                <c:pt idx="132">
                  <c:v>1.95689</c:v>
                </c:pt>
                <c:pt idx="133">
                  <c:v>2.00387</c:v>
                </c:pt>
                <c:pt idx="134">
                  <c:v>2.0033400000000001</c:v>
                </c:pt>
                <c:pt idx="135">
                  <c:v>1.95852</c:v>
                </c:pt>
                <c:pt idx="136">
                  <c:v>1.9643999999999999</c:v>
                </c:pt>
                <c:pt idx="137">
                  <c:v>1.93123</c:v>
                </c:pt>
                <c:pt idx="138">
                  <c:v>1.9287200000000002</c:v>
                </c:pt>
                <c:pt idx="139">
                  <c:v>1.9185699999999999</c:v>
                </c:pt>
                <c:pt idx="140">
                  <c:v>1.8797300000000001</c:v>
                </c:pt>
                <c:pt idx="141">
                  <c:v>1.8812200000000001</c:v>
                </c:pt>
                <c:pt idx="142">
                  <c:v>1.84477</c:v>
                </c:pt>
                <c:pt idx="143">
                  <c:v>1.8383699999999998</c:v>
                </c:pt>
                <c:pt idx="144">
                  <c:v>1.83815</c:v>
                </c:pt>
                <c:pt idx="145">
                  <c:v>1.8503999999999998</c:v>
                </c:pt>
                <c:pt idx="146">
                  <c:v>1.79948</c:v>
                </c:pt>
                <c:pt idx="147">
                  <c:v>1.8074299999999999</c:v>
                </c:pt>
                <c:pt idx="148">
                  <c:v>1.7682599999999999</c:v>
                </c:pt>
                <c:pt idx="149">
                  <c:v>1.79925</c:v>
                </c:pt>
                <c:pt idx="150">
                  <c:v>1.7785900000000001</c:v>
                </c:pt>
                <c:pt idx="151">
                  <c:v>1.8174399999999999</c:v>
                </c:pt>
                <c:pt idx="152">
                  <c:v>1.8280000000000001</c:v>
                </c:pt>
                <c:pt idx="153">
                  <c:v>1.7756200000000002</c:v>
                </c:pt>
                <c:pt idx="154">
                  <c:v>1.7573599999999998</c:v>
                </c:pt>
                <c:pt idx="155">
                  <c:v>1.6257900000000001</c:v>
                </c:pt>
                <c:pt idx="156">
                  <c:v>1.62642</c:v>
                </c:pt>
                <c:pt idx="157">
                  <c:v>1.5840199999999998</c:v>
                </c:pt>
                <c:pt idx="158">
                  <c:v>1.50691</c:v>
                </c:pt>
                <c:pt idx="159">
                  <c:v>1.5212999999999999</c:v>
                </c:pt>
                <c:pt idx="160">
                  <c:v>1.52081</c:v>
                </c:pt>
                <c:pt idx="161">
                  <c:v>1.5303800000000001</c:v>
                </c:pt>
                <c:pt idx="162">
                  <c:v>1.58782</c:v>
                </c:pt>
                <c:pt idx="163">
                  <c:v>1.68102</c:v>
                </c:pt>
                <c:pt idx="164">
                  <c:v>1.6916599999999999</c:v>
                </c:pt>
                <c:pt idx="165">
                  <c:v>1.7038499999999999</c:v>
                </c:pt>
                <c:pt idx="166">
                  <c:v>1.7319499999999999</c:v>
                </c:pt>
                <c:pt idx="167">
                  <c:v>1.7591300000000001</c:v>
                </c:pt>
                <c:pt idx="168">
                  <c:v>1.7532099999999999</c:v>
                </c:pt>
                <c:pt idx="169">
                  <c:v>1.73552</c:v>
                </c:pt>
                <c:pt idx="170">
                  <c:v>1.7650700000000001</c:v>
                </c:pt>
                <c:pt idx="171">
                  <c:v>1.7396500000000001</c:v>
                </c:pt>
                <c:pt idx="172">
                  <c:v>1.7409800000000002</c:v>
                </c:pt>
                <c:pt idx="173">
                  <c:v>1.7550600000000001</c:v>
                </c:pt>
                <c:pt idx="174">
                  <c:v>1.7241399999999998</c:v>
                </c:pt>
                <c:pt idx="175">
                  <c:v>1.7416100000000001</c:v>
                </c:pt>
                <c:pt idx="176">
                  <c:v>1.76677</c:v>
                </c:pt>
                <c:pt idx="177">
                  <c:v>1.74607</c:v>
                </c:pt>
                <c:pt idx="178">
                  <c:v>1.74607</c:v>
                </c:pt>
                <c:pt idx="179">
                  <c:v>1.8187500000000001</c:v>
                </c:pt>
                <c:pt idx="180">
                  <c:v>1.7782200000000001</c:v>
                </c:pt>
                <c:pt idx="181">
                  <c:v>1.7858099999999999</c:v>
                </c:pt>
                <c:pt idx="182">
                  <c:v>1.7940100000000001</c:v>
                </c:pt>
                <c:pt idx="183">
                  <c:v>1.7916399999999999</c:v>
                </c:pt>
                <c:pt idx="184">
                  <c:v>1.7572399999999999</c:v>
                </c:pt>
                <c:pt idx="185">
                  <c:v>1.71726</c:v>
                </c:pt>
                <c:pt idx="186">
                  <c:v>1.72329</c:v>
                </c:pt>
                <c:pt idx="187">
                  <c:v>1.70916</c:v>
                </c:pt>
                <c:pt idx="188">
                  <c:v>1.7948200000000001</c:v>
                </c:pt>
                <c:pt idx="189">
                  <c:v>1.77078</c:v>
                </c:pt>
                <c:pt idx="190">
                  <c:v>1.7528600000000001</c:v>
                </c:pt>
                <c:pt idx="191">
                  <c:v>1.8127199999999999</c:v>
                </c:pt>
                <c:pt idx="192">
                  <c:v>1.80599</c:v>
                </c:pt>
                <c:pt idx="193">
                  <c:v>1.8189900000000001</c:v>
                </c:pt>
                <c:pt idx="194">
                  <c:v>1.82202</c:v>
                </c:pt>
                <c:pt idx="195">
                  <c:v>1.7897999999999998</c:v>
                </c:pt>
                <c:pt idx="196">
                  <c:v>1.7570699999999999</c:v>
                </c:pt>
                <c:pt idx="197">
                  <c:v>1.7750299999999999</c:v>
                </c:pt>
                <c:pt idx="198">
                  <c:v>1.75299</c:v>
                </c:pt>
                <c:pt idx="199">
                  <c:v>1.7668999999999999</c:v>
                </c:pt>
                <c:pt idx="200">
                  <c:v>1.74668</c:v>
                </c:pt>
                <c:pt idx="201">
                  <c:v>1.7287299999999999</c:v>
                </c:pt>
                <c:pt idx="202">
                  <c:v>1.6857300000000002</c:v>
                </c:pt>
                <c:pt idx="203">
                  <c:v>1.6857300000000002</c:v>
                </c:pt>
                <c:pt idx="204">
                  <c:v>1.71316</c:v>
                </c:pt>
                <c:pt idx="205">
                  <c:v>1.7138999999999998</c:v>
                </c:pt>
                <c:pt idx="206">
                  <c:v>1.69512</c:v>
                </c:pt>
                <c:pt idx="207">
                  <c:v>1.66368</c:v>
                </c:pt>
                <c:pt idx="208">
                  <c:v>1.6396100000000002</c:v>
                </c:pt>
                <c:pt idx="209">
                  <c:v>1.6423099999999999</c:v>
                </c:pt>
                <c:pt idx="210">
                  <c:v>1.6322900000000002</c:v>
                </c:pt>
                <c:pt idx="211">
                  <c:v>1.6180600000000001</c:v>
                </c:pt>
                <c:pt idx="212">
                  <c:v>1.62364</c:v>
                </c:pt>
                <c:pt idx="213">
                  <c:v>1.64734</c:v>
                </c:pt>
                <c:pt idx="214">
                  <c:v>1.6707799999999999</c:v>
                </c:pt>
                <c:pt idx="215">
                  <c:v>1.7406600000000001</c:v>
                </c:pt>
                <c:pt idx="216">
                  <c:v>1.7172700000000001</c:v>
                </c:pt>
                <c:pt idx="217">
                  <c:v>1.7133500000000002</c:v>
                </c:pt>
                <c:pt idx="218">
                  <c:v>1.7532300000000001</c:v>
                </c:pt>
                <c:pt idx="219">
                  <c:v>1.70204</c:v>
                </c:pt>
                <c:pt idx="220">
                  <c:v>1.6978899999999999</c:v>
                </c:pt>
                <c:pt idx="221">
                  <c:v>1.6144800000000001</c:v>
                </c:pt>
                <c:pt idx="222">
                  <c:v>1.6085900000000002</c:v>
                </c:pt>
                <c:pt idx="223">
                  <c:v>1.4905600000000001</c:v>
                </c:pt>
                <c:pt idx="224">
                  <c:v>1.5009600000000001</c:v>
                </c:pt>
                <c:pt idx="225">
                  <c:v>1.5009600000000001</c:v>
                </c:pt>
                <c:pt idx="226">
                  <c:v>1.5438800000000001</c:v>
                </c:pt>
                <c:pt idx="227">
                  <c:v>1.51163</c:v>
                </c:pt>
                <c:pt idx="228">
                  <c:v>1.4842</c:v>
                </c:pt>
                <c:pt idx="229">
                  <c:v>1.5234100000000002</c:v>
                </c:pt>
                <c:pt idx="230">
                  <c:v>1.5105899999999999</c:v>
                </c:pt>
                <c:pt idx="231">
                  <c:v>1.5280400000000001</c:v>
                </c:pt>
                <c:pt idx="232">
                  <c:v>1.5187700000000002</c:v>
                </c:pt>
                <c:pt idx="233">
                  <c:v>1.5147999999999999</c:v>
                </c:pt>
                <c:pt idx="234">
                  <c:v>1.4998899999999999</c:v>
                </c:pt>
                <c:pt idx="235">
                  <c:v>1.4956700000000001</c:v>
                </c:pt>
                <c:pt idx="236">
                  <c:v>1.4956700000000001</c:v>
                </c:pt>
                <c:pt idx="237">
                  <c:v>1.5220199999999999</c:v>
                </c:pt>
                <c:pt idx="238">
                  <c:v>1.5049600000000001</c:v>
                </c:pt>
                <c:pt idx="239">
                  <c:v>1.4532700000000001</c:v>
                </c:pt>
                <c:pt idx="240">
                  <c:v>1.45716</c:v>
                </c:pt>
                <c:pt idx="241">
                  <c:v>1.45343</c:v>
                </c:pt>
                <c:pt idx="242">
                  <c:v>1.4294100000000001</c:v>
                </c:pt>
                <c:pt idx="243">
                  <c:v>1.4643700000000002</c:v>
                </c:pt>
                <c:pt idx="244">
                  <c:v>1.4594300000000002</c:v>
                </c:pt>
                <c:pt idx="245">
                  <c:v>1.4592799999999999</c:v>
                </c:pt>
                <c:pt idx="246">
                  <c:v>1.45425</c:v>
                </c:pt>
                <c:pt idx="247">
                  <c:v>1.4490399999999999</c:v>
                </c:pt>
                <c:pt idx="248">
                  <c:v>1.4493100000000001</c:v>
                </c:pt>
                <c:pt idx="249">
                  <c:v>1.4244700000000001</c:v>
                </c:pt>
                <c:pt idx="250">
                  <c:v>1.41791</c:v>
                </c:pt>
                <c:pt idx="251">
                  <c:v>1.3862899999999998</c:v>
                </c:pt>
                <c:pt idx="252">
                  <c:v>1.3928499999999999</c:v>
                </c:pt>
                <c:pt idx="253">
                  <c:v>1.3915899999999999</c:v>
                </c:pt>
                <c:pt idx="254">
                  <c:v>1.4132</c:v>
                </c:pt>
                <c:pt idx="255">
                  <c:v>1.4040799999999998</c:v>
                </c:pt>
                <c:pt idx="256">
                  <c:v>1.4118299999999999</c:v>
                </c:pt>
                <c:pt idx="257">
                  <c:v>1.4118299999999999</c:v>
                </c:pt>
                <c:pt idx="258">
                  <c:v>1.4196700000000002</c:v>
                </c:pt>
                <c:pt idx="259">
                  <c:v>1.40761</c:v>
                </c:pt>
                <c:pt idx="260">
                  <c:v>1.4005699999999999</c:v>
                </c:pt>
                <c:pt idx="261">
                  <c:v>1.4074</c:v>
                </c:pt>
                <c:pt idx="262">
                  <c:v>1.4074</c:v>
                </c:pt>
                <c:pt idx="263">
                  <c:v>1.42079</c:v>
                </c:pt>
                <c:pt idx="264">
                  <c:v>1.4001300000000001</c:v>
                </c:pt>
                <c:pt idx="265">
                  <c:v>1.3792</c:v>
                </c:pt>
                <c:pt idx="266">
                  <c:v>1.3830899999999999</c:v>
                </c:pt>
                <c:pt idx="267">
                  <c:v>1.3572599999999999</c:v>
                </c:pt>
                <c:pt idx="268">
                  <c:v>1.3263800000000001</c:v>
                </c:pt>
                <c:pt idx="269">
                  <c:v>1.3440199999999998</c:v>
                </c:pt>
                <c:pt idx="270">
                  <c:v>1.37462</c:v>
                </c:pt>
                <c:pt idx="271">
                  <c:v>1.3372300000000001</c:v>
                </c:pt>
                <c:pt idx="272">
                  <c:v>1.3693600000000001</c:v>
                </c:pt>
                <c:pt idx="273">
                  <c:v>1.3693600000000001</c:v>
                </c:pt>
                <c:pt idx="274">
                  <c:v>1.3410400000000002</c:v>
                </c:pt>
                <c:pt idx="275">
                  <c:v>1.3351</c:v>
                </c:pt>
                <c:pt idx="276">
                  <c:v>1.3367500000000001</c:v>
                </c:pt>
                <c:pt idx="277">
                  <c:v>1.40733</c:v>
                </c:pt>
                <c:pt idx="278">
                  <c:v>1.4295800000000001</c:v>
                </c:pt>
                <c:pt idx="279">
                  <c:v>1.4189799999999999</c:v>
                </c:pt>
                <c:pt idx="280">
                  <c:v>1.4006299999999998</c:v>
                </c:pt>
                <c:pt idx="281">
                  <c:v>1.3781000000000001</c:v>
                </c:pt>
                <c:pt idx="282">
                  <c:v>1.38049</c:v>
                </c:pt>
                <c:pt idx="283">
                  <c:v>1.3702000000000001</c:v>
                </c:pt>
                <c:pt idx="284">
                  <c:v>1.3583799999999999</c:v>
                </c:pt>
                <c:pt idx="285">
                  <c:v>1.3438099999999999</c:v>
                </c:pt>
                <c:pt idx="286">
                  <c:v>1.3237700000000001</c:v>
                </c:pt>
                <c:pt idx="287">
                  <c:v>1.30541</c:v>
                </c:pt>
                <c:pt idx="288">
                  <c:v>1.2978700000000001</c:v>
                </c:pt>
                <c:pt idx="289">
                  <c:v>1.3010400000000002</c:v>
                </c:pt>
                <c:pt idx="290">
                  <c:v>1.3182</c:v>
                </c:pt>
                <c:pt idx="291">
                  <c:v>1.28512</c:v>
                </c:pt>
                <c:pt idx="292">
                  <c:v>1.25332</c:v>
                </c:pt>
                <c:pt idx="293">
                  <c:v>1.25332</c:v>
                </c:pt>
                <c:pt idx="294">
                  <c:v>1.1811</c:v>
                </c:pt>
                <c:pt idx="295">
                  <c:v>1.22376</c:v>
                </c:pt>
                <c:pt idx="296">
                  <c:v>1.1959200000000001</c:v>
                </c:pt>
                <c:pt idx="297">
                  <c:v>1.1668399999999999</c:v>
                </c:pt>
                <c:pt idx="298">
                  <c:v>1.1693800000000001</c:v>
                </c:pt>
                <c:pt idx="299">
                  <c:v>1.2004000000000001</c:v>
                </c:pt>
                <c:pt idx="300">
                  <c:v>1.17703</c:v>
                </c:pt>
                <c:pt idx="301">
                  <c:v>1.08809</c:v>
                </c:pt>
                <c:pt idx="302">
                  <c:v>1.08053</c:v>
                </c:pt>
                <c:pt idx="303">
                  <c:v>1.1006199999999999</c:v>
                </c:pt>
                <c:pt idx="304">
                  <c:v>1.1389100000000001</c:v>
                </c:pt>
                <c:pt idx="305">
                  <c:v>1.09477</c:v>
                </c:pt>
                <c:pt idx="306">
                  <c:v>1.04959</c:v>
                </c:pt>
                <c:pt idx="307">
                  <c:v>1.16181</c:v>
                </c:pt>
                <c:pt idx="308">
                  <c:v>1.2239199999999999</c:v>
                </c:pt>
                <c:pt idx="309">
                  <c:v>1.25159</c:v>
                </c:pt>
                <c:pt idx="310">
                  <c:v>1.2592700000000001</c:v>
                </c:pt>
                <c:pt idx="311">
                  <c:v>1.22184</c:v>
                </c:pt>
                <c:pt idx="312">
                  <c:v>1.2498</c:v>
                </c:pt>
                <c:pt idx="313">
                  <c:v>1.2471699999999999</c:v>
                </c:pt>
                <c:pt idx="314">
                  <c:v>1.2332099999999999</c:v>
                </c:pt>
                <c:pt idx="315">
                  <c:v>1.32107</c:v>
                </c:pt>
                <c:pt idx="316">
                  <c:v>1.33887</c:v>
                </c:pt>
                <c:pt idx="317">
                  <c:v>1.3180400000000001</c:v>
                </c:pt>
                <c:pt idx="318">
                  <c:v>1.3265100000000001</c:v>
                </c:pt>
                <c:pt idx="319">
                  <c:v>1.42577</c:v>
                </c:pt>
                <c:pt idx="320">
                  <c:v>1.4311500000000001</c:v>
                </c:pt>
                <c:pt idx="321">
                  <c:v>1.42394</c:v>
                </c:pt>
                <c:pt idx="322">
                  <c:v>1.4269800000000001</c:v>
                </c:pt>
                <c:pt idx="323">
                  <c:v>1.40011</c:v>
                </c:pt>
                <c:pt idx="324">
                  <c:v>1.4248400000000001</c:v>
                </c:pt>
                <c:pt idx="325">
                  <c:v>1.3774100000000002</c:v>
                </c:pt>
                <c:pt idx="326">
                  <c:v>1.4129499999999999</c:v>
                </c:pt>
                <c:pt idx="327">
                  <c:v>1.4316800000000001</c:v>
                </c:pt>
                <c:pt idx="328">
                  <c:v>1.38514</c:v>
                </c:pt>
                <c:pt idx="329">
                  <c:v>1.4790199999999998</c:v>
                </c:pt>
                <c:pt idx="330">
                  <c:v>1.5444</c:v>
                </c:pt>
                <c:pt idx="331">
                  <c:v>1.5644499999999999</c:v>
                </c:pt>
                <c:pt idx="332">
                  <c:v>1.5662399999999999</c:v>
                </c:pt>
                <c:pt idx="333">
                  <c:v>1.5516999999999999</c:v>
                </c:pt>
                <c:pt idx="334">
                  <c:v>1.6019700000000001</c:v>
                </c:pt>
                <c:pt idx="335">
                  <c:v>1.5242599999999999</c:v>
                </c:pt>
                <c:pt idx="336">
                  <c:v>1.5819999999999999</c:v>
                </c:pt>
                <c:pt idx="337">
                  <c:v>1.4250999999999998</c:v>
                </c:pt>
                <c:pt idx="338">
                  <c:v>1.40923</c:v>
                </c:pt>
                <c:pt idx="339">
                  <c:v>1.5030000000000001</c:v>
                </c:pt>
                <c:pt idx="340">
                  <c:v>1.4794</c:v>
                </c:pt>
                <c:pt idx="341">
                  <c:v>1.3904099999999999</c:v>
                </c:pt>
                <c:pt idx="342">
                  <c:v>1.3791499999999999</c:v>
                </c:pt>
                <c:pt idx="343">
                  <c:v>1.3500299999999998</c:v>
                </c:pt>
                <c:pt idx="344">
                  <c:v>1.32843</c:v>
                </c:pt>
                <c:pt idx="345">
                  <c:v>1.33249</c:v>
                </c:pt>
                <c:pt idx="346">
                  <c:v>1.2932900000000001</c:v>
                </c:pt>
                <c:pt idx="347">
                  <c:v>1.29478</c:v>
                </c:pt>
                <c:pt idx="348">
                  <c:v>1.3348100000000001</c:v>
                </c:pt>
                <c:pt idx="349">
                  <c:v>1.32117</c:v>
                </c:pt>
                <c:pt idx="350">
                  <c:v>1.3234299999999999</c:v>
                </c:pt>
                <c:pt idx="351">
                  <c:v>1.2564</c:v>
                </c:pt>
                <c:pt idx="352">
                  <c:v>1.2795999999999998</c:v>
                </c:pt>
                <c:pt idx="353">
                  <c:v>1.2901499999999999</c:v>
                </c:pt>
                <c:pt idx="354">
                  <c:v>1.29854</c:v>
                </c:pt>
                <c:pt idx="355">
                  <c:v>1.27677</c:v>
                </c:pt>
                <c:pt idx="356">
                  <c:v>1.2884200000000001</c:v>
                </c:pt>
                <c:pt idx="357">
                  <c:v>1.2624</c:v>
                </c:pt>
                <c:pt idx="358">
                  <c:v>1.2574399999999999</c:v>
                </c:pt>
                <c:pt idx="359">
                  <c:v>1.2650399999999999</c:v>
                </c:pt>
                <c:pt idx="360">
                  <c:v>1.2589600000000001</c:v>
                </c:pt>
                <c:pt idx="361">
                  <c:v>1.2495699999999998</c:v>
                </c:pt>
                <c:pt idx="362">
                  <c:v>1.2363899999999999</c:v>
                </c:pt>
                <c:pt idx="363">
                  <c:v>1.2572300000000001</c:v>
                </c:pt>
                <c:pt idx="364">
                  <c:v>1.27298</c:v>
                </c:pt>
                <c:pt idx="365">
                  <c:v>1.2469600000000001</c:v>
                </c:pt>
                <c:pt idx="366">
                  <c:v>1.2008700000000001</c:v>
                </c:pt>
                <c:pt idx="367">
                  <c:v>1.20512</c:v>
                </c:pt>
                <c:pt idx="368">
                  <c:v>1.20512</c:v>
                </c:pt>
                <c:pt idx="369">
                  <c:v>1.2011100000000001</c:v>
                </c:pt>
                <c:pt idx="370">
                  <c:v>1.2141999999999999</c:v>
                </c:pt>
                <c:pt idx="371">
                  <c:v>1.1854</c:v>
                </c:pt>
                <c:pt idx="372">
                  <c:v>1.24499</c:v>
                </c:pt>
                <c:pt idx="373">
                  <c:v>1.2045300000000001</c:v>
                </c:pt>
                <c:pt idx="374">
                  <c:v>1.1998</c:v>
                </c:pt>
                <c:pt idx="375">
                  <c:v>1.18367</c:v>
                </c:pt>
                <c:pt idx="376">
                  <c:v>1.2062600000000001</c:v>
                </c:pt>
                <c:pt idx="377">
                  <c:v>1.1548</c:v>
                </c:pt>
                <c:pt idx="378">
                  <c:v>1.1286100000000001</c:v>
                </c:pt>
                <c:pt idx="379">
                  <c:v>1.12259</c:v>
                </c:pt>
                <c:pt idx="380">
                  <c:v>1.12748</c:v>
                </c:pt>
                <c:pt idx="381">
                  <c:v>1.0875300000000001</c:v>
                </c:pt>
                <c:pt idx="382">
                  <c:v>1.07568</c:v>
                </c:pt>
                <c:pt idx="383">
                  <c:v>1.0607800000000001</c:v>
                </c:pt>
                <c:pt idx="384">
                  <c:v>1.0845799999999999</c:v>
                </c:pt>
                <c:pt idx="385">
                  <c:v>1.0633699999999999</c:v>
                </c:pt>
                <c:pt idx="386">
                  <c:v>1.0493899999999998</c:v>
                </c:pt>
                <c:pt idx="387">
                  <c:v>1.0417799999999999</c:v>
                </c:pt>
                <c:pt idx="388">
                  <c:v>1.0695000000000001</c:v>
                </c:pt>
                <c:pt idx="389">
                  <c:v>1.06125</c:v>
                </c:pt>
                <c:pt idx="390">
                  <c:v>1.08432</c:v>
                </c:pt>
                <c:pt idx="391">
                  <c:v>1.06175</c:v>
                </c:pt>
                <c:pt idx="392">
                  <c:v>1.0947499999999999</c:v>
                </c:pt>
                <c:pt idx="393">
                  <c:v>1.0947499999999999</c:v>
                </c:pt>
                <c:pt idx="394">
                  <c:v>1.1517200000000001</c:v>
                </c:pt>
                <c:pt idx="395">
                  <c:v>1.16029</c:v>
                </c:pt>
                <c:pt idx="396">
                  <c:v>1.1771500000000001</c:v>
                </c:pt>
                <c:pt idx="397">
                  <c:v>1.12683</c:v>
                </c:pt>
                <c:pt idx="398">
                  <c:v>1.1277200000000001</c:v>
                </c:pt>
                <c:pt idx="399">
                  <c:v>1.0773000000000001</c:v>
                </c:pt>
                <c:pt idx="400">
                  <c:v>1.1153199999999999</c:v>
                </c:pt>
                <c:pt idx="401">
                  <c:v>1.1262999999999999</c:v>
                </c:pt>
                <c:pt idx="402">
                  <c:v>1.1306399999999999</c:v>
                </c:pt>
                <c:pt idx="403">
                  <c:v>1.20624</c:v>
                </c:pt>
                <c:pt idx="404">
                  <c:v>1.1849499999999999</c:v>
                </c:pt>
                <c:pt idx="405">
                  <c:v>1.13375</c:v>
                </c:pt>
                <c:pt idx="406">
                  <c:v>1.13879</c:v>
                </c:pt>
                <c:pt idx="407">
                  <c:v>1.14263</c:v>
                </c:pt>
                <c:pt idx="408">
                  <c:v>1.1327700000000001</c:v>
                </c:pt>
                <c:pt idx="409">
                  <c:v>1.15333</c:v>
                </c:pt>
                <c:pt idx="410">
                  <c:v>1.1506999999999998</c:v>
                </c:pt>
                <c:pt idx="411">
                  <c:v>1.1145099999999999</c:v>
                </c:pt>
                <c:pt idx="412">
                  <c:v>1.1494599999999999</c:v>
                </c:pt>
                <c:pt idx="413">
                  <c:v>1.1637600000000001</c:v>
                </c:pt>
                <c:pt idx="414">
                  <c:v>1.1698500000000001</c:v>
                </c:pt>
                <c:pt idx="415">
                  <c:v>1.1140699999999999</c:v>
                </c:pt>
                <c:pt idx="416">
                  <c:v>1.0677099999999999</c:v>
                </c:pt>
                <c:pt idx="417">
                  <c:v>1.0387</c:v>
                </c:pt>
                <c:pt idx="418">
                  <c:v>1.03606</c:v>
                </c:pt>
                <c:pt idx="419">
                  <c:v>0.99513000000000007</c:v>
                </c:pt>
                <c:pt idx="420">
                  <c:v>1.0264199999999999</c:v>
                </c:pt>
                <c:pt idx="421">
                  <c:v>1.00543</c:v>
                </c:pt>
                <c:pt idx="422">
                  <c:v>1.0862000000000001</c:v>
                </c:pt>
                <c:pt idx="423">
                  <c:v>1.0851500000000001</c:v>
                </c:pt>
                <c:pt idx="424">
                  <c:v>1.08874</c:v>
                </c:pt>
                <c:pt idx="425">
                  <c:v>1.0738300000000001</c:v>
                </c:pt>
                <c:pt idx="426">
                  <c:v>1.08568</c:v>
                </c:pt>
                <c:pt idx="427">
                  <c:v>1.0687</c:v>
                </c:pt>
                <c:pt idx="428">
                  <c:v>1.07613</c:v>
                </c:pt>
                <c:pt idx="429">
                  <c:v>1.07653</c:v>
                </c:pt>
                <c:pt idx="430">
                  <c:v>1.05291</c:v>
                </c:pt>
                <c:pt idx="431">
                  <c:v>1.0390999999999999</c:v>
                </c:pt>
                <c:pt idx="432">
                  <c:v>1.10572</c:v>
                </c:pt>
                <c:pt idx="433">
                  <c:v>1.1116200000000001</c:v>
                </c:pt>
                <c:pt idx="434">
                  <c:v>1.12703</c:v>
                </c:pt>
                <c:pt idx="435">
                  <c:v>1.12029</c:v>
                </c:pt>
                <c:pt idx="436">
                  <c:v>1.10829</c:v>
                </c:pt>
                <c:pt idx="437">
                  <c:v>1.1137900000000001</c:v>
                </c:pt>
                <c:pt idx="438">
                  <c:v>1.1137900000000001</c:v>
                </c:pt>
                <c:pt idx="439">
                  <c:v>1.10229</c:v>
                </c:pt>
                <c:pt idx="440">
                  <c:v>1.09924</c:v>
                </c:pt>
                <c:pt idx="441">
                  <c:v>1.1032299999999999</c:v>
                </c:pt>
                <c:pt idx="442">
                  <c:v>1.08955</c:v>
                </c:pt>
                <c:pt idx="443">
                  <c:v>1.09395</c:v>
                </c:pt>
                <c:pt idx="444">
                  <c:v>1.09307</c:v>
                </c:pt>
                <c:pt idx="445">
                  <c:v>1.0783499999999999</c:v>
                </c:pt>
                <c:pt idx="446">
                  <c:v>1.0547599999999999</c:v>
                </c:pt>
                <c:pt idx="447">
                  <c:v>1.0379099999999999</c:v>
                </c:pt>
                <c:pt idx="448">
                  <c:v>1.1004800000000001</c:v>
                </c:pt>
                <c:pt idx="449">
                  <c:v>1.0722799999999999</c:v>
                </c:pt>
                <c:pt idx="450">
                  <c:v>1.0451300000000001</c:v>
                </c:pt>
                <c:pt idx="451">
                  <c:v>0.98246</c:v>
                </c:pt>
                <c:pt idx="452">
                  <c:v>1.02335</c:v>
                </c:pt>
                <c:pt idx="453">
                  <c:v>1.03556</c:v>
                </c:pt>
                <c:pt idx="454">
                  <c:v>1.0609500000000001</c:v>
                </c:pt>
                <c:pt idx="455">
                  <c:v>1.07283</c:v>
                </c:pt>
                <c:pt idx="456">
                  <c:v>1.0944</c:v>
                </c:pt>
                <c:pt idx="457">
                  <c:v>1.14002</c:v>
                </c:pt>
                <c:pt idx="458">
                  <c:v>1.16754</c:v>
                </c:pt>
                <c:pt idx="459">
                  <c:v>1.1671400000000001</c:v>
                </c:pt>
                <c:pt idx="460">
                  <c:v>1.18258</c:v>
                </c:pt>
                <c:pt idx="461">
                  <c:v>1.12222</c:v>
                </c:pt>
                <c:pt idx="462">
                  <c:v>1.0871999999999999</c:v>
                </c:pt>
                <c:pt idx="463">
                  <c:v>1.0871999999999999</c:v>
                </c:pt>
                <c:pt idx="464">
                  <c:v>1.0607500000000001</c:v>
                </c:pt>
                <c:pt idx="465">
                  <c:v>1.0401800000000001</c:v>
                </c:pt>
                <c:pt idx="466">
                  <c:v>1.0281</c:v>
                </c:pt>
                <c:pt idx="467">
                  <c:v>0.98638999999999999</c:v>
                </c:pt>
                <c:pt idx="468">
                  <c:v>0.97058999999999995</c:v>
                </c:pt>
                <c:pt idx="469">
                  <c:v>0.98382000000000003</c:v>
                </c:pt>
                <c:pt idx="470">
                  <c:v>0.97671999999999992</c:v>
                </c:pt>
                <c:pt idx="471">
                  <c:v>0.92474999999999996</c:v>
                </c:pt>
                <c:pt idx="472">
                  <c:v>0.94613000000000003</c:v>
                </c:pt>
                <c:pt idx="473">
                  <c:v>0.9670399999999999</c:v>
                </c:pt>
                <c:pt idx="474">
                  <c:v>0.95597999999999994</c:v>
                </c:pt>
                <c:pt idx="475">
                  <c:v>0.96061000000000007</c:v>
                </c:pt>
                <c:pt idx="476">
                  <c:v>0.98794999999999999</c:v>
                </c:pt>
                <c:pt idx="477">
                  <c:v>0.96066999999999991</c:v>
                </c:pt>
                <c:pt idx="478">
                  <c:v>0.97992000000000001</c:v>
                </c:pt>
                <c:pt idx="479">
                  <c:v>0.99060000000000004</c:v>
                </c:pt>
                <c:pt idx="480">
                  <c:v>0.92787000000000008</c:v>
                </c:pt>
                <c:pt idx="481">
                  <c:v>0.99302000000000001</c:v>
                </c:pt>
                <c:pt idx="482">
                  <c:v>1.01427</c:v>
                </c:pt>
                <c:pt idx="483">
                  <c:v>0.97384000000000004</c:v>
                </c:pt>
                <c:pt idx="484">
                  <c:v>0.99273</c:v>
                </c:pt>
                <c:pt idx="485">
                  <c:v>0.89894999999999992</c:v>
                </c:pt>
                <c:pt idx="486">
                  <c:v>0.89894999999999992</c:v>
                </c:pt>
                <c:pt idx="487">
                  <c:v>0.93869000000000002</c:v>
                </c:pt>
                <c:pt idx="488">
                  <c:v>1.0182599999999999</c:v>
                </c:pt>
                <c:pt idx="489">
                  <c:v>1.0843400000000001</c:v>
                </c:pt>
                <c:pt idx="490">
                  <c:v>1.1310200000000001</c:v>
                </c:pt>
                <c:pt idx="491">
                  <c:v>1.1161400000000001</c:v>
                </c:pt>
                <c:pt idx="492">
                  <c:v>1.1540900000000001</c:v>
                </c:pt>
                <c:pt idx="493">
                  <c:v>1.16059</c:v>
                </c:pt>
                <c:pt idx="494">
                  <c:v>1.26413</c:v>
                </c:pt>
                <c:pt idx="495">
                  <c:v>1.2544599999999999</c:v>
                </c:pt>
                <c:pt idx="496">
                  <c:v>1.2544599999999999</c:v>
                </c:pt>
                <c:pt idx="497">
                  <c:v>1.4303800000000002</c:v>
                </c:pt>
                <c:pt idx="498">
                  <c:v>1.4431700000000001</c:v>
                </c:pt>
                <c:pt idx="499">
                  <c:v>1.35629</c:v>
                </c:pt>
                <c:pt idx="500">
                  <c:v>1.3125100000000001</c:v>
                </c:pt>
                <c:pt idx="501">
                  <c:v>1.2776099999999999</c:v>
                </c:pt>
                <c:pt idx="502">
                  <c:v>1.3005699999999998</c:v>
                </c:pt>
                <c:pt idx="503">
                  <c:v>1.2480200000000001</c:v>
                </c:pt>
                <c:pt idx="504">
                  <c:v>1.2634399999999999</c:v>
                </c:pt>
                <c:pt idx="505">
                  <c:v>1.2371799999999999</c:v>
                </c:pt>
                <c:pt idx="506">
                  <c:v>1.2899</c:v>
                </c:pt>
                <c:pt idx="507">
                  <c:v>1.3300999999999998</c:v>
                </c:pt>
                <c:pt idx="508">
                  <c:v>1.3378700000000001</c:v>
                </c:pt>
                <c:pt idx="509">
                  <c:v>1.3221499999999999</c:v>
                </c:pt>
                <c:pt idx="510">
                  <c:v>1.3263100000000001</c:v>
                </c:pt>
                <c:pt idx="511">
                  <c:v>1.40465</c:v>
                </c:pt>
                <c:pt idx="512">
                  <c:v>1.4477099999999998</c:v>
                </c:pt>
                <c:pt idx="513">
                  <c:v>1.4712100000000001</c:v>
                </c:pt>
                <c:pt idx="514">
                  <c:v>1.4431100000000001</c:v>
                </c:pt>
                <c:pt idx="515">
                  <c:v>1.4347099999999999</c:v>
                </c:pt>
                <c:pt idx="516">
                  <c:v>1.39954</c:v>
                </c:pt>
                <c:pt idx="517">
                  <c:v>1.39954</c:v>
                </c:pt>
                <c:pt idx="518">
                  <c:v>1.3857200000000001</c:v>
                </c:pt>
                <c:pt idx="519">
                  <c:v>1.40035</c:v>
                </c:pt>
                <c:pt idx="520">
                  <c:v>1.3789699999999998</c:v>
                </c:pt>
                <c:pt idx="521">
                  <c:v>1.3867799999999999</c:v>
                </c:pt>
                <c:pt idx="522">
                  <c:v>1.3853599999999999</c:v>
                </c:pt>
                <c:pt idx="523">
                  <c:v>1.33307</c:v>
                </c:pt>
                <c:pt idx="524">
                  <c:v>1.35886</c:v>
                </c:pt>
                <c:pt idx="525">
                  <c:v>1.3296399999999999</c:v>
                </c:pt>
                <c:pt idx="526">
                  <c:v>1.3687200000000002</c:v>
                </c:pt>
                <c:pt idx="527">
                  <c:v>1.3764799999999999</c:v>
                </c:pt>
                <c:pt idx="528">
                  <c:v>1.3892800000000001</c:v>
                </c:pt>
                <c:pt idx="529">
                  <c:v>1.4071899999999999</c:v>
                </c:pt>
                <c:pt idx="530">
                  <c:v>1.42821</c:v>
                </c:pt>
                <c:pt idx="531">
                  <c:v>1.8472599999999999</c:v>
                </c:pt>
                <c:pt idx="532">
                  <c:v>1.9639800000000001</c:v>
                </c:pt>
                <c:pt idx="533">
                  <c:v>1.9639800000000001</c:v>
                </c:pt>
                <c:pt idx="534">
                  <c:v>2.2030000000000003</c:v>
                </c:pt>
                <c:pt idx="535">
                  <c:v>2.12283</c:v>
                </c:pt>
                <c:pt idx="536">
                  <c:v>2.4262700000000001</c:v>
                </c:pt>
                <c:pt idx="537">
                  <c:v>2.4251900000000002</c:v>
                </c:pt>
                <c:pt idx="538">
                  <c:v>2.9546300000000003</c:v>
                </c:pt>
                <c:pt idx="539">
                  <c:v>2.9951100000000004</c:v>
                </c:pt>
                <c:pt idx="540">
                  <c:v>2.9184399999999999</c:v>
                </c:pt>
                <c:pt idx="541">
                  <c:v>2.5604899999999997</c:v>
                </c:pt>
                <c:pt idx="542">
                  <c:v>2.6343700000000001</c:v>
                </c:pt>
                <c:pt idx="543">
                  <c:v>2.6248399999999998</c:v>
                </c:pt>
                <c:pt idx="544">
                  <c:v>2.5615699999999997</c:v>
                </c:pt>
                <c:pt idx="545">
                  <c:v>2.40029</c:v>
                </c:pt>
                <c:pt idx="546">
                  <c:v>2.3272999999999997</c:v>
                </c:pt>
                <c:pt idx="547">
                  <c:v>2.1916099999999998</c:v>
                </c:pt>
                <c:pt idx="548">
                  <c:v>2.1896</c:v>
                </c:pt>
                <c:pt idx="549">
                  <c:v>2.1207699999999998</c:v>
                </c:pt>
                <c:pt idx="550">
                  <c:v>1.93065</c:v>
                </c:pt>
                <c:pt idx="551">
                  <c:v>1.8392500000000001</c:v>
                </c:pt>
                <c:pt idx="552">
                  <c:v>2.0364100000000001</c:v>
                </c:pt>
                <c:pt idx="553">
                  <c:v>2.5050399999999997</c:v>
                </c:pt>
                <c:pt idx="554">
                  <c:v>2.1597499999999998</c:v>
                </c:pt>
                <c:pt idx="555">
                  <c:v>2.1068899999999999</c:v>
                </c:pt>
                <c:pt idx="556">
                  <c:v>2.4482200000000001</c:v>
                </c:pt>
                <c:pt idx="557">
                  <c:v>2.7140199999999997</c:v>
                </c:pt>
                <c:pt idx="558">
                  <c:v>2.7140199999999997</c:v>
                </c:pt>
                <c:pt idx="559">
                  <c:v>3.7783499999999997</c:v>
                </c:pt>
                <c:pt idx="560">
                  <c:v>5.1755399999999998</c:v>
                </c:pt>
                <c:pt idx="561">
                  <c:v>14.89709</c:v>
                </c:pt>
                <c:pt idx="562">
                  <c:v>8.29392</c:v>
                </c:pt>
                <c:pt idx="563">
                  <c:v>25.841889999999999</c:v>
                </c:pt>
                <c:pt idx="564">
                  <c:v>49.408590000000004</c:v>
                </c:pt>
                <c:pt idx="565">
                  <c:v>49.408590000000004</c:v>
                </c:pt>
                <c:pt idx="566">
                  <c:v>49.408590000000004</c:v>
                </c:pt>
                <c:pt idx="567">
                  <c:v>49.408590000000004</c:v>
                </c:pt>
                <c:pt idx="568">
                  <c:v>49.408590000000004</c:v>
                </c:pt>
                <c:pt idx="569">
                  <c:v>49.408590000000004</c:v>
                </c:pt>
                <c:pt idx="570">
                  <c:v>49.408590000000004</c:v>
                </c:pt>
                <c:pt idx="571">
                  <c:v>49.408590000000004</c:v>
                </c:pt>
                <c:pt idx="572">
                  <c:v>49.408590000000004</c:v>
                </c:pt>
                <c:pt idx="573">
                  <c:v>49.408590000000004</c:v>
                </c:pt>
                <c:pt idx="574">
                  <c:v>49.408590000000004</c:v>
                </c:pt>
                <c:pt idx="575">
                  <c:v>49.408590000000004</c:v>
                </c:pt>
                <c:pt idx="576">
                  <c:v>49.408590000000004</c:v>
                </c:pt>
                <c:pt idx="577">
                  <c:v>49.408590000000004</c:v>
                </c:pt>
                <c:pt idx="578">
                  <c:v>49.408590000000004</c:v>
                </c:pt>
                <c:pt idx="579">
                  <c:v>49.408590000000004</c:v>
                </c:pt>
                <c:pt idx="580">
                  <c:v>52.77084</c:v>
                </c:pt>
                <c:pt idx="581">
                  <c:v>57.705240000000003</c:v>
                </c:pt>
                <c:pt idx="582">
                  <c:v>54.168869999999998</c:v>
                </c:pt>
                <c:pt idx="583">
                  <c:v>50.836189999999995</c:v>
                </c:pt>
                <c:pt idx="584">
                  <c:v>45.440249999999999</c:v>
                </c:pt>
                <c:pt idx="585">
                  <c:v>41.209660000000007</c:v>
                </c:pt>
                <c:pt idx="586">
                  <c:v>41.356880000000004</c:v>
                </c:pt>
                <c:pt idx="587">
                  <c:v>41.299900000000001</c:v>
                </c:pt>
                <c:pt idx="588">
                  <c:v>41.426279999999998</c:v>
                </c:pt>
                <c:pt idx="589">
                  <c:v>51.130860000000006</c:v>
                </c:pt>
                <c:pt idx="590">
                  <c:v>51.943370000000002</c:v>
                </c:pt>
                <c:pt idx="591">
                  <c:v>53.725680000000004</c:v>
                </c:pt>
                <c:pt idx="592">
                  <c:v>52.964300000000001</c:v>
                </c:pt>
                <c:pt idx="593">
                  <c:v>51.899949999999997</c:v>
                </c:pt>
                <c:pt idx="594">
                  <c:v>51.024210000000004</c:v>
                </c:pt>
                <c:pt idx="595">
                  <c:v>51.210410000000003</c:v>
                </c:pt>
                <c:pt idx="596">
                  <c:v>50.812690000000003</c:v>
                </c:pt>
                <c:pt idx="597">
                  <c:v>50.785870000000003</c:v>
                </c:pt>
                <c:pt idx="598">
                  <c:v>50.82009</c:v>
                </c:pt>
                <c:pt idx="599">
                  <c:v>50.924469999999999</c:v>
                </c:pt>
                <c:pt idx="600">
                  <c:v>50.93947</c:v>
                </c:pt>
                <c:pt idx="601">
                  <c:v>50.867389999999993</c:v>
                </c:pt>
                <c:pt idx="602">
                  <c:v>51.077439999999996</c:v>
                </c:pt>
                <c:pt idx="603">
                  <c:v>50.826419999999999</c:v>
                </c:pt>
                <c:pt idx="604">
                  <c:v>53.356110000000001</c:v>
                </c:pt>
                <c:pt idx="605">
                  <c:v>54.032259999999994</c:v>
                </c:pt>
                <c:pt idx="606">
                  <c:v>53.457709999999999</c:v>
                </c:pt>
                <c:pt idx="607">
                  <c:v>44.357799999999997</c:v>
                </c:pt>
                <c:pt idx="608">
                  <c:v>44.373469999999998</c:v>
                </c:pt>
                <c:pt idx="609">
                  <c:v>41.79457</c:v>
                </c:pt>
                <c:pt idx="610">
                  <c:v>43.692740000000001</c:v>
                </c:pt>
                <c:pt idx="611">
                  <c:v>42.583269999999999</c:v>
                </c:pt>
                <c:pt idx="612">
                  <c:v>40.007460000000002</c:v>
                </c:pt>
                <c:pt idx="613">
                  <c:v>42.69135</c:v>
                </c:pt>
                <c:pt idx="614">
                  <c:v>40.901479999999999</c:v>
                </c:pt>
                <c:pt idx="615">
                  <c:v>43.279949999999999</c:v>
                </c:pt>
                <c:pt idx="616">
                  <c:v>44.362989999999996</c:v>
                </c:pt>
                <c:pt idx="617">
                  <c:v>44.699109999999997</c:v>
                </c:pt>
                <c:pt idx="618">
                  <c:v>45.218469999999996</c:v>
                </c:pt>
                <c:pt idx="619">
                  <c:v>46.703069999999997</c:v>
                </c:pt>
                <c:pt idx="620">
                  <c:v>61.544759999999997</c:v>
                </c:pt>
                <c:pt idx="621">
                  <c:v>61.066220000000001</c:v>
                </c:pt>
                <c:pt idx="622">
                  <c:v>61.349799999999995</c:v>
                </c:pt>
                <c:pt idx="623">
                  <c:v>58.664369999999998</c:v>
                </c:pt>
                <c:pt idx="624">
                  <c:v>58.678059999999995</c:v>
                </c:pt>
                <c:pt idx="625">
                  <c:v>60.066560000000003</c:v>
                </c:pt>
                <c:pt idx="626">
                  <c:v>60.197189999999999</c:v>
                </c:pt>
                <c:pt idx="627">
                  <c:v>58.972490000000001</c:v>
                </c:pt>
                <c:pt idx="628">
                  <c:v>57.312039999999996</c:v>
                </c:pt>
                <c:pt idx="629">
                  <c:v>59.15063</c:v>
                </c:pt>
                <c:pt idx="630">
                  <c:v>58.207540000000002</c:v>
                </c:pt>
                <c:pt idx="631">
                  <c:v>57.919340000000005</c:v>
                </c:pt>
                <c:pt idx="632">
                  <c:v>57.977349999999994</c:v>
                </c:pt>
                <c:pt idx="633">
                  <c:v>58.297619999999995</c:v>
                </c:pt>
                <c:pt idx="634">
                  <c:v>57.851779999999998</c:v>
                </c:pt>
                <c:pt idx="635">
                  <c:v>58.408519999999996</c:v>
                </c:pt>
                <c:pt idx="636">
                  <c:v>59.197369999999999</c:v>
                </c:pt>
                <c:pt idx="637">
                  <c:v>59.550620000000002</c:v>
                </c:pt>
                <c:pt idx="638">
                  <c:v>59.284109999999998</c:v>
                </c:pt>
                <c:pt idx="639">
                  <c:v>59.321599999999997</c:v>
                </c:pt>
                <c:pt idx="640">
                  <c:v>59.681440000000002</c:v>
                </c:pt>
                <c:pt idx="641">
                  <c:v>59.43524</c:v>
                </c:pt>
                <c:pt idx="642">
                  <c:v>58.691879999999998</c:v>
                </c:pt>
                <c:pt idx="643">
                  <c:v>58.790280000000003</c:v>
                </c:pt>
                <c:pt idx="644">
                  <c:v>58.544160000000005</c:v>
                </c:pt>
                <c:pt idx="645">
                  <c:v>58.298100000000005</c:v>
                </c:pt>
                <c:pt idx="646">
                  <c:v>58.88026</c:v>
                </c:pt>
                <c:pt idx="647">
                  <c:v>58.876159999999999</c:v>
                </c:pt>
                <c:pt idx="648">
                  <c:v>58.783000000000001</c:v>
                </c:pt>
                <c:pt idx="649">
                  <c:v>55.326369999999997</c:v>
                </c:pt>
                <c:pt idx="650">
                  <c:v>55.586260000000003</c:v>
                </c:pt>
                <c:pt idx="651">
                  <c:v>44.12688</c:v>
                </c:pt>
                <c:pt idx="652">
                  <c:v>48.51961</c:v>
                </c:pt>
                <c:pt idx="653">
                  <c:v>48.699219999999997</c:v>
                </c:pt>
                <c:pt idx="654">
                  <c:v>48.748360000000005</c:v>
                </c:pt>
                <c:pt idx="655">
                  <c:v>47.306459999999994</c:v>
                </c:pt>
                <c:pt idx="656">
                  <c:v>47.346170000000001</c:v>
                </c:pt>
                <c:pt idx="657">
                  <c:v>40.607080000000003</c:v>
                </c:pt>
                <c:pt idx="658">
                  <c:v>40.500329999999998</c:v>
                </c:pt>
                <c:pt idx="659">
                  <c:v>40.386809999999997</c:v>
                </c:pt>
                <c:pt idx="660">
                  <c:v>40.385849999999998</c:v>
                </c:pt>
                <c:pt idx="661">
                  <c:v>40.478180000000002</c:v>
                </c:pt>
                <c:pt idx="662">
                  <c:v>40.493739999999995</c:v>
                </c:pt>
                <c:pt idx="663">
                  <c:v>37.300510000000003</c:v>
                </c:pt>
                <c:pt idx="664">
                  <c:v>36.968679999999999</c:v>
                </c:pt>
                <c:pt idx="665">
                  <c:v>35.519149999999996</c:v>
                </c:pt>
                <c:pt idx="666">
                  <c:v>34.950620000000001</c:v>
                </c:pt>
                <c:pt idx="667">
                  <c:v>33.195369999999997</c:v>
                </c:pt>
                <c:pt idx="668">
                  <c:v>33.381689999999999</c:v>
                </c:pt>
                <c:pt idx="669">
                  <c:v>30.411149999999999</c:v>
                </c:pt>
                <c:pt idx="670">
                  <c:v>29.824270000000002</c:v>
                </c:pt>
                <c:pt idx="671">
                  <c:v>29.565160000000002</c:v>
                </c:pt>
                <c:pt idx="672">
                  <c:v>29.681799999999999</c:v>
                </c:pt>
                <c:pt idx="673">
                  <c:v>29.42474</c:v>
                </c:pt>
                <c:pt idx="674">
                  <c:v>29.157440000000001</c:v>
                </c:pt>
                <c:pt idx="675">
                  <c:v>29.233270000000001</c:v>
                </c:pt>
                <c:pt idx="676">
                  <c:v>27.36739</c:v>
                </c:pt>
                <c:pt idx="677">
                  <c:v>25.87182</c:v>
                </c:pt>
                <c:pt idx="678">
                  <c:v>25.834499999999998</c:v>
                </c:pt>
                <c:pt idx="679">
                  <c:v>25.74774</c:v>
                </c:pt>
                <c:pt idx="680">
                  <c:v>25.79523</c:v>
                </c:pt>
                <c:pt idx="681">
                  <c:v>25.076280000000001</c:v>
                </c:pt>
                <c:pt idx="682">
                  <c:v>25.016599999999997</c:v>
                </c:pt>
                <c:pt idx="683">
                  <c:v>24.72766</c:v>
                </c:pt>
                <c:pt idx="684">
                  <c:v>26.178649999999998</c:v>
                </c:pt>
                <c:pt idx="685">
                  <c:v>26.1035</c:v>
                </c:pt>
                <c:pt idx="686">
                  <c:v>25.27431</c:v>
                </c:pt>
                <c:pt idx="687">
                  <c:v>26.277370000000001</c:v>
                </c:pt>
                <c:pt idx="688">
                  <c:v>25.99408</c:v>
                </c:pt>
                <c:pt idx="689">
                  <c:v>25.44022</c:v>
                </c:pt>
                <c:pt idx="690">
                  <c:v>25.707420000000003</c:v>
                </c:pt>
                <c:pt idx="691">
                  <c:v>25.088789999999999</c:v>
                </c:pt>
                <c:pt idx="692">
                  <c:v>24.829259999999998</c:v>
                </c:pt>
                <c:pt idx="693">
                  <c:v>24.705839999999998</c:v>
                </c:pt>
                <c:pt idx="694">
                  <c:v>25.110720000000001</c:v>
                </c:pt>
                <c:pt idx="695">
                  <c:v>24.608690000000003</c:v>
                </c:pt>
                <c:pt idx="696">
                  <c:v>24.704989999999999</c:v>
                </c:pt>
                <c:pt idx="697">
                  <c:v>25.47317</c:v>
                </c:pt>
                <c:pt idx="698">
                  <c:v>25.495140000000003</c:v>
                </c:pt>
                <c:pt idx="699">
                  <c:v>25.401579999999999</c:v>
                </c:pt>
                <c:pt idx="700">
                  <c:v>25.78755</c:v>
                </c:pt>
                <c:pt idx="701">
                  <c:v>22.944659999999999</c:v>
                </c:pt>
                <c:pt idx="702">
                  <c:v>22.718249999999998</c:v>
                </c:pt>
                <c:pt idx="703">
                  <c:v>21.573829999999997</c:v>
                </c:pt>
                <c:pt idx="704">
                  <c:v>21.444569999999999</c:v>
                </c:pt>
                <c:pt idx="705">
                  <c:v>21.472510000000003</c:v>
                </c:pt>
                <c:pt idx="706">
                  <c:v>21.46566</c:v>
                </c:pt>
                <c:pt idx="707">
                  <c:v>21.488989999999998</c:v>
                </c:pt>
              </c:numCache>
            </c:numRef>
          </c:val>
          <c:smooth val="0"/>
          <c:extLst>
            <c:ext xmlns:c16="http://schemas.microsoft.com/office/drawing/2014/chart" uri="{C3380CC4-5D6E-409C-BE32-E72D297353CC}">
              <c16:uniqueId val="{00000001-F31E-4170-9322-6C48FF56580E}"/>
            </c:ext>
          </c:extLst>
        </c:ser>
        <c:ser>
          <c:idx val="3"/>
          <c:order val="3"/>
          <c:tx>
            <c:strRef>
              <c:f>Sheet1!$E$1</c:f>
              <c:strCache>
                <c:ptCount val="1"/>
                <c:pt idx="0">
                  <c:v>Հայաստան (2029թ.)</c:v>
                </c:pt>
              </c:strCache>
            </c:strRef>
          </c:tx>
          <c:spPr>
            <a:ln w="19050" cap="rnd">
              <a:solidFill>
                <a:srgbClr val="C00000"/>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Sheet1!$E$2:$E$971</c:f>
              <c:numCache>
                <c:formatCode>0</c:formatCode>
                <c:ptCount val="709"/>
                <c:pt idx="0">
                  <c:v>2.14879</c:v>
                </c:pt>
                <c:pt idx="1">
                  <c:v>2.17462</c:v>
                </c:pt>
                <c:pt idx="2">
                  <c:v>2.2796500000000002</c:v>
                </c:pt>
                <c:pt idx="3">
                  <c:v>2.3125599999999999</c:v>
                </c:pt>
                <c:pt idx="4">
                  <c:v>2.28478</c:v>
                </c:pt>
                <c:pt idx="5">
                  <c:v>2.2079800000000001</c:v>
                </c:pt>
                <c:pt idx="6">
                  <c:v>2.17014</c:v>
                </c:pt>
                <c:pt idx="7">
                  <c:v>2.1423000000000001</c:v>
                </c:pt>
                <c:pt idx="8">
                  <c:v>2.1438100000000002</c:v>
                </c:pt>
                <c:pt idx="9">
                  <c:v>2.11435</c:v>
                </c:pt>
                <c:pt idx="10">
                  <c:v>2.1318299999999999</c:v>
                </c:pt>
                <c:pt idx="11">
                  <c:v>2.0242</c:v>
                </c:pt>
                <c:pt idx="12">
                  <c:v>2.0536099999999999</c:v>
                </c:pt>
                <c:pt idx="13">
                  <c:v>2.0533099999999997</c:v>
                </c:pt>
                <c:pt idx="14">
                  <c:v>2.0872999999999999</c:v>
                </c:pt>
                <c:pt idx="15">
                  <c:v>2.1050599999999999</c:v>
                </c:pt>
                <c:pt idx="16">
                  <c:v>2.1387499999999999</c:v>
                </c:pt>
                <c:pt idx="17">
                  <c:v>2.1884899999999998</c:v>
                </c:pt>
                <c:pt idx="18">
                  <c:v>2.2852299999999999</c:v>
                </c:pt>
                <c:pt idx="19">
                  <c:v>2.23034</c:v>
                </c:pt>
                <c:pt idx="20">
                  <c:v>2.2744499999999999</c:v>
                </c:pt>
                <c:pt idx="21">
                  <c:v>2.3092699999999997</c:v>
                </c:pt>
                <c:pt idx="22">
                  <c:v>2.3218100000000002</c:v>
                </c:pt>
                <c:pt idx="23">
                  <c:v>2.3416000000000001</c:v>
                </c:pt>
                <c:pt idx="24">
                  <c:v>2.2835300000000003</c:v>
                </c:pt>
                <c:pt idx="25">
                  <c:v>2.2241200000000001</c:v>
                </c:pt>
                <c:pt idx="26">
                  <c:v>2.1983899999999998</c:v>
                </c:pt>
                <c:pt idx="27">
                  <c:v>2.25813</c:v>
                </c:pt>
                <c:pt idx="28">
                  <c:v>2.2837200000000002</c:v>
                </c:pt>
                <c:pt idx="29">
                  <c:v>2.2543199999999999</c:v>
                </c:pt>
                <c:pt idx="30">
                  <c:v>2.21658</c:v>
                </c:pt>
                <c:pt idx="31">
                  <c:v>2.2236899999999999</c:v>
                </c:pt>
                <c:pt idx="32">
                  <c:v>2.2156000000000002</c:v>
                </c:pt>
                <c:pt idx="33">
                  <c:v>2.2041900000000001</c:v>
                </c:pt>
                <c:pt idx="34">
                  <c:v>2.2266300000000001</c:v>
                </c:pt>
                <c:pt idx="35">
                  <c:v>2.2074100000000003</c:v>
                </c:pt>
                <c:pt idx="36">
                  <c:v>2.2519200000000001</c:v>
                </c:pt>
                <c:pt idx="37">
                  <c:v>2.30186</c:v>
                </c:pt>
                <c:pt idx="38">
                  <c:v>2.3882699999999999</c:v>
                </c:pt>
                <c:pt idx="39">
                  <c:v>2.4224399999999999</c:v>
                </c:pt>
                <c:pt idx="40">
                  <c:v>2.3886799999999999</c:v>
                </c:pt>
                <c:pt idx="41">
                  <c:v>2.5421499999999999</c:v>
                </c:pt>
                <c:pt idx="42">
                  <c:v>2.86191</c:v>
                </c:pt>
                <c:pt idx="43">
                  <c:v>2.7976200000000002</c:v>
                </c:pt>
                <c:pt idx="44">
                  <c:v>2.6807400000000001</c:v>
                </c:pt>
                <c:pt idx="45">
                  <c:v>2.71387</c:v>
                </c:pt>
                <c:pt idx="46">
                  <c:v>2.7577499999999997</c:v>
                </c:pt>
                <c:pt idx="47">
                  <c:v>2.91065</c:v>
                </c:pt>
                <c:pt idx="48">
                  <c:v>3.6856499999999999</c:v>
                </c:pt>
                <c:pt idx="49">
                  <c:v>3.5303399999999998</c:v>
                </c:pt>
                <c:pt idx="50">
                  <c:v>3.5012799999999999</c:v>
                </c:pt>
                <c:pt idx="51">
                  <c:v>3.9326499999999998</c:v>
                </c:pt>
                <c:pt idx="52">
                  <c:v>3.7544900000000001</c:v>
                </c:pt>
                <c:pt idx="53">
                  <c:v>4.0647699999999993</c:v>
                </c:pt>
                <c:pt idx="54">
                  <c:v>4.1602800000000002</c:v>
                </c:pt>
                <c:pt idx="55">
                  <c:v>4.7949099999999998</c:v>
                </c:pt>
                <c:pt idx="56">
                  <c:v>4.9957600000000006</c:v>
                </c:pt>
                <c:pt idx="57">
                  <c:v>5.13253</c:v>
                </c:pt>
                <c:pt idx="58">
                  <c:v>5.4236500000000003</c:v>
                </c:pt>
                <c:pt idx="59">
                  <c:v>5.4101700000000008</c:v>
                </c:pt>
                <c:pt idx="60">
                  <c:v>5.1973400000000005</c:v>
                </c:pt>
                <c:pt idx="61">
                  <c:v>4.8066699999999996</c:v>
                </c:pt>
                <c:pt idx="62">
                  <c:v>4.8538499999999996</c:v>
                </c:pt>
                <c:pt idx="63">
                  <c:v>4.9688299999999996</c:v>
                </c:pt>
                <c:pt idx="64">
                  <c:v>4.8330799999999998</c:v>
                </c:pt>
                <c:pt idx="65">
                  <c:v>4.7562299999999995</c:v>
                </c:pt>
                <c:pt idx="66">
                  <c:v>4.7888900000000003</c:v>
                </c:pt>
                <c:pt idx="67">
                  <c:v>4.6257600000000005</c:v>
                </c:pt>
                <c:pt idx="68">
                  <c:v>4.4705000000000004</c:v>
                </c:pt>
                <c:pt idx="69">
                  <c:v>4.4051100000000005</c:v>
                </c:pt>
                <c:pt idx="70">
                  <c:v>4.3835800000000003</c:v>
                </c:pt>
                <c:pt idx="71">
                  <c:v>4.2461900000000004</c:v>
                </c:pt>
                <c:pt idx="72">
                  <c:v>4.2461900000000004</c:v>
                </c:pt>
                <c:pt idx="73">
                  <c:v>4.2461900000000004</c:v>
                </c:pt>
                <c:pt idx="74">
                  <c:v>4.1292399999999994</c:v>
                </c:pt>
                <c:pt idx="75">
                  <c:v>4.2454499999999999</c:v>
                </c:pt>
                <c:pt idx="76">
                  <c:v>4.2790499999999998</c:v>
                </c:pt>
                <c:pt idx="77">
                  <c:v>4.1992000000000003</c:v>
                </c:pt>
                <c:pt idx="78">
                  <c:v>4.1808499999999995</c:v>
                </c:pt>
                <c:pt idx="79">
                  <c:v>4.2344400000000002</c:v>
                </c:pt>
                <c:pt idx="80">
                  <c:v>4.2790800000000004</c:v>
                </c:pt>
                <c:pt idx="81">
                  <c:v>4.2931699999999999</c:v>
                </c:pt>
                <c:pt idx="82">
                  <c:v>4.3017500000000002</c:v>
                </c:pt>
                <c:pt idx="83">
                  <c:v>4.2674200000000004</c:v>
                </c:pt>
                <c:pt idx="84">
                  <c:v>4.3052000000000001</c:v>
                </c:pt>
                <c:pt idx="85">
                  <c:v>4.3018000000000001</c:v>
                </c:pt>
                <c:pt idx="86">
                  <c:v>4.1924400000000004</c:v>
                </c:pt>
                <c:pt idx="87">
                  <c:v>4.2353300000000003</c:v>
                </c:pt>
                <c:pt idx="88">
                  <c:v>4.2440699999999998</c:v>
                </c:pt>
                <c:pt idx="89">
                  <c:v>3.9804599999999999</c:v>
                </c:pt>
                <c:pt idx="90">
                  <c:v>3.9141300000000001</c:v>
                </c:pt>
                <c:pt idx="91">
                  <c:v>4.0500099999999994</c:v>
                </c:pt>
                <c:pt idx="92">
                  <c:v>4.0500099999999994</c:v>
                </c:pt>
                <c:pt idx="93">
                  <c:v>3.7751600000000001</c:v>
                </c:pt>
                <c:pt idx="94">
                  <c:v>3.7976299999999998</c:v>
                </c:pt>
                <c:pt idx="95">
                  <c:v>3.7895299999999996</c:v>
                </c:pt>
                <c:pt idx="96">
                  <c:v>3.7705200000000003</c:v>
                </c:pt>
                <c:pt idx="97">
                  <c:v>3.7708400000000002</c:v>
                </c:pt>
                <c:pt idx="98">
                  <c:v>3.52895</c:v>
                </c:pt>
                <c:pt idx="99">
                  <c:v>3.4916699999999996</c:v>
                </c:pt>
                <c:pt idx="100">
                  <c:v>3.3862099999999997</c:v>
                </c:pt>
                <c:pt idx="101">
                  <c:v>3.3828399999999998</c:v>
                </c:pt>
                <c:pt idx="102">
                  <c:v>3.3611500000000003</c:v>
                </c:pt>
                <c:pt idx="103">
                  <c:v>3.3611500000000003</c:v>
                </c:pt>
                <c:pt idx="104">
                  <c:v>3.32056</c:v>
                </c:pt>
                <c:pt idx="105">
                  <c:v>3.3105900000000004</c:v>
                </c:pt>
                <c:pt idx="106">
                  <c:v>3.3016199999999998</c:v>
                </c:pt>
                <c:pt idx="107">
                  <c:v>3.3260199999999998</c:v>
                </c:pt>
                <c:pt idx="108">
                  <c:v>3.3185500000000001</c:v>
                </c:pt>
                <c:pt idx="109">
                  <c:v>3.3119799999999997</c:v>
                </c:pt>
                <c:pt idx="110">
                  <c:v>3.2496399999999999</c:v>
                </c:pt>
                <c:pt idx="111">
                  <c:v>3.21801</c:v>
                </c:pt>
                <c:pt idx="112">
                  <c:v>3.08623</c:v>
                </c:pt>
                <c:pt idx="113">
                  <c:v>3.1623700000000001</c:v>
                </c:pt>
                <c:pt idx="114">
                  <c:v>3.2072400000000001</c:v>
                </c:pt>
                <c:pt idx="115">
                  <c:v>3.2355099999999997</c:v>
                </c:pt>
                <c:pt idx="116">
                  <c:v>3.4680900000000001</c:v>
                </c:pt>
                <c:pt idx="117">
                  <c:v>3.4871699999999999</c:v>
                </c:pt>
                <c:pt idx="118">
                  <c:v>3.7717399999999999</c:v>
                </c:pt>
                <c:pt idx="119">
                  <c:v>3.6460899999999996</c:v>
                </c:pt>
                <c:pt idx="120">
                  <c:v>3.6988099999999999</c:v>
                </c:pt>
                <c:pt idx="121">
                  <c:v>3.7496800000000001</c:v>
                </c:pt>
                <c:pt idx="122">
                  <c:v>3.7315800000000001</c:v>
                </c:pt>
                <c:pt idx="123">
                  <c:v>3.7484100000000002</c:v>
                </c:pt>
                <c:pt idx="124">
                  <c:v>3.7228300000000001</c:v>
                </c:pt>
                <c:pt idx="125">
                  <c:v>3.72906</c:v>
                </c:pt>
                <c:pt idx="126">
                  <c:v>3.8231200000000003</c:v>
                </c:pt>
                <c:pt idx="127">
                  <c:v>3.8363499999999999</c:v>
                </c:pt>
                <c:pt idx="128">
                  <c:v>3.8613099999999996</c:v>
                </c:pt>
                <c:pt idx="129">
                  <c:v>3.8593299999999999</c:v>
                </c:pt>
                <c:pt idx="130">
                  <c:v>3.8213699999999999</c:v>
                </c:pt>
                <c:pt idx="131">
                  <c:v>3.6245400000000001</c:v>
                </c:pt>
                <c:pt idx="132">
                  <c:v>3.5112999999999999</c:v>
                </c:pt>
                <c:pt idx="133">
                  <c:v>3.5611999999999999</c:v>
                </c:pt>
                <c:pt idx="134">
                  <c:v>3.6230000000000002</c:v>
                </c:pt>
                <c:pt idx="135">
                  <c:v>3.6366100000000001</c:v>
                </c:pt>
                <c:pt idx="136">
                  <c:v>3.6107400000000003</c:v>
                </c:pt>
                <c:pt idx="137">
                  <c:v>3.6284899999999998</c:v>
                </c:pt>
                <c:pt idx="138">
                  <c:v>3.6326100000000001</c:v>
                </c:pt>
                <c:pt idx="139">
                  <c:v>3.6208200000000001</c:v>
                </c:pt>
                <c:pt idx="140">
                  <c:v>3.6221199999999998</c:v>
                </c:pt>
                <c:pt idx="141">
                  <c:v>3.6325799999999999</c:v>
                </c:pt>
                <c:pt idx="142">
                  <c:v>3.66343</c:v>
                </c:pt>
                <c:pt idx="143">
                  <c:v>3.6617200000000003</c:v>
                </c:pt>
                <c:pt idx="144">
                  <c:v>3.6234199999999999</c:v>
                </c:pt>
                <c:pt idx="145">
                  <c:v>3.5771300000000004</c:v>
                </c:pt>
                <c:pt idx="146">
                  <c:v>3.56806</c:v>
                </c:pt>
                <c:pt idx="147">
                  <c:v>3.5600900000000002</c:v>
                </c:pt>
                <c:pt idx="148">
                  <c:v>3.5403600000000002</c:v>
                </c:pt>
                <c:pt idx="149">
                  <c:v>3.5191699999999999</c:v>
                </c:pt>
                <c:pt idx="150">
                  <c:v>3.5195600000000002</c:v>
                </c:pt>
                <c:pt idx="151">
                  <c:v>3.5380399999999996</c:v>
                </c:pt>
                <c:pt idx="152">
                  <c:v>3.5313699999999999</c:v>
                </c:pt>
                <c:pt idx="153">
                  <c:v>3.5316199999999998</c:v>
                </c:pt>
                <c:pt idx="154">
                  <c:v>3.4472800000000001</c:v>
                </c:pt>
                <c:pt idx="155">
                  <c:v>3.3496600000000001</c:v>
                </c:pt>
                <c:pt idx="156">
                  <c:v>3.3302199999999997</c:v>
                </c:pt>
                <c:pt idx="157">
                  <c:v>3.29834</c:v>
                </c:pt>
                <c:pt idx="158">
                  <c:v>3.2496199999999997</c:v>
                </c:pt>
                <c:pt idx="159">
                  <c:v>3.1898</c:v>
                </c:pt>
                <c:pt idx="160">
                  <c:v>3.1698399999999998</c:v>
                </c:pt>
                <c:pt idx="161">
                  <c:v>3.1161500000000002</c:v>
                </c:pt>
                <c:pt idx="162">
                  <c:v>3.0716899999999998</c:v>
                </c:pt>
                <c:pt idx="163">
                  <c:v>3.1462300000000001</c:v>
                </c:pt>
                <c:pt idx="164">
                  <c:v>3.1390800000000003</c:v>
                </c:pt>
                <c:pt idx="165">
                  <c:v>3.1376499999999998</c:v>
                </c:pt>
                <c:pt idx="166">
                  <c:v>3.1591699999999996</c:v>
                </c:pt>
                <c:pt idx="167">
                  <c:v>3.15964</c:v>
                </c:pt>
                <c:pt idx="168">
                  <c:v>3.16038</c:v>
                </c:pt>
                <c:pt idx="169">
                  <c:v>3.0980799999999999</c:v>
                </c:pt>
                <c:pt idx="170">
                  <c:v>3.0943000000000001</c:v>
                </c:pt>
                <c:pt idx="171">
                  <c:v>2.9858699999999998</c:v>
                </c:pt>
                <c:pt idx="172">
                  <c:v>2.9922800000000001</c:v>
                </c:pt>
                <c:pt idx="173">
                  <c:v>2.9922800000000001</c:v>
                </c:pt>
                <c:pt idx="174">
                  <c:v>3.0419400000000003</c:v>
                </c:pt>
                <c:pt idx="175">
                  <c:v>3.0747500000000003</c:v>
                </c:pt>
                <c:pt idx="176">
                  <c:v>3.0803500000000001</c:v>
                </c:pt>
                <c:pt idx="177">
                  <c:v>3.0134300000000001</c:v>
                </c:pt>
                <c:pt idx="178">
                  <c:v>2.9701900000000001</c:v>
                </c:pt>
                <c:pt idx="179">
                  <c:v>3.0564299999999998</c:v>
                </c:pt>
                <c:pt idx="180">
                  <c:v>3.0262900000000004</c:v>
                </c:pt>
                <c:pt idx="181">
                  <c:v>3.0443099999999998</c:v>
                </c:pt>
                <c:pt idx="182">
                  <c:v>3.0667800000000001</c:v>
                </c:pt>
                <c:pt idx="183">
                  <c:v>3.0752199999999998</c:v>
                </c:pt>
                <c:pt idx="184">
                  <c:v>3.0552800000000002</c:v>
                </c:pt>
                <c:pt idx="185">
                  <c:v>3.0535600000000001</c:v>
                </c:pt>
                <c:pt idx="186">
                  <c:v>3.0538799999999999</c:v>
                </c:pt>
                <c:pt idx="187">
                  <c:v>3.02834</c:v>
                </c:pt>
                <c:pt idx="188">
                  <c:v>3.1154199999999999</c:v>
                </c:pt>
                <c:pt idx="189">
                  <c:v>3.1242800000000002</c:v>
                </c:pt>
                <c:pt idx="190">
                  <c:v>3.13849</c:v>
                </c:pt>
                <c:pt idx="191">
                  <c:v>3.2041899999999996</c:v>
                </c:pt>
                <c:pt idx="192">
                  <c:v>3.1896199999999997</c:v>
                </c:pt>
                <c:pt idx="193">
                  <c:v>3.7126299999999999</c:v>
                </c:pt>
                <c:pt idx="194">
                  <c:v>3.9213099999999996</c:v>
                </c:pt>
                <c:pt idx="195">
                  <c:v>3.6451799999999999</c:v>
                </c:pt>
                <c:pt idx="196">
                  <c:v>3.4714</c:v>
                </c:pt>
                <c:pt idx="197">
                  <c:v>3.3928400000000001</c:v>
                </c:pt>
                <c:pt idx="198">
                  <c:v>3.3456400000000004</c:v>
                </c:pt>
                <c:pt idx="199">
                  <c:v>3.3366000000000002</c:v>
                </c:pt>
                <c:pt idx="200">
                  <c:v>3.3575099999999996</c:v>
                </c:pt>
                <c:pt idx="201">
                  <c:v>3.3536299999999999</c:v>
                </c:pt>
                <c:pt idx="202">
                  <c:v>3.2927599999999999</c:v>
                </c:pt>
                <c:pt idx="203">
                  <c:v>3.2936200000000002</c:v>
                </c:pt>
                <c:pt idx="204">
                  <c:v>3.3267599999999997</c:v>
                </c:pt>
                <c:pt idx="205">
                  <c:v>3.4458800000000003</c:v>
                </c:pt>
                <c:pt idx="206">
                  <c:v>3.5888600000000004</c:v>
                </c:pt>
                <c:pt idx="207">
                  <c:v>3.5673700000000004</c:v>
                </c:pt>
                <c:pt idx="208">
                  <c:v>3.48969</c:v>
                </c:pt>
                <c:pt idx="209">
                  <c:v>3.4986099999999998</c:v>
                </c:pt>
                <c:pt idx="210">
                  <c:v>3.5101499999999999</c:v>
                </c:pt>
                <c:pt idx="211">
                  <c:v>3.5485700000000002</c:v>
                </c:pt>
                <c:pt idx="212">
                  <c:v>3.5536099999999999</c:v>
                </c:pt>
                <c:pt idx="213">
                  <c:v>3.6854899999999997</c:v>
                </c:pt>
                <c:pt idx="214">
                  <c:v>3.7522699999999998</c:v>
                </c:pt>
                <c:pt idx="215">
                  <c:v>3.8217899999999996</c:v>
                </c:pt>
                <c:pt idx="216">
                  <c:v>3.8881599999999996</c:v>
                </c:pt>
                <c:pt idx="217">
                  <c:v>3.8740800000000002</c:v>
                </c:pt>
                <c:pt idx="218">
                  <c:v>4.0236499999999999</c:v>
                </c:pt>
                <c:pt idx="219">
                  <c:v>3.9161200000000003</c:v>
                </c:pt>
                <c:pt idx="220">
                  <c:v>3.93899</c:v>
                </c:pt>
                <c:pt idx="221">
                  <c:v>3.8626400000000003</c:v>
                </c:pt>
                <c:pt idx="222">
                  <c:v>3.8547500000000001</c:v>
                </c:pt>
                <c:pt idx="223">
                  <c:v>3.6699599999999997</c:v>
                </c:pt>
                <c:pt idx="224">
                  <c:v>3.2979000000000003</c:v>
                </c:pt>
                <c:pt idx="225">
                  <c:v>3.2522800000000003</c:v>
                </c:pt>
                <c:pt idx="226">
                  <c:v>3.3900200000000003</c:v>
                </c:pt>
                <c:pt idx="227">
                  <c:v>3.3529500000000003</c:v>
                </c:pt>
                <c:pt idx="228">
                  <c:v>3.3780700000000001</c:v>
                </c:pt>
                <c:pt idx="229">
                  <c:v>3.4543599999999999</c:v>
                </c:pt>
                <c:pt idx="230">
                  <c:v>3.4683999999999999</c:v>
                </c:pt>
                <c:pt idx="231">
                  <c:v>3.51512</c:v>
                </c:pt>
                <c:pt idx="232">
                  <c:v>3.5804100000000001</c:v>
                </c:pt>
                <c:pt idx="233">
                  <c:v>3.5558800000000002</c:v>
                </c:pt>
                <c:pt idx="234">
                  <c:v>3.4860500000000001</c:v>
                </c:pt>
                <c:pt idx="235">
                  <c:v>3.42265</c:v>
                </c:pt>
                <c:pt idx="236">
                  <c:v>3.45669</c:v>
                </c:pt>
                <c:pt idx="237">
                  <c:v>3.5367200000000003</c:v>
                </c:pt>
                <c:pt idx="238">
                  <c:v>3.5433400000000002</c:v>
                </c:pt>
                <c:pt idx="239">
                  <c:v>3.4745499999999998</c:v>
                </c:pt>
                <c:pt idx="240">
                  <c:v>3.4599299999999999</c:v>
                </c:pt>
                <c:pt idx="241">
                  <c:v>3.31088</c:v>
                </c:pt>
                <c:pt idx="242">
                  <c:v>3.0430000000000001</c:v>
                </c:pt>
                <c:pt idx="243">
                  <c:v>3.0615600000000001</c:v>
                </c:pt>
                <c:pt idx="244">
                  <c:v>3.0823300000000002</c:v>
                </c:pt>
                <c:pt idx="245">
                  <c:v>3.0535899999999998</c:v>
                </c:pt>
                <c:pt idx="246">
                  <c:v>3.12616</c:v>
                </c:pt>
                <c:pt idx="247">
                  <c:v>3.1555300000000002</c:v>
                </c:pt>
                <c:pt idx="248">
                  <c:v>3.1454500000000003</c:v>
                </c:pt>
                <c:pt idx="249">
                  <c:v>3.0667</c:v>
                </c:pt>
                <c:pt idx="250">
                  <c:v>3.0352699999999997</c:v>
                </c:pt>
                <c:pt idx="251">
                  <c:v>2.9950599999999996</c:v>
                </c:pt>
                <c:pt idx="252">
                  <c:v>2.9326499999999998</c:v>
                </c:pt>
                <c:pt idx="253">
                  <c:v>2.9688400000000001</c:v>
                </c:pt>
                <c:pt idx="254">
                  <c:v>3.0091300000000003</c:v>
                </c:pt>
                <c:pt idx="255">
                  <c:v>2.9545600000000003</c:v>
                </c:pt>
                <c:pt idx="256">
                  <c:v>2.9950599999999996</c:v>
                </c:pt>
                <c:pt idx="257">
                  <c:v>2.9950599999999996</c:v>
                </c:pt>
                <c:pt idx="258">
                  <c:v>2.9950599999999996</c:v>
                </c:pt>
                <c:pt idx="259">
                  <c:v>2.9982600000000001</c:v>
                </c:pt>
                <c:pt idx="260">
                  <c:v>3.0060700000000002</c:v>
                </c:pt>
                <c:pt idx="261">
                  <c:v>2.99743</c:v>
                </c:pt>
                <c:pt idx="262">
                  <c:v>2.99743</c:v>
                </c:pt>
                <c:pt idx="263">
                  <c:v>2.9788600000000001</c:v>
                </c:pt>
                <c:pt idx="264">
                  <c:v>2.9282999999999997</c:v>
                </c:pt>
                <c:pt idx="265">
                  <c:v>2.8459599999999998</c:v>
                </c:pt>
                <c:pt idx="266">
                  <c:v>2.82056</c:v>
                </c:pt>
                <c:pt idx="267">
                  <c:v>2.7642399999999996</c:v>
                </c:pt>
                <c:pt idx="268">
                  <c:v>2.7136100000000001</c:v>
                </c:pt>
                <c:pt idx="269">
                  <c:v>2.7103100000000002</c:v>
                </c:pt>
                <c:pt idx="270">
                  <c:v>2.7168700000000001</c:v>
                </c:pt>
                <c:pt idx="271">
                  <c:v>2.5497900000000002</c:v>
                </c:pt>
                <c:pt idx="272">
                  <c:v>2.5450200000000001</c:v>
                </c:pt>
                <c:pt idx="273">
                  <c:v>2.5785399999999998</c:v>
                </c:pt>
                <c:pt idx="274">
                  <c:v>2.5956299999999999</c:v>
                </c:pt>
                <c:pt idx="275">
                  <c:v>2.6229899999999997</c:v>
                </c:pt>
                <c:pt idx="276">
                  <c:v>2.6014499999999998</c:v>
                </c:pt>
                <c:pt idx="277">
                  <c:v>2.6240800000000002</c:v>
                </c:pt>
                <c:pt idx="278">
                  <c:v>2.79569</c:v>
                </c:pt>
                <c:pt idx="279">
                  <c:v>2.7212299999999998</c:v>
                </c:pt>
                <c:pt idx="280">
                  <c:v>2.7925499999999999</c:v>
                </c:pt>
                <c:pt idx="281">
                  <c:v>2.7655599999999998</c:v>
                </c:pt>
                <c:pt idx="282">
                  <c:v>2.7112799999999999</c:v>
                </c:pt>
                <c:pt idx="283">
                  <c:v>2.7031700000000001</c:v>
                </c:pt>
                <c:pt idx="284">
                  <c:v>2.6779099999999998</c:v>
                </c:pt>
                <c:pt idx="285">
                  <c:v>2.6100300000000001</c:v>
                </c:pt>
                <c:pt idx="286">
                  <c:v>2.6377100000000002</c:v>
                </c:pt>
                <c:pt idx="287">
                  <c:v>2.6432100000000003</c:v>
                </c:pt>
                <c:pt idx="288">
                  <c:v>2.6179800000000002</c:v>
                </c:pt>
                <c:pt idx="289">
                  <c:v>2.7119900000000001</c:v>
                </c:pt>
                <c:pt idx="290">
                  <c:v>2.6463299999999998</c:v>
                </c:pt>
                <c:pt idx="291">
                  <c:v>2.76586</c:v>
                </c:pt>
                <c:pt idx="292">
                  <c:v>2.7382299999999997</c:v>
                </c:pt>
                <c:pt idx="293">
                  <c:v>2.8201799999999997</c:v>
                </c:pt>
                <c:pt idx="294">
                  <c:v>2.8170800000000003</c:v>
                </c:pt>
                <c:pt idx="295">
                  <c:v>2.78308</c:v>
                </c:pt>
                <c:pt idx="296">
                  <c:v>2.8569299999999997</c:v>
                </c:pt>
                <c:pt idx="297">
                  <c:v>2.681</c:v>
                </c:pt>
                <c:pt idx="298">
                  <c:v>2.7654300000000003</c:v>
                </c:pt>
                <c:pt idx="299">
                  <c:v>2.7513400000000003</c:v>
                </c:pt>
                <c:pt idx="300">
                  <c:v>2.7378800000000001</c:v>
                </c:pt>
                <c:pt idx="301">
                  <c:v>2.9769400000000004</c:v>
                </c:pt>
                <c:pt idx="302">
                  <c:v>2.9453500000000004</c:v>
                </c:pt>
                <c:pt idx="303">
                  <c:v>2.8936999999999999</c:v>
                </c:pt>
                <c:pt idx="304">
                  <c:v>2.8837400000000004</c:v>
                </c:pt>
                <c:pt idx="305">
                  <c:v>2.7853399999999997</c:v>
                </c:pt>
                <c:pt idx="306">
                  <c:v>2.7695800000000004</c:v>
                </c:pt>
                <c:pt idx="307">
                  <c:v>2.9010099999999999</c:v>
                </c:pt>
                <c:pt idx="308">
                  <c:v>2.9535500000000003</c:v>
                </c:pt>
                <c:pt idx="309">
                  <c:v>2.9634800000000001</c:v>
                </c:pt>
                <c:pt idx="310">
                  <c:v>2.9782199999999999</c:v>
                </c:pt>
                <c:pt idx="311">
                  <c:v>2.91188</c:v>
                </c:pt>
                <c:pt idx="312">
                  <c:v>2.8578800000000002</c:v>
                </c:pt>
                <c:pt idx="313">
                  <c:v>2.8453900000000001</c:v>
                </c:pt>
                <c:pt idx="314">
                  <c:v>2.8749000000000002</c:v>
                </c:pt>
                <c:pt idx="315">
                  <c:v>3.09449</c:v>
                </c:pt>
                <c:pt idx="316">
                  <c:v>3.1298599999999999</c:v>
                </c:pt>
                <c:pt idx="317">
                  <c:v>3.02501</c:v>
                </c:pt>
                <c:pt idx="318">
                  <c:v>3.0788700000000002</c:v>
                </c:pt>
                <c:pt idx="319">
                  <c:v>3.1195900000000001</c:v>
                </c:pt>
                <c:pt idx="320">
                  <c:v>3.1289100000000003</c:v>
                </c:pt>
                <c:pt idx="321">
                  <c:v>3.1380500000000002</c:v>
                </c:pt>
                <c:pt idx="322">
                  <c:v>3.1548799999999999</c:v>
                </c:pt>
                <c:pt idx="323">
                  <c:v>3.0326299999999997</c:v>
                </c:pt>
                <c:pt idx="324">
                  <c:v>3.02068</c:v>
                </c:pt>
                <c:pt idx="325">
                  <c:v>3.0061300000000002</c:v>
                </c:pt>
                <c:pt idx="326">
                  <c:v>3.0270299999999999</c:v>
                </c:pt>
                <c:pt idx="327">
                  <c:v>3.0270299999999999</c:v>
                </c:pt>
                <c:pt idx="328">
                  <c:v>3.0270299999999999</c:v>
                </c:pt>
                <c:pt idx="329">
                  <c:v>3.0639600000000002</c:v>
                </c:pt>
                <c:pt idx="330">
                  <c:v>3.0337999999999998</c:v>
                </c:pt>
                <c:pt idx="331">
                  <c:v>3.0307299999999997</c:v>
                </c:pt>
                <c:pt idx="332">
                  <c:v>3.0693799999999998</c:v>
                </c:pt>
                <c:pt idx="333">
                  <c:v>3.0452699999999999</c:v>
                </c:pt>
                <c:pt idx="334">
                  <c:v>3.0436200000000002</c:v>
                </c:pt>
                <c:pt idx="335">
                  <c:v>3.0587099999999996</c:v>
                </c:pt>
                <c:pt idx="336">
                  <c:v>3.1326999999999998</c:v>
                </c:pt>
                <c:pt idx="337">
                  <c:v>3.0809199999999999</c:v>
                </c:pt>
                <c:pt idx="338">
                  <c:v>3.0550799999999998</c:v>
                </c:pt>
                <c:pt idx="339">
                  <c:v>2.9878500000000003</c:v>
                </c:pt>
                <c:pt idx="340">
                  <c:v>3.0235300000000001</c:v>
                </c:pt>
                <c:pt idx="341">
                  <c:v>3.0471499999999998</c:v>
                </c:pt>
                <c:pt idx="342">
                  <c:v>3.0378400000000001</c:v>
                </c:pt>
                <c:pt idx="343">
                  <c:v>2.9915099999999999</c:v>
                </c:pt>
                <c:pt idx="344">
                  <c:v>2.9767700000000001</c:v>
                </c:pt>
                <c:pt idx="345">
                  <c:v>3.0258400000000001</c:v>
                </c:pt>
                <c:pt idx="346">
                  <c:v>2.97051</c:v>
                </c:pt>
                <c:pt idx="347">
                  <c:v>3.0819299999999998</c:v>
                </c:pt>
                <c:pt idx="348">
                  <c:v>3.0819299999999998</c:v>
                </c:pt>
                <c:pt idx="349">
                  <c:v>3.1031999999999997</c:v>
                </c:pt>
                <c:pt idx="350">
                  <c:v>2.9906200000000003</c:v>
                </c:pt>
                <c:pt idx="351">
                  <c:v>2.9403100000000002</c:v>
                </c:pt>
                <c:pt idx="352">
                  <c:v>2.80783</c:v>
                </c:pt>
                <c:pt idx="353">
                  <c:v>2.7587999999999999</c:v>
                </c:pt>
                <c:pt idx="354">
                  <c:v>2.7968999999999999</c:v>
                </c:pt>
                <c:pt idx="355">
                  <c:v>2.7587799999999998</c:v>
                </c:pt>
                <c:pt idx="356">
                  <c:v>2.8547799999999999</c:v>
                </c:pt>
                <c:pt idx="357">
                  <c:v>2.8526199999999999</c:v>
                </c:pt>
                <c:pt idx="358">
                  <c:v>2.8939400000000002</c:v>
                </c:pt>
                <c:pt idx="359">
                  <c:v>2.9039999999999999</c:v>
                </c:pt>
                <c:pt idx="360">
                  <c:v>2.8517600000000001</c:v>
                </c:pt>
                <c:pt idx="361">
                  <c:v>2.9126499999999997</c:v>
                </c:pt>
                <c:pt idx="362">
                  <c:v>2.9082100000000004</c:v>
                </c:pt>
                <c:pt idx="363">
                  <c:v>2.9306900000000002</c:v>
                </c:pt>
                <c:pt idx="364">
                  <c:v>2.9479700000000002</c:v>
                </c:pt>
                <c:pt idx="365">
                  <c:v>2.94339</c:v>
                </c:pt>
                <c:pt idx="366">
                  <c:v>2.9116699999999995</c:v>
                </c:pt>
                <c:pt idx="367">
                  <c:v>2.9711799999999999</c:v>
                </c:pt>
                <c:pt idx="368">
                  <c:v>2.9711799999999999</c:v>
                </c:pt>
                <c:pt idx="369">
                  <c:v>2.8885800000000001</c:v>
                </c:pt>
                <c:pt idx="370">
                  <c:v>2.9550299999999998</c:v>
                </c:pt>
                <c:pt idx="371">
                  <c:v>2.92543</c:v>
                </c:pt>
                <c:pt idx="372">
                  <c:v>2.9559100000000003</c:v>
                </c:pt>
                <c:pt idx="373">
                  <c:v>2.97044</c:v>
                </c:pt>
                <c:pt idx="374">
                  <c:v>2.9860199999999999</c:v>
                </c:pt>
                <c:pt idx="375">
                  <c:v>2.99878</c:v>
                </c:pt>
                <c:pt idx="376">
                  <c:v>3.0228600000000001</c:v>
                </c:pt>
                <c:pt idx="377">
                  <c:v>2.9861800000000001</c:v>
                </c:pt>
                <c:pt idx="378">
                  <c:v>2.9668599999999996</c:v>
                </c:pt>
                <c:pt idx="379">
                  <c:v>2.9641199999999999</c:v>
                </c:pt>
                <c:pt idx="380">
                  <c:v>2.8959899999999998</c:v>
                </c:pt>
                <c:pt idx="381">
                  <c:v>2.9884900000000001</c:v>
                </c:pt>
                <c:pt idx="382">
                  <c:v>3.0250599999999999</c:v>
                </c:pt>
                <c:pt idx="383">
                  <c:v>2.8889200000000002</c:v>
                </c:pt>
                <c:pt idx="384">
                  <c:v>2.9272199999999997</c:v>
                </c:pt>
                <c:pt idx="385">
                  <c:v>2.8347600000000002</c:v>
                </c:pt>
                <c:pt idx="386">
                  <c:v>2.7431200000000002</c:v>
                </c:pt>
                <c:pt idx="387">
                  <c:v>2.6572199999999997</c:v>
                </c:pt>
                <c:pt idx="388">
                  <c:v>2.7382200000000001</c:v>
                </c:pt>
                <c:pt idx="389">
                  <c:v>2.75318</c:v>
                </c:pt>
                <c:pt idx="390">
                  <c:v>2.7776100000000001</c:v>
                </c:pt>
                <c:pt idx="391">
                  <c:v>2.6958800000000003</c:v>
                </c:pt>
                <c:pt idx="392">
                  <c:v>2.7923</c:v>
                </c:pt>
                <c:pt idx="393">
                  <c:v>2.7541000000000002</c:v>
                </c:pt>
                <c:pt idx="394">
                  <c:v>2.8191600000000001</c:v>
                </c:pt>
                <c:pt idx="395">
                  <c:v>2.7650299999999999</c:v>
                </c:pt>
                <c:pt idx="396">
                  <c:v>2.7971499999999998</c:v>
                </c:pt>
                <c:pt idx="397">
                  <c:v>2.7276699999999998</c:v>
                </c:pt>
                <c:pt idx="398">
                  <c:v>2.7250000000000001</c:v>
                </c:pt>
                <c:pt idx="399">
                  <c:v>2.6894900000000002</c:v>
                </c:pt>
                <c:pt idx="400">
                  <c:v>2.72471</c:v>
                </c:pt>
                <c:pt idx="401">
                  <c:v>2.7652600000000001</c:v>
                </c:pt>
                <c:pt idx="402">
                  <c:v>2.78335</c:v>
                </c:pt>
                <c:pt idx="403">
                  <c:v>2.9030100000000001</c:v>
                </c:pt>
                <c:pt idx="404">
                  <c:v>2.8401299999999998</c:v>
                </c:pt>
                <c:pt idx="405">
                  <c:v>2.8482499999999997</c:v>
                </c:pt>
                <c:pt idx="406">
                  <c:v>2.8919999999999999</c:v>
                </c:pt>
                <c:pt idx="407">
                  <c:v>2.8855599999999999</c:v>
                </c:pt>
                <c:pt idx="408">
                  <c:v>2.89235</c:v>
                </c:pt>
                <c:pt idx="409">
                  <c:v>2.91323</c:v>
                </c:pt>
                <c:pt idx="410">
                  <c:v>2.8931799999999996</c:v>
                </c:pt>
                <c:pt idx="411">
                  <c:v>2.8778600000000001</c:v>
                </c:pt>
                <c:pt idx="412">
                  <c:v>2.9047000000000001</c:v>
                </c:pt>
                <c:pt idx="413">
                  <c:v>2.9304800000000002</c:v>
                </c:pt>
                <c:pt idx="414">
                  <c:v>2.9410399999999997</c:v>
                </c:pt>
                <c:pt idx="415">
                  <c:v>2.94217</c:v>
                </c:pt>
                <c:pt idx="416">
                  <c:v>2.8948200000000002</c:v>
                </c:pt>
                <c:pt idx="417">
                  <c:v>2.8582799999999997</c:v>
                </c:pt>
                <c:pt idx="418">
                  <c:v>2.8556400000000002</c:v>
                </c:pt>
                <c:pt idx="419">
                  <c:v>2.8413200000000001</c:v>
                </c:pt>
                <c:pt idx="420">
                  <c:v>2.85995</c:v>
                </c:pt>
                <c:pt idx="421">
                  <c:v>2.8927899999999998</c:v>
                </c:pt>
                <c:pt idx="422">
                  <c:v>2.8878500000000003</c:v>
                </c:pt>
                <c:pt idx="423">
                  <c:v>2.9235600000000002</c:v>
                </c:pt>
                <c:pt idx="424">
                  <c:v>2.9170699999999998</c:v>
                </c:pt>
                <c:pt idx="425">
                  <c:v>2.9215100000000001</c:v>
                </c:pt>
                <c:pt idx="426">
                  <c:v>2.9240200000000001</c:v>
                </c:pt>
                <c:pt idx="427">
                  <c:v>2.9036</c:v>
                </c:pt>
                <c:pt idx="428">
                  <c:v>2.9247500000000004</c:v>
                </c:pt>
                <c:pt idx="429">
                  <c:v>2.9017899999999996</c:v>
                </c:pt>
                <c:pt idx="430">
                  <c:v>2.8480300000000001</c:v>
                </c:pt>
                <c:pt idx="431">
                  <c:v>2.8529</c:v>
                </c:pt>
                <c:pt idx="432">
                  <c:v>2.8592500000000003</c:v>
                </c:pt>
                <c:pt idx="433">
                  <c:v>2.8592500000000003</c:v>
                </c:pt>
                <c:pt idx="434">
                  <c:v>2.8686000000000003</c:v>
                </c:pt>
                <c:pt idx="435">
                  <c:v>2.8278099999999999</c:v>
                </c:pt>
                <c:pt idx="436">
                  <c:v>2.8006599999999997</c:v>
                </c:pt>
                <c:pt idx="437">
                  <c:v>2.7367300000000001</c:v>
                </c:pt>
                <c:pt idx="438">
                  <c:v>2.79027</c:v>
                </c:pt>
                <c:pt idx="439">
                  <c:v>2.7648200000000003</c:v>
                </c:pt>
                <c:pt idx="440">
                  <c:v>2.7221199999999999</c:v>
                </c:pt>
                <c:pt idx="441">
                  <c:v>2.7552699999999999</c:v>
                </c:pt>
                <c:pt idx="442">
                  <c:v>2.6864100000000004</c:v>
                </c:pt>
                <c:pt idx="443">
                  <c:v>2.7035500000000003</c:v>
                </c:pt>
                <c:pt idx="444">
                  <c:v>2.7300299999999997</c:v>
                </c:pt>
                <c:pt idx="445">
                  <c:v>2.68933</c:v>
                </c:pt>
                <c:pt idx="446">
                  <c:v>2.6720199999999998</c:v>
                </c:pt>
                <c:pt idx="447">
                  <c:v>2.67028</c:v>
                </c:pt>
                <c:pt idx="448">
                  <c:v>2.7572500000000004</c:v>
                </c:pt>
                <c:pt idx="449">
                  <c:v>2.7308400000000002</c:v>
                </c:pt>
                <c:pt idx="450">
                  <c:v>2.7346599999999999</c:v>
                </c:pt>
                <c:pt idx="451">
                  <c:v>2.6855599999999997</c:v>
                </c:pt>
                <c:pt idx="452">
                  <c:v>2.7381000000000002</c:v>
                </c:pt>
                <c:pt idx="453">
                  <c:v>2.7343099999999998</c:v>
                </c:pt>
                <c:pt idx="454">
                  <c:v>2.7881799999999997</c:v>
                </c:pt>
                <c:pt idx="455">
                  <c:v>2.8481999999999998</c:v>
                </c:pt>
                <c:pt idx="456">
                  <c:v>2.87262</c:v>
                </c:pt>
                <c:pt idx="457">
                  <c:v>2.9224900000000003</c:v>
                </c:pt>
                <c:pt idx="458">
                  <c:v>2.9633999999999996</c:v>
                </c:pt>
                <c:pt idx="459">
                  <c:v>2.9785500000000003</c:v>
                </c:pt>
                <c:pt idx="460">
                  <c:v>2.9831099999999999</c:v>
                </c:pt>
                <c:pt idx="461">
                  <c:v>2.9245800000000002</c:v>
                </c:pt>
                <c:pt idx="462">
                  <c:v>2.9174500000000001</c:v>
                </c:pt>
                <c:pt idx="463">
                  <c:v>2.89812</c:v>
                </c:pt>
                <c:pt idx="464">
                  <c:v>2.9007400000000003</c:v>
                </c:pt>
                <c:pt idx="465">
                  <c:v>2.8535000000000004</c:v>
                </c:pt>
                <c:pt idx="466">
                  <c:v>2.7111800000000001</c:v>
                </c:pt>
                <c:pt idx="467">
                  <c:v>2.7813400000000001</c:v>
                </c:pt>
                <c:pt idx="468">
                  <c:v>2.7224900000000001</c:v>
                </c:pt>
                <c:pt idx="469">
                  <c:v>2.73421</c:v>
                </c:pt>
                <c:pt idx="470">
                  <c:v>2.7480099999999998</c:v>
                </c:pt>
                <c:pt idx="471">
                  <c:v>2.6865499999999995</c:v>
                </c:pt>
                <c:pt idx="472">
                  <c:v>2.58968</c:v>
                </c:pt>
                <c:pt idx="473">
                  <c:v>2.7023000000000001</c:v>
                </c:pt>
                <c:pt idx="474">
                  <c:v>2.7173099999999999</c:v>
                </c:pt>
                <c:pt idx="475">
                  <c:v>2.7805900000000001</c:v>
                </c:pt>
                <c:pt idx="476">
                  <c:v>2.7747699999999997</c:v>
                </c:pt>
                <c:pt idx="477">
                  <c:v>2.7781400000000001</c:v>
                </c:pt>
                <c:pt idx="478">
                  <c:v>3.0287799999999998</c:v>
                </c:pt>
                <c:pt idx="479">
                  <c:v>3.0670199999999999</c:v>
                </c:pt>
                <c:pt idx="480">
                  <c:v>3.0307999999999997</c:v>
                </c:pt>
                <c:pt idx="481">
                  <c:v>3.06786</c:v>
                </c:pt>
                <c:pt idx="482">
                  <c:v>3.1458400000000002</c:v>
                </c:pt>
                <c:pt idx="483">
                  <c:v>3.0841399999999997</c:v>
                </c:pt>
                <c:pt idx="484">
                  <c:v>3.1056400000000002</c:v>
                </c:pt>
                <c:pt idx="485">
                  <c:v>3.0465300000000002</c:v>
                </c:pt>
                <c:pt idx="486">
                  <c:v>3.0342000000000002</c:v>
                </c:pt>
                <c:pt idx="487">
                  <c:v>3.03593</c:v>
                </c:pt>
                <c:pt idx="488">
                  <c:v>2.9813600000000005</c:v>
                </c:pt>
                <c:pt idx="489">
                  <c:v>2.9936200000000004</c:v>
                </c:pt>
                <c:pt idx="490">
                  <c:v>3.0868099999999998</c:v>
                </c:pt>
                <c:pt idx="491">
                  <c:v>3.1251799999999998</c:v>
                </c:pt>
                <c:pt idx="492">
                  <c:v>3.0879799999999999</c:v>
                </c:pt>
                <c:pt idx="493">
                  <c:v>3.0203100000000003</c:v>
                </c:pt>
                <c:pt idx="494">
                  <c:v>3.1241099999999999</c:v>
                </c:pt>
                <c:pt idx="495">
                  <c:v>3.11402</c:v>
                </c:pt>
                <c:pt idx="496">
                  <c:v>3.1183199999999998</c:v>
                </c:pt>
                <c:pt idx="497">
                  <c:v>3.3507400000000001</c:v>
                </c:pt>
                <c:pt idx="498">
                  <c:v>3.2997100000000001</c:v>
                </c:pt>
                <c:pt idx="499">
                  <c:v>3.3709600000000002</c:v>
                </c:pt>
                <c:pt idx="500">
                  <c:v>3.3325999999999998</c:v>
                </c:pt>
                <c:pt idx="501">
                  <c:v>3.2688299999999999</c:v>
                </c:pt>
                <c:pt idx="502">
                  <c:v>3.3465400000000001</c:v>
                </c:pt>
                <c:pt idx="503">
                  <c:v>3.2786399999999998</c:v>
                </c:pt>
                <c:pt idx="504">
                  <c:v>3.1503500000000004</c:v>
                </c:pt>
                <c:pt idx="505">
                  <c:v>3.1352999999999995</c:v>
                </c:pt>
                <c:pt idx="506">
                  <c:v>3.1491400000000001</c:v>
                </c:pt>
                <c:pt idx="507">
                  <c:v>3.1255700000000002</c:v>
                </c:pt>
                <c:pt idx="508">
                  <c:v>3.1629899999999997</c:v>
                </c:pt>
                <c:pt idx="509">
                  <c:v>3.1528300000000002</c:v>
                </c:pt>
                <c:pt idx="510">
                  <c:v>3.1496300000000002</c:v>
                </c:pt>
                <c:pt idx="511">
                  <c:v>3.1910000000000003</c:v>
                </c:pt>
                <c:pt idx="512">
                  <c:v>3.1676699999999998</c:v>
                </c:pt>
                <c:pt idx="513">
                  <c:v>3.1587700000000001</c:v>
                </c:pt>
                <c:pt idx="514">
                  <c:v>3.1240300000000003</c:v>
                </c:pt>
                <c:pt idx="515">
                  <c:v>3.1354099999999998</c:v>
                </c:pt>
                <c:pt idx="516">
                  <c:v>3.0960700000000001</c:v>
                </c:pt>
                <c:pt idx="517">
                  <c:v>3.0957100000000004</c:v>
                </c:pt>
                <c:pt idx="518">
                  <c:v>3.0957100000000004</c:v>
                </c:pt>
                <c:pt idx="519">
                  <c:v>3.0957100000000004</c:v>
                </c:pt>
                <c:pt idx="520">
                  <c:v>3.0774500000000002</c:v>
                </c:pt>
                <c:pt idx="521">
                  <c:v>3.1029599999999999</c:v>
                </c:pt>
                <c:pt idx="522">
                  <c:v>3.1067399999999998</c:v>
                </c:pt>
                <c:pt idx="523">
                  <c:v>3.1067399999999998</c:v>
                </c:pt>
                <c:pt idx="524">
                  <c:v>3.0067599999999999</c:v>
                </c:pt>
                <c:pt idx="525">
                  <c:v>2.9923299999999999</c:v>
                </c:pt>
                <c:pt idx="526">
                  <c:v>2.9454399999999996</c:v>
                </c:pt>
                <c:pt idx="527">
                  <c:v>2.9885800000000002</c:v>
                </c:pt>
                <c:pt idx="528">
                  <c:v>2.95634</c:v>
                </c:pt>
                <c:pt idx="529">
                  <c:v>2.9529399999999999</c:v>
                </c:pt>
                <c:pt idx="530">
                  <c:v>2.97512</c:v>
                </c:pt>
                <c:pt idx="531">
                  <c:v>3.0196499999999999</c:v>
                </c:pt>
                <c:pt idx="532">
                  <c:v>3.0511399999999997</c:v>
                </c:pt>
                <c:pt idx="533">
                  <c:v>3.0165300000000004</c:v>
                </c:pt>
                <c:pt idx="534">
                  <c:v>3.0055099999999997</c:v>
                </c:pt>
                <c:pt idx="535">
                  <c:v>3.0167799999999998</c:v>
                </c:pt>
                <c:pt idx="536">
                  <c:v>3.0294099999999999</c:v>
                </c:pt>
                <c:pt idx="537">
                  <c:v>3.1033999999999997</c:v>
                </c:pt>
                <c:pt idx="538">
                  <c:v>3.1575799999999998</c:v>
                </c:pt>
                <c:pt idx="539">
                  <c:v>3.15029</c:v>
                </c:pt>
                <c:pt idx="540">
                  <c:v>3.1257700000000002</c:v>
                </c:pt>
                <c:pt idx="541">
                  <c:v>3.1383899999999998</c:v>
                </c:pt>
                <c:pt idx="542">
                  <c:v>3.2063199999999998</c:v>
                </c:pt>
                <c:pt idx="543">
                  <c:v>3.2019199999999999</c:v>
                </c:pt>
                <c:pt idx="544">
                  <c:v>3.2093500000000001</c:v>
                </c:pt>
                <c:pt idx="545">
                  <c:v>3.2230099999999999</c:v>
                </c:pt>
                <c:pt idx="546">
                  <c:v>3.1845499999999998</c:v>
                </c:pt>
                <c:pt idx="547">
                  <c:v>3.2024900000000001</c:v>
                </c:pt>
                <c:pt idx="548">
                  <c:v>3.2090800000000002</c:v>
                </c:pt>
                <c:pt idx="549">
                  <c:v>3.2274700000000003</c:v>
                </c:pt>
                <c:pt idx="550">
                  <c:v>3.2235500000000004</c:v>
                </c:pt>
                <c:pt idx="551">
                  <c:v>3.2201600000000004</c:v>
                </c:pt>
                <c:pt idx="552">
                  <c:v>3.3590599999999999</c:v>
                </c:pt>
                <c:pt idx="553">
                  <c:v>3.3576299999999999</c:v>
                </c:pt>
                <c:pt idx="554">
                  <c:v>3.3218700000000001</c:v>
                </c:pt>
                <c:pt idx="555">
                  <c:v>3.29819</c:v>
                </c:pt>
                <c:pt idx="556">
                  <c:v>3.2996600000000003</c:v>
                </c:pt>
                <c:pt idx="557">
                  <c:v>3.38896</c:v>
                </c:pt>
                <c:pt idx="558">
                  <c:v>3.3905700000000003</c:v>
                </c:pt>
                <c:pt idx="559">
                  <c:v>3.3920999999999997</c:v>
                </c:pt>
                <c:pt idx="560">
                  <c:v>3.38971</c:v>
                </c:pt>
                <c:pt idx="561">
                  <c:v>3.4516199999999997</c:v>
                </c:pt>
                <c:pt idx="562">
                  <c:v>3.3362799999999999</c:v>
                </c:pt>
                <c:pt idx="563">
                  <c:v>3.6352100000000003</c:v>
                </c:pt>
                <c:pt idx="564">
                  <c:v>3.80382</c:v>
                </c:pt>
                <c:pt idx="565">
                  <c:v>4.0010700000000003</c:v>
                </c:pt>
                <c:pt idx="566">
                  <c:v>4.8164199999999999</c:v>
                </c:pt>
                <c:pt idx="567">
                  <c:v>5.1307299999999998</c:v>
                </c:pt>
                <c:pt idx="568">
                  <c:v>5.7621799999999999</c:v>
                </c:pt>
                <c:pt idx="569">
                  <c:v>6.0047199999999998</c:v>
                </c:pt>
                <c:pt idx="570">
                  <c:v>5.9446699999999995</c:v>
                </c:pt>
                <c:pt idx="571">
                  <c:v>5.9071000000000007</c:v>
                </c:pt>
                <c:pt idx="572">
                  <c:v>5.9185499999999998</c:v>
                </c:pt>
                <c:pt idx="573">
                  <c:v>5.52942</c:v>
                </c:pt>
                <c:pt idx="574">
                  <c:v>5.4410699999999999</c:v>
                </c:pt>
                <c:pt idx="575">
                  <c:v>4.8593799999999998</c:v>
                </c:pt>
                <c:pt idx="576">
                  <c:v>4.9437899999999999</c:v>
                </c:pt>
                <c:pt idx="577">
                  <c:v>4.6904899999999996</c:v>
                </c:pt>
                <c:pt idx="578">
                  <c:v>4.3383399999999996</c:v>
                </c:pt>
                <c:pt idx="579">
                  <c:v>4.3140200000000002</c:v>
                </c:pt>
                <c:pt idx="580">
                  <c:v>4.3630300000000002</c:v>
                </c:pt>
                <c:pt idx="581">
                  <c:v>4.3182999999999998</c:v>
                </c:pt>
                <c:pt idx="582">
                  <c:v>4.1802400000000004</c:v>
                </c:pt>
                <c:pt idx="583">
                  <c:v>4.2523799999999996</c:v>
                </c:pt>
                <c:pt idx="584">
                  <c:v>4.3168600000000001</c:v>
                </c:pt>
                <c:pt idx="585">
                  <c:v>4.3793899999999999</c:v>
                </c:pt>
                <c:pt idx="586">
                  <c:v>4.3879199999999994</c:v>
                </c:pt>
                <c:pt idx="587">
                  <c:v>4.3949400000000001</c:v>
                </c:pt>
                <c:pt idx="588">
                  <c:v>4.3795099999999998</c:v>
                </c:pt>
                <c:pt idx="589">
                  <c:v>4.1876999999999995</c:v>
                </c:pt>
                <c:pt idx="590">
                  <c:v>4.1924099999999997</c:v>
                </c:pt>
                <c:pt idx="591">
                  <c:v>4.1678500000000005</c:v>
                </c:pt>
                <c:pt idx="592">
                  <c:v>4.1380699999999999</c:v>
                </c:pt>
                <c:pt idx="593">
                  <c:v>4.1360299999999999</c:v>
                </c:pt>
                <c:pt idx="594">
                  <c:v>4.1788299999999996</c:v>
                </c:pt>
                <c:pt idx="595">
                  <c:v>4.2296499999999995</c:v>
                </c:pt>
                <c:pt idx="596">
                  <c:v>4.1470500000000001</c:v>
                </c:pt>
                <c:pt idx="597">
                  <c:v>4.1470500000000001</c:v>
                </c:pt>
                <c:pt idx="598">
                  <c:v>4.1470500000000001</c:v>
                </c:pt>
                <c:pt idx="599">
                  <c:v>4.12507</c:v>
                </c:pt>
                <c:pt idx="600">
                  <c:v>4.1905299999999999</c:v>
                </c:pt>
                <c:pt idx="601">
                  <c:v>4.19956</c:v>
                </c:pt>
                <c:pt idx="602">
                  <c:v>4.2505800000000002</c:v>
                </c:pt>
                <c:pt idx="603">
                  <c:v>4.3512000000000004</c:v>
                </c:pt>
                <c:pt idx="604">
                  <c:v>4.5565199999999999</c:v>
                </c:pt>
                <c:pt idx="605">
                  <c:v>4.5962399999999999</c:v>
                </c:pt>
                <c:pt idx="606">
                  <c:v>4.5063800000000001</c:v>
                </c:pt>
                <c:pt idx="607">
                  <c:v>4.5803199999999995</c:v>
                </c:pt>
                <c:pt idx="608">
                  <c:v>4.5803199999999995</c:v>
                </c:pt>
                <c:pt idx="609">
                  <c:v>4.4729899999999994</c:v>
                </c:pt>
                <c:pt idx="610">
                  <c:v>4.57273</c:v>
                </c:pt>
                <c:pt idx="611">
                  <c:v>4.5460500000000001</c:v>
                </c:pt>
                <c:pt idx="612">
                  <c:v>4.5775199999999998</c:v>
                </c:pt>
                <c:pt idx="613">
                  <c:v>4.63856</c:v>
                </c:pt>
                <c:pt idx="614">
                  <c:v>4.87981</c:v>
                </c:pt>
                <c:pt idx="615">
                  <c:v>4.9684600000000003</c:v>
                </c:pt>
                <c:pt idx="616">
                  <c:v>4.8840300000000001</c:v>
                </c:pt>
                <c:pt idx="617">
                  <c:v>4.88741</c:v>
                </c:pt>
                <c:pt idx="618">
                  <c:v>4.9926300000000001</c:v>
                </c:pt>
                <c:pt idx="619">
                  <c:v>4.8481399999999999</c:v>
                </c:pt>
                <c:pt idx="620">
                  <c:v>5.0001999999999995</c:v>
                </c:pt>
                <c:pt idx="621">
                  <c:v>5.0756499999999996</c:v>
                </c:pt>
                <c:pt idx="622">
                  <c:v>5.0596899999999998</c:v>
                </c:pt>
                <c:pt idx="623">
                  <c:v>5.0906700000000003</c:v>
                </c:pt>
                <c:pt idx="624">
                  <c:v>5.2213599999999998</c:v>
                </c:pt>
                <c:pt idx="625">
                  <c:v>5.2048699999999997</c:v>
                </c:pt>
                <c:pt idx="626">
                  <c:v>5.2293100000000008</c:v>
                </c:pt>
                <c:pt idx="627">
                  <c:v>5.2012999999999998</c:v>
                </c:pt>
                <c:pt idx="628">
                  <c:v>5.1247199999999999</c:v>
                </c:pt>
                <c:pt idx="629">
                  <c:v>5.08521</c:v>
                </c:pt>
                <c:pt idx="630">
                  <c:v>4.9706599999999996</c:v>
                </c:pt>
                <c:pt idx="631">
                  <c:v>4.9706599999999996</c:v>
                </c:pt>
                <c:pt idx="632">
                  <c:v>4.9706599999999996</c:v>
                </c:pt>
                <c:pt idx="633">
                  <c:v>4.8985500000000002</c:v>
                </c:pt>
                <c:pt idx="634">
                  <c:v>4.9142000000000001</c:v>
                </c:pt>
                <c:pt idx="635">
                  <c:v>4.90618</c:v>
                </c:pt>
                <c:pt idx="636">
                  <c:v>4.8822900000000002</c:v>
                </c:pt>
                <c:pt idx="637">
                  <c:v>4.8257300000000001</c:v>
                </c:pt>
                <c:pt idx="638">
                  <c:v>4.9284800000000004</c:v>
                </c:pt>
                <c:pt idx="639">
                  <c:v>4.8790100000000001</c:v>
                </c:pt>
                <c:pt idx="640">
                  <c:v>5.0086599999999999</c:v>
                </c:pt>
                <c:pt idx="641">
                  <c:v>5.2876199999999995</c:v>
                </c:pt>
                <c:pt idx="642">
                  <c:v>5.3649199999999997</c:v>
                </c:pt>
                <c:pt idx="643">
                  <c:v>5.4029600000000002</c:v>
                </c:pt>
                <c:pt idx="644">
                  <c:v>5.3223299999999991</c:v>
                </c:pt>
                <c:pt idx="645">
                  <c:v>5.5020199999999999</c:v>
                </c:pt>
                <c:pt idx="646">
                  <c:v>5.5810500000000003</c:v>
                </c:pt>
                <c:pt idx="647">
                  <c:v>5.6036199999999994</c:v>
                </c:pt>
                <c:pt idx="648">
                  <c:v>5.5240800000000005</c:v>
                </c:pt>
                <c:pt idx="649">
                  <c:v>5.5957799999999995</c:v>
                </c:pt>
                <c:pt idx="650">
                  <c:v>5.7539300000000004</c:v>
                </c:pt>
                <c:pt idx="651">
                  <c:v>6.0013899999999998</c:v>
                </c:pt>
                <c:pt idx="652">
                  <c:v>6.0959699999999994</c:v>
                </c:pt>
                <c:pt idx="653">
                  <c:v>6.0996900000000007</c:v>
                </c:pt>
                <c:pt idx="654">
                  <c:v>6.2218399999999994</c:v>
                </c:pt>
                <c:pt idx="655">
                  <c:v>6.0944600000000007</c:v>
                </c:pt>
                <c:pt idx="656">
                  <c:v>6.0019399999999994</c:v>
                </c:pt>
                <c:pt idx="657">
                  <c:v>6.0279699999999998</c:v>
                </c:pt>
                <c:pt idx="658">
                  <c:v>6.1540900000000001</c:v>
                </c:pt>
                <c:pt idx="659">
                  <c:v>6.2716700000000003</c:v>
                </c:pt>
                <c:pt idx="660">
                  <c:v>6.3963400000000004</c:v>
                </c:pt>
                <c:pt idx="661">
                  <c:v>6.4896799999999999</c:v>
                </c:pt>
                <c:pt idx="662">
                  <c:v>6.4923099999999998</c:v>
                </c:pt>
                <c:pt idx="663">
                  <c:v>6.4047400000000003</c:v>
                </c:pt>
                <c:pt idx="664">
                  <c:v>6.3546100000000001</c:v>
                </c:pt>
                <c:pt idx="665">
                  <c:v>6.2661800000000003</c:v>
                </c:pt>
                <c:pt idx="666">
                  <c:v>6.3629700000000007</c:v>
                </c:pt>
                <c:pt idx="667">
                  <c:v>6.3459000000000003</c:v>
                </c:pt>
                <c:pt idx="668">
                  <c:v>6.23184</c:v>
                </c:pt>
                <c:pt idx="669">
                  <c:v>6.2481500000000008</c:v>
                </c:pt>
                <c:pt idx="670">
                  <c:v>6.2713400000000004</c:v>
                </c:pt>
                <c:pt idx="671">
                  <c:v>6.2362400000000004</c:v>
                </c:pt>
                <c:pt idx="672">
                  <c:v>6.3011400000000002</c:v>
                </c:pt>
                <c:pt idx="673">
                  <c:v>6.2162499999999996</c:v>
                </c:pt>
                <c:pt idx="674">
                  <c:v>6.0796999999999999</c:v>
                </c:pt>
                <c:pt idx="675">
                  <c:v>6.0493899999999998</c:v>
                </c:pt>
                <c:pt idx="676">
                  <c:v>6.0947299999999993</c:v>
                </c:pt>
                <c:pt idx="677">
                  <c:v>5.8567399999999994</c:v>
                </c:pt>
                <c:pt idx="678">
                  <c:v>5.9645399999999995</c:v>
                </c:pt>
                <c:pt idx="679">
                  <c:v>5.9260199999999994</c:v>
                </c:pt>
                <c:pt idx="680">
                  <c:v>5.96828</c:v>
                </c:pt>
                <c:pt idx="681">
                  <c:v>5.6796199999999999</c:v>
                </c:pt>
                <c:pt idx="682">
                  <c:v>5.6890999999999998</c:v>
                </c:pt>
                <c:pt idx="683">
                  <c:v>5.7650100000000002</c:v>
                </c:pt>
                <c:pt idx="684">
                  <c:v>5.7203900000000001</c:v>
                </c:pt>
                <c:pt idx="685">
                  <c:v>5.6912699999999994</c:v>
                </c:pt>
                <c:pt idx="686">
                  <c:v>5.6389700000000005</c:v>
                </c:pt>
                <c:pt idx="687">
                  <c:v>5.6505399999999995</c:v>
                </c:pt>
                <c:pt idx="688">
                  <c:v>5.6730600000000004</c:v>
                </c:pt>
                <c:pt idx="689">
                  <c:v>5.6364200000000002</c:v>
                </c:pt>
                <c:pt idx="690">
                  <c:v>5.5926199999999993</c:v>
                </c:pt>
                <c:pt idx="691">
                  <c:v>5.5410299999999992</c:v>
                </c:pt>
                <c:pt idx="692">
                  <c:v>5.5391999999999992</c:v>
                </c:pt>
                <c:pt idx="693">
                  <c:v>5.5391999999999992</c:v>
                </c:pt>
                <c:pt idx="694">
                  <c:v>5.5065400000000002</c:v>
                </c:pt>
                <c:pt idx="695">
                  <c:v>5.47201</c:v>
                </c:pt>
                <c:pt idx="696">
                  <c:v>5.3087800000000005</c:v>
                </c:pt>
                <c:pt idx="697">
                  <c:v>5.3899699999999999</c:v>
                </c:pt>
                <c:pt idx="698">
                  <c:v>5.4482699999999999</c:v>
                </c:pt>
                <c:pt idx="699">
                  <c:v>5.1640200000000007</c:v>
                </c:pt>
                <c:pt idx="700">
                  <c:v>5.1860099999999996</c:v>
                </c:pt>
                <c:pt idx="701">
                  <c:v>5.1552200000000008</c:v>
                </c:pt>
                <c:pt idx="702">
                  <c:v>5.0030900000000003</c:v>
                </c:pt>
                <c:pt idx="703">
                  <c:v>5.0525000000000002</c:v>
                </c:pt>
                <c:pt idx="704">
                  <c:v>5.0787900000000006</c:v>
                </c:pt>
                <c:pt idx="705">
                  <c:v>5.3758399999999993</c:v>
                </c:pt>
                <c:pt idx="706">
                  <c:v>5.3167</c:v>
                </c:pt>
                <c:pt idx="707">
                  <c:v>5.4548800000000002</c:v>
                </c:pt>
              </c:numCache>
            </c:numRef>
          </c:val>
          <c:smooth val="0"/>
          <c:extLst>
            <c:ext xmlns:c16="http://schemas.microsoft.com/office/drawing/2014/chart" uri="{C3380CC4-5D6E-409C-BE32-E72D297353CC}">
              <c16:uniqueId val="{00000002-F31E-4170-9322-6C48FF56580E}"/>
            </c:ext>
          </c:extLst>
        </c:ser>
        <c:ser>
          <c:idx val="4"/>
          <c:order val="4"/>
          <c:tx>
            <c:strRef>
              <c:f>Sheet1!$F$1</c:f>
              <c:strCache>
                <c:ptCount val="1"/>
                <c:pt idx="0">
                  <c:v>Հայաստան (2031թ.)</c:v>
                </c:pt>
              </c:strCache>
            </c:strRef>
          </c:tx>
          <c:spPr>
            <a:ln w="19050" cap="rnd">
              <a:solidFill>
                <a:schemeClr val="accent6">
                  <a:lumMod val="75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Sheet1!$F$2:$F$971</c:f>
              <c:numCache>
                <c:formatCode>General</c:formatCode>
                <c:ptCount val="709"/>
                <c:pt idx="282" formatCode="0">
                  <c:v>2.8162799999999999</c:v>
                </c:pt>
                <c:pt idx="283" formatCode="0">
                  <c:v>2.81027</c:v>
                </c:pt>
                <c:pt idx="284" formatCode="0">
                  <c:v>2.7593900000000002</c:v>
                </c:pt>
                <c:pt idx="285" formatCode="0">
                  <c:v>2.7345800000000002</c:v>
                </c:pt>
                <c:pt idx="286" formatCode="0">
                  <c:v>2.7317</c:v>
                </c:pt>
                <c:pt idx="287" formatCode="0">
                  <c:v>2.7167599999999998</c:v>
                </c:pt>
                <c:pt idx="288" formatCode="0">
                  <c:v>2.7355</c:v>
                </c:pt>
                <c:pt idx="289" formatCode="0">
                  <c:v>2.7707899999999999</c:v>
                </c:pt>
                <c:pt idx="290" formatCode="0">
                  <c:v>2.8158499999999997</c:v>
                </c:pt>
                <c:pt idx="291" formatCode="0">
                  <c:v>2.8239199999999998</c:v>
                </c:pt>
                <c:pt idx="292" formatCode="0">
                  <c:v>2.7967200000000001</c:v>
                </c:pt>
                <c:pt idx="293" formatCode="0">
                  <c:v>2.7846600000000001</c:v>
                </c:pt>
                <c:pt idx="294" formatCode="0">
                  <c:v>2.7816500000000004</c:v>
                </c:pt>
                <c:pt idx="295" formatCode="0">
                  <c:v>2.8606400000000001</c:v>
                </c:pt>
                <c:pt idx="296" formatCode="0">
                  <c:v>2.8834599999999999</c:v>
                </c:pt>
                <c:pt idx="297" formatCode="0">
                  <c:v>2.8023000000000002</c:v>
                </c:pt>
                <c:pt idx="298" formatCode="0">
                  <c:v>2.8397699999999997</c:v>
                </c:pt>
                <c:pt idx="299" formatCode="0">
                  <c:v>2.8450500000000001</c:v>
                </c:pt>
                <c:pt idx="300" formatCode="0">
                  <c:v>2.8240099999999999</c:v>
                </c:pt>
                <c:pt idx="301" formatCode="0">
                  <c:v>3.0353699999999999</c:v>
                </c:pt>
                <c:pt idx="302" formatCode="0">
                  <c:v>3.01349</c:v>
                </c:pt>
                <c:pt idx="303" formatCode="0">
                  <c:v>2.9449999999999998</c:v>
                </c:pt>
                <c:pt idx="304" formatCode="0">
                  <c:v>2.9195899999999999</c:v>
                </c:pt>
                <c:pt idx="305" formatCode="0">
                  <c:v>2.8582100000000001</c:v>
                </c:pt>
                <c:pt idx="306" formatCode="0">
                  <c:v>2.8494900000000003</c:v>
                </c:pt>
                <c:pt idx="307" formatCode="0">
                  <c:v>2.94563</c:v>
                </c:pt>
                <c:pt idx="308" formatCode="0">
                  <c:v>2.9968900000000001</c:v>
                </c:pt>
                <c:pt idx="309" formatCode="0">
                  <c:v>2.99281</c:v>
                </c:pt>
                <c:pt idx="310" formatCode="0">
                  <c:v>2.9840300000000002</c:v>
                </c:pt>
                <c:pt idx="311" formatCode="0">
                  <c:v>2.87656</c:v>
                </c:pt>
                <c:pt idx="312" formatCode="0">
                  <c:v>2.8849</c:v>
                </c:pt>
                <c:pt idx="313" formatCode="0">
                  <c:v>2.8626200000000002</c:v>
                </c:pt>
                <c:pt idx="314" formatCode="0">
                  <c:v>2.9232100000000001</c:v>
                </c:pt>
                <c:pt idx="315" formatCode="0">
                  <c:v>2.9820199999999999</c:v>
                </c:pt>
                <c:pt idx="316" formatCode="0">
                  <c:v>2.9765600000000001</c:v>
                </c:pt>
                <c:pt idx="317" formatCode="0">
                  <c:v>2.8987400000000001</c:v>
                </c:pt>
                <c:pt idx="318" formatCode="0">
                  <c:v>2.9700099999999998</c:v>
                </c:pt>
                <c:pt idx="319" formatCode="0">
                  <c:v>3.02779</c:v>
                </c:pt>
                <c:pt idx="320" formatCode="0">
                  <c:v>2.9996399999999999</c:v>
                </c:pt>
                <c:pt idx="321" formatCode="0">
                  <c:v>2.9712700000000001</c:v>
                </c:pt>
                <c:pt idx="322" formatCode="0">
                  <c:v>2.9341300000000001</c:v>
                </c:pt>
                <c:pt idx="323" formatCode="0">
                  <c:v>2.8521699999999996</c:v>
                </c:pt>
                <c:pt idx="324" formatCode="0">
                  <c:v>2.87676</c:v>
                </c:pt>
                <c:pt idx="325" formatCode="0">
                  <c:v>2.8716000000000004</c:v>
                </c:pt>
                <c:pt idx="326" formatCode="0">
                  <c:v>2.8968700000000003</c:v>
                </c:pt>
                <c:pt idx="327" formatCode="0">
                  <c:v>2.8968700000000003</c:v>
                </c:pt>
                <c:pt idx="328" formatCode="0">
                  <c:v>2.8968700000000003</c:v>
                </c:pt>
                <c:pt idx="329" formatCode="0">
                  <c:v>2.9520200000000001</c:v>
                </c:pt>
                <c:pt idx="330" formatCode="0">
                  <c:v>2.93004</c:v>
                </c:pt>
                <c:pt idx="331" formatCode="0">
                  <c:v>2.9416500000000001</c:v>
                </c:pt>
                <c:pt idx="332" formatCode="0">
                  <c:v>2.9403199999999998</c:v>
                </c:pt>
                <c:pt idx="333" formatCode="0">
                  <c:v>2.9382600000000001</c:v>
                </c:pt>
                <c:pt idx="334" formatCode="0">
                  <c:v>2.9731400000000003</c:v>
                </c:pt>
                <c:pt idx="335" formatCode="0">
                  <c:v>2.9630299999999998</c:v>
                </c:pt>
                <c:pt idx="336" formatCode="0">
                  <c:v>3.0698799999999999</c:v>
                </c:pt>
                <c:pt idx="337" formatCode="0">
                  <c:v>3.0155700000000003</c:v>
                </c:pt>
                <c:pt idx="338" formatCode="0">
                  <c:v>2.9156200000000001</c:v>
                </c:pt>
                <c:pt idx="339" formatCode="0">
                  <c:v>2.9810700000000003</c:v>
                </c:pt>
                <c:pt idx="340" formatCode="0">
                  <c:v>3.0558399999999999</c:v>
                </c:pt>
                <c:pt idx="341" formatCode="0">
                  <c:v>3.0394200000000002</c:v>
                </c:pt>
                <c:pt idx="342" formatCode="0">
                  <c:v>3.05139</c:v>
                </c:pt>
                <c:pt idx="343" formatCode="0">
                  <c:v>3.0260400000000001</c:v>
                </c:pt>
                <c:pt idx="344" formatCode="0">
                  <c:v>2.9920499999999999</c:v>
                </c:pt>
                <c:pt idx="345" formatCode="0">
                  <c:v>3.0131000000000001</c:v>
                </c:pt>
                <c:pt idx="346" formatCode="0">
                  <c:v>3.0109399999999997</c:v>
                </c:pt>
                <c:pt idx="347" formatCode="0">
                  <c:v>3.0249900000000003</c:v>
                </c:pt>
                <c:pt idx="348" formatCode="0">
                  <c:v>3.0249900000000003</c:v>
                </c:pt>
                <c:pt idx="349" formatCode="0">
                  <c:v>3.0474999999999999</c:v>
                </c:pt>
                <c:pt idx="350" formatCode="0">
                  <c:v>2.9689100000000002</c:v>
                </c:pt>
                <c:pt idx="351" formatCode="0">
                  <c:v>2.9595899999999999</c:v>
                </c:pt>
                <c:pt idx="352" formatCode="0">
                  <c:v>2.8351299999999999</c:v>
                </c:pt>
                <c:pt idx="353" formatCode="0">
                  <c:v>2.7931699999999999</c:v>
                </c:pt>
                <c:pt idx="354" formatCode="0">
                  <c:v>2.8282600000000002</c:v>
                </c:pt>
                <c:pt idx="355" formatCode="0">
                  <c:v>2.8228399999999998</c:v>
                </c:pt>
                <c:pt idx="356" formatCode="0">
                  <c:v>2.8658399999999999</c:v>
                </c:pt>
                <c:pt idx="357" formatCode="0">
                  <c:v>2.87324</c:v>
                </c:pt>
                <c:pt idx="358" formatCode="0">
                  <c:v>2.92238</c:v>
                </c:pt>
                <c:pt idx="359" formatCode="0">
                  <c:v>2.92014</c:v>
                </c:pt>
                <c:pt idx="360" formatCode="0">
                  <c:v>2.9056500000000001</c:v>
                </c:pt>
                <c:pt idx="361" formatCode="0">
                  <c:v>2.9303300000000001</c:v>
                </c:pt>
                <c:pt idx="362" formatCode="0">
                  <c:v>2.9270700000000001</c:v>
                </c:pt>
                <c:pt idx="363" formatCode="0">
                  <c:v>2.9443700000000002</c:v>
                </c:pt>
                <c:pt idx="364" formatCode="0">
                  <c:v>2.97932</c:v>
                </c:pt>
                <c:pt idx="365" formatCode="0">
                  <c:v>2.9887700000000001</c:v>
                </c:pt>
                <c:pt idx="366" formatCode="0">
                  <c:v>2.9707999999999997</c:v>
                </c:pt>
                <c:pt idx="367" formatCode="0">
                  <c:v>2.9850599999999998</c:v>
                </c:pt>
                <c:pt idx="368" formatCode="0">
                  <c:v>2.9850599999999998</c:v>
                </c:pt>
                <c:pt idx="369" formatCode="0">
                  <c:v>2.9782600000000001</c:v>
                </c:pt>
                <c:pt idx="370" formatCode="0">
                  <c:v>2.9917399999999996</c:v>
                </c:pt>
                <c:pt idx="371" formatCode="0">
                  <c:v>2.9783600000000003</c:v>
                </c:pt>
                <c:pt idx="372" formatCode="0">
                  <c:v>2.9942599999999997</c:v>
                </c:pt>
                <c:pt idx="373" formatCode="0">
                  <c:v>3.0104799999999998</c:v>
                </c:pt>
                <c:pt idx="374" formatCode="0">
                  <c:v>3.01892</c:v>
                </c:pt>
                <c:pt idx="375" formatCode="0">
                  <c:v>3.0396300000000003</c:v>
                </c:pt>
                <c:pt idx="376" formatCode="0">
                  <c:v>3.0487900000000003</c:v>
                </c:pt>
                <c:pt idx="377" formatCode="0">
                  <c:v>3.0171300000000003</c:v>
                </c:pt>
                <c:pt idx="378" formatCode="0">
                  <c:v>2.98759</c:v>
                </c:pt>
                <c:pt idx="379" formatCode="0">
                  <c:v>2.9806499999999998</c:v>
                </c:pt>
                <c:pt idx="380" formatCode="0">
                  <c:v>3.0042500000000003</c:v>
                </c:pt>
                <c:pt idx="381" formatCode="0">
                  <c:v>3.0738099999999999</c:v>
                </c:pt>
                <c:pt idx="382" formatCode="0">
                  <c:v>3.1035199999999996</c:v>
                </c:pt>
                <c:pt idx="383" formatCode="0">
                  <c:v>3.0450599999999999</c:v>
                </c:pt>
                <c:pt idx="384" formatCode="0">
                  <c:v>2.9582299999999999</c:v>
                </c:pt>
                <c:pt idx="385" formatCode="0">
                  <c:v>2.9448599999999998</c:v>
                </c:pt>
                <c:pt idx="386" formatCode="0">
                  <c:v>2.8704399999999999</c:v>
                </c:pt>
                <c:pt idx="387" formatCode="0">
                  <c:v>2.8032299999999997</c:v>
                </c:pt>
                <c:pt idx="388" formatCode="0">
                  <c:v>2.84158</c:v>
                </c:pt>
                <c:pt idx="389" formatCode="0">
                  <c:v>2.8043299999999998</c:v>
                </c:pt>
                <c:pt idx="390" formatCode="0">
                  <c:v>2.8622000000000001</c:v>
                </c:pt>
                <c:pt idx="391" formatCode="0">
                  <c:v>2.8386300000000002</c:v>
                </c:pt>
                <c:pt idx="392" formatCode="0">
                  <c:v>2.8888799999999999</c:v>
                </c:pt>
                <c:pt idx="393" formatCode="0">
                  <c:v>2.8519299999999999</c:v>
                </c:pt>
                <c:pt idx="394" formatCode="0">
                  <c:v>2.9017399999999998</c:v>
                </c:pt>
                <c:pt idx="395" formatCode="0">
                  <c:v>2.8675599999999997</c:v>
                </c:pt>
                <c:pt idx="396" formatCode="0">
                  <c:v>2.8888600000000002</c:v>
                </c:pt>
                <c:pt idx="397" formatCode="0">
                  <c:v>2.8220100000000001</c:v>
                </c:pt>
                <c:pt idx="398" formatCode="0">
                  <c:v>2.8413400000000002</c:v>
                </c:pt>
                <c:pt idx="399" formatCode="0">
                  <c:v>2.7991699999999997</c:v>
                </c:pt>
                <c:pt idx="400" formatCode="0">
                  <c:v>2.8429799999999998</c:v>
                </c:pt>
                <c:pt idx="401" formatCode="0">
                  <c:v>2.9173899999999997</c:v>
                </c:pt>
                <c:pt idx="402" formatCode="0">
                  <c:v>2.9025099999999999</c:v>
                </c:pt>
                <c:pt idx="403" formatCode="0">
                  <c:v>3.04569</c:v>
                </c:pt>
                <c:pt idx="404" formatCode="0">
                  <c:v>3.0146499999999996</c:v>
                </c:pt>
                <c:pt idx="405" formatCode="0">
                  <c:v>2.9231799999999999</c:v>
                </c:pt>
                <c:pt idx="406" formatCode="0">
                  <c:v>2.9657799999999996</c:v>
                </c:pt>
                <c:pt idx="407" formatCode="0">
                  <c:v>2.9409300000000003</c:v>
                </c:pt>
                <c:pt idx="408" formatCode="0">
                  <c:v>2.9485199999999998</c:v>
                </c:pt>
                <c:pt idx="409" formatCode="0">
                  <c:v>2.9842399999999998</c:v>
                </c:pt>
                <c:pt idx="410" formatCode="0">
                  <c:v>2.9702899999999999</c:v>
                </c:pt>
                <c:pt idx="411" formatCode="0">
                  <c:v>2.92605</c:v>
                </c:pt>
                <c:pt idx="412" formatCode="0">
                  <c:v>2.9661500000000003</c:v>
                </c:pt>
                <c:pt idx="413" formatCode="0">
                  <c:v>3.0146199999999999</c:v>
                </c:pt>
                <c:pt idx="414" formatCode="0">
                  <c:v>3.0184600000000001</c:v>
                </c:pt>
                <c:pt idx="415" formatCode="0">
                  <c:v>3.0117599999999998</c:v>
                </c:pt>
                <c:pt idx="416" formatCode="0">
                  <c:v>2.97438</c:v>
                </c:pt>
                <c:pt idx="417" formatCode="0">
                  <c:v>2.9260299999999999</c:v>
                </c:pt>
                <c:pt idx="418" formatCode="0">
                  <c:v>2.9110500000000004</c:v>
                </c:pt>
                <c:pt idx="419" formatCode="0">
                  <c:v>2.89113</c:v>
                </c:pt>
                <c:pt idx="420" formatCode="0">
                  <c:v>2.9763799999999998</c:v>
                </c:pt>
                <c:pt idx="421" formatCode="0">
                  <c:v>2.9467500000000002</c:v>
                </c:pt>
                <c:pt idx="422" formatCode="0">
                  <c:v>2.9974799999999999</c:v>
                </c:pt>
                <c:pt idx="423" formatCode="0">
                  <c:v>3.0597000000000003</c:v>
                </c:pt>
                <c:pt idx="424" formatCode="0">
                  <c:v>3.05904</c:v>
                </c:pt>
                <c:pt idx="425" formatCode="0">
                  <c:v>3.0067000000000004</c:v>
                </c:pt>
                <c:pt idx="426" formatCode="0">
                  <c:v>3.05118</c:v>
                </c:pt>
                <c:pt idx="427" formatCode="0">
                  <c:v>3.0382499999999997</c:v>
                </c:pt>
                <c:pt idx="428" formatCode="0">
                  <c:v>3.0173800000000002</c:v>
                </c:pt>
                <c:pt idx="429" formatCode="0">
                  <c:v>2.9738099999999998</c:v>
                </c:pt>
                <c:pt idx="430" formatCode="0">
                  <c:v>2.90802</c:v>
                </c:pt>
                <c:pt idx="431" formatCode="0">
                  <c:v>2.8925200000000002</c:v>
                </c:pt>
                <c:pt idx="432" formatCode="0">
                  <c:v>2.9240599999999999</c:v>
                </c:pt>
                <c:pt idx="433" formatCode="0">
                  <c:v>2.9240599999999999</c:v>
                </c:pt>
                <c:pt idx="434" formatCode="0">
                  <c:v>2.9069199999999999</c:v>
                </c:pt>
                <c:pt idx="435" formatCode="0">
                  <c:v>2.87229</c:v>
                </c:pt>
                <c:pt idx="436" formatCode="0">
                  <c:v>2.82531</c:v>
                </c:pt>
                <c:pt idx="437" formatCode="0">
                  <c:v>2.7965499999999999</c:v>
                </c:pt>
                <c:pt idx="438" formatCode="0">
                  <c:v>2.7936299999999998</c:v>
                </c:pt>
                <c:pt idx="439" formatCode="0">
                  <c:v>2.76464</c:v>
                </c:pt>
                <c:pt idx="440" formatCode="0">
                  <c:v>2.7753500000000004</c:v>
                </c:pt>
                <c:pt idx="441" formatCode="0">
                  <c:v>2.8212099999999998</c:v>
                </c:pt>
                <c:pt idx="442" formatCode="0">
                  <c:v>2.7391899999999998</c:v>
                </c:pt>
                <c:pt idx="443" formatCode="0">
                  <c:v>2.7543400000000005</c:v>
                </c:pt>
                <c:pt idx="444" formatCode="0">
                  <c:v>2.7432100000000004</c:v>
                </c:pt>
                <c:pt idx="445" formatCode="0">
                  <c:v>2.6863799999999998</c:v>
                </c:pt>
                <c:pt idx="446" formatCode="0">
                  <c:v>2.59802</c:v>
                </c:pt>
                <c:pt idx="447" formatCode="0">
                  <c:v>2.5404800000000001</c:v>
                </c:pt>
                <c:pt idx="448" formatCode="0">
                  <c:v>2.6586399999999997</c:v>
                </c:pt>
                <c:pt idx="449" formatCode="0">
                  <c:v>2.6552499999999997</c:v>
                </c:pt>
                <c:pt idx="450" formatCode="0">
                  <c:v>2.7174900000000002</c:v>
                </c:pt>
                <c:pt idx="451" formatCode="0">
                  <c:v>2.6463099999999997</c:v>
                </c:pt>
                <c:pt idx="452" formatCode="0">
                  <c:v>2.6905599999999996</c:v>
                </c:pt>
                <c:pt idx="453" formatCode="0">
                  <c:v>2.6973099999999999</c:v>
                </c:pt>
                <c:pt idx="454" formatCode="0">
                  <c:v>2.72831</c:v>
                </c:pt>
                <c:pt idx="455" formatCode="0">
                  <c:v>2.7709699999999997</c:v>
                </c:pt>
                <c:pt idx="456" formatCode="0">
                  <c:v>2.82158</c:v>
                </c:pt>
                <c:pt idx="457" formatCode="0">
                  <c:v>2.9059399999999997</c:v>
                </c:pt>
                <c:pt idx="458" formatCode="0">
                  <c:v>2.9312799999999997</c:v>
                </c:pt>
                <c:pt idx="459" formatCode="0">
                  <c:v>2.9318900000000001</c:v>
                </c:pt>
                <c:pt idx="460" formatCode="0">
                  <c:v>2.9222000000000001</c:v>
                </c:pt>
                <c:pt idx="461" formatCode="0">
                  <c:v>2.8701400000000001</c:v>
                </c:pt>
                <c:pt idx="462" formatCode="0">
                  <c:v>2.8374299999999999</c:v>
                </c:pt>
                <c:pt idx="463" formatCode="0">
                  <c:v>2.81121</c:v>
                </c:pt>
                <c:pt idx="464" formatCode="0">
                  <c:v>2.8524900000000004</c:v>
                </c:pt>
                <c:pt idx="465" formatCode="0">
                  <c:v>2.8594200000000001</c:v>
                </c:pt>
                <c:pt idx="466" formatCode="0">
                  <c:v>2.7955099999999997</c:v>
                </c:pt>
                <c:pt idx="467" formatCode="0">
                  <c:v>2.77339</c:v>
                </c:pt>
                <c:pt idx="468" formatCode="0">
                  <c:v>2.7677800000000001</c:v>
                </c:pt>
                <c:pt idx="469" formatCode="0">
                  <c:v>2.7418099999999996</c:v>
                </c:pt>
                <c:pt idx="470" formatCode="0">
                  <c:v>2.74017</c:v>
                </c:pt>
                <c:pt idx="471" formatCode="0">
                  <c:v>2.7369699999999999</c:v>
                </c:pt>
                <c:pt idx="472" formatCode="0">
                  <c:v>2.7306400000000002</c:v>
                </c:pt>
                <c:pt idx="473" formatCode="0">
                  <c:v>2.8156499999999998</c:v>
                </c:pt>
                <c:pt idx="474" formatCode="0">
                  <c:v>2.8012099999999998</c:v>
                </c:pt>
                <c:pt idx="475" formatCode="0">
                  <c:v>2.8155000000000001</c:v>
                </c:pt>
                <c:pt idx="476" formatCode="0">
                  <c:v>2.8430599999999999</c:v>
                </c:pt>
                <c:pt idx="477" formatCode="0">
                  <c:v>2.8433199999999998</c:v>
                </c:pt>
                <c:pt idx="478" formatCode="0">
                  <c:v>3.1177899999999998</c:v>
                </c:pt>
                <c:pt idx="479" formatCode="0">
                  <c:v>3.13611</c:v>
                </c:pt>
                <c:pt idx="480" formatCode="0">
                  <c:v>3.1147500000000004</c:v>
                </c:pt>
                <c:pt idx="481" formatCode="0">
                  <c:v>3.1323799999999999</c:v>
                </c:pt>
                <c:pt idx="482" formatCode="0">
                  <c:v>3.2180499999999999</c:v>
                </c:pt>
                <c:pt idx="483" formatCode="0">
                  <c:v>3.1572699999999996</c:v>
                </c:pt>
                <c:pt idx="484" formatCode="0">
                  <c:v>3.19529</c:v>
                </c:pt>
                <c:pt idx="485" formatCode="0">
                  <c:v>3.1318999999999999</c:v>
                </c:pt>
                <c:pt idx="486" formatCode="0">
                  <c:v>3.1296499999999998</c:v>
                </c:pt>
                <c:pt idx="487" formatCode="0">
                  <c:v>3.1127100000000003</c:v>
                </c:pt>
                <c:pt idx="488" formatCode="0">
                  <c:v>3.0663099999999996</c:v>
                </c:pt>
                <c:pt idx="489" formatCode="0">
                  <c:v>3.06996</c:v>
                </c:pt>
                <c:pt idx="490" formatCode="0">
                  <c:v>3.1649099999999999</c:v>
                </c:pt>
                <c:pt idx="491" formatCode="0">
                  <c:v>3.1684100000000002</c:v>
                </c:pt>
                <c:pt idx="492" formatCode="0">
                  <c:v>3.1833999999999998</c:v>
                </c:pt>
                <c:pt idx="493" formatCode="0">
                  <c:v>3.1336700000000004</c:v>
                </c:pt>
                <c:pt idx="494" formatCode="0">
                  <c:v>3.1793200000000001</c:v>
                </c:pt>
                <c:pt idx="495" formatCode="0">
                  <c:v>3.1877599999999999</c:v>
                </c:pt>
                <c:pt idx="496" formatCode="0">
                  <c:v>3.1908999999999996</c:v>
                </c:pt>
                <c:pt idx="497" formatCode="0">
                  <c:v>3.4007900000000002</c:v>
                </c:pt>
                <c:pt idx="498" formatCode="0">
                  <c:v>3.3739600000000003</c:v>
                </c:pt>
                <c:pt idx="499" formatCode="0">
                  <c:v>3.4559100000000003</c:v>
                </c:pt>
                <c:pt idx="500" formatCode="0">
                  <c:v>3.43737</c:v>
                </c:pt>
                <c:pt idx="501" formatCode="0">
                  <c:v>3.3971</c:v>
                </c:pt>
                <c:pt idx="502" formatCode="0">
                  <c:v>3.4611399999999999</c:v>
                </c:pt>
                <c:pt idx="503" formatCode="0">
                  <c:v>3.3461500000000002</c:v>
                </c:pt>
                <c:pt idx="504" formatCode="0">
                  <c:v>3.2849599999999999</c:v>
                </c:pt>
                <c:pt idx="505" formatCode="0">
                  <c:v>3.2411700000000003</c:v>
                </c:pt>
                <c:pt idx="506" formatCode="0">
                  <c:v>3.2240699999999998</c:v>
                </c:pt>
                <c:pt idx="507" formatCode="0">
                  <c:v>3.24221</c:v>
                </c:pt>
                <c:pt idx="508" formatCode="0">
                  <c:v>3.2334100000000001</c:v>
                </c:pt>
                <c:pt idx="509" formatCode="0">
                  <c:v>3.2247699999999999</c:v>
                </c:pt>
                <c:pt idx="510" formatCode="0">
                  <c:v>3.2366100000000002</c:v>
                </c:pt>
                <c:pt idx="511" formatCode="0">
                  <c:v>3.25854</c:v>
                </c:pt>
                <c:pt idx="512" formatCode="0">
                  <c:v>3.25935</c:v>
                </c:pt>
                <c:pt idx="513" formatCode="0">
                  <c:v>3.2657600000000002</c:v>
                </c:pt>
                <c:pt idx="514" formatCode="0">
                  <c:v>3.2221600000000001</c:v>
                </c:pt>
                <c:pt idx="515" formatCode="0">
                  <c:v>3.2169400000000001</c:v>
                </c:pt>
                <c:pt idx="516" formatCode="0">
                  <c:v>3.2014</c:v>
                </c:pt>
                <c:pt idx="517" formatCode="0">
                  <c:v>3.2017099999999998</c:v>
                </c:pt>
                <c:pt idx="518" formatCode="0">
                  <c:v>3.2017099999999998</c:v>
                </c:pt>
                <c:pt idx="519" formatCode="0">
                  <c:v>3.2017099999999998</c:v>
                </c:pt>
                <c:pt idx="520" formatCode="0">
                  <c:v>3.1562200000000002</c:v>
                </c:pt>
                <c:pt idx="521" formatCode="0">
                  <c:v>3.19008</c:v>
                </c:pt>
                <c:pt idx="522" formatCode="0">
                  <c:v>3.19502</c:v>
                </c:pt>
                <c:pt idx="523" formatCode="0">
                  <c:v>3.19502</c:v>
                </c:pt>
                <c:pt idx="524" formatCode="0">
                  <c:v>3.1109500000000003</c:v>
                </c:pt>
                <c:pt idx="525" formatCode="0">
                  <c:v>3.1054899999999996</c:v>
                </c:pt>
                <c:pt idx="526" formatCode="0">
                  <c:v>3.0988500000000001</c:v>
                </c:pt>
                <c:pt idx="527" formatCode="0">
                  <c:v>3.0636700000000001</c:v>
                </c:pt>
                <c:pt idx="528" formatCode="0">
                  <c:v>3.0910000000000002</c:v>
                </c:pt>
                <c:pt idx="529" formatCode="0">
                  <c:v>3.0795400000000002</c:v>
                </c:pt>
                <c:pt idx="530" formatCode="0">
                  <c:v>3.1065199999999997</c:v>
                </c:pt>
                <c:pt idx="531" formatCode="0">
                  <c:v>3.14039</c:v>
                </c:pt>
                <c:pt idx="532" formatCode="0">
                  <c:v>3.13496</c:v>
                </c:pt>
                <c:pt idx="533" formatCode="0">
                  <c:v>3.1458699999999999</c:v>
                </c:pt>
                <c:pt idx="534" formatCode="0">
                  <c:v>3.1142300000000001</c:v>
                </c:pt>
                <c:pt idx="535" formatCode="0">
                  <c:v>3.1424700000000003</c:v>
                </c:pt>
                <c:pt idx="536" formatCode="0">
                  <c:v>3.1644600000000001</c:v>
                </c:pt>
                <c:pt idx="537" formatCode="0">
                  <c:v>3.1922199999999998</c:v>
                </c:pt>
                <c:pt idx="538" formatCode="0">
                  <c:v>3.3184399999999998</c:v>
                </c:pt>
                <c:pt idx="539" formatCode="0">
                  <c:v>3.3437099999999997</c:v>
                </c:pt>
                <c:pt idx="540" formatCode="0">
                  <c:v>3.2960700000000003</c:v>
                </c:pt>
                <c:pt idx="541" formatCode="0">
                  <c:v>3.3171300000000001</c:v>
                </c:pt>
                <c:pt idx="542" formatCode="0">
                  <c:v>3.3606400000000001</c:v>
                </c:pt>
                <c:pt idx="543" formatCode="0">
                  <c:v>3.3688500000000001</c:v>
                </c:pt>
                <c:pt idx="544" formatCode="0">
                  <c:v>3.3776999999999999</c:v>
                </c:pt>
                <c:pt idx="545" formatCode="0">
                  <c:v>3.4041899999999998</c:v>
                </c:pt>
                <c:pt idx="546" formatCode="0">
                  <c:v>3.3817399999999997</c:v>
                </c:pt>
                <c:pt idx="547" formatCode="0">
                  <c:v>3.3769200000000001</c:v>
                </c:pt>
                <c:pt idx="548" formatCode="0">
                  <c:v>3.4188000000000001</c:v>
                </c:pt>
                <c:pt idx="549" formatCode="0">
                  <c:v>3.40022</c:v>
                </c:pt>
                <c:pt idx="550" formatCode="0">
                  <c:v>3.4419799999999996</c:v>
                </c:pt>
                <c:pt idx="551" formatCode="0">
                  <c:v>3.39324</c:v>
                </c:pt>
                <c:pt idx="552" formatCode="0">
                  <c:v>3.4953500000000002</c:v>
                </c:pt>
                <c:pt idx="553" formatCode="0">
                  <c:v>3.62921</c:v>
                </c:pt>
                <c:pt idx="554" formatCode="0">
                  <c:v>3.5597699999999999</c:v>
                </c:pt>
                <c:pt idx="555" formatCode="0">
                  <c:v>3.5743200000000002</c:v>
                </c:pt>
                <c:pt idx="556" formatCode="0">
                  <c:v>3.6036299999999999</c:v>
                </c:pt>
                <c:pt idx="557" formatCode="0">
                  <c:v>3.6157900000000001</c:v>
                </c:pt>
                <c:pt idx="558" formatCode="0">
                  <c:v>3.6377300000000004</c:v>
                </c:pt>
                <c:pt idx="559" formatCode="0">
                  <c:v>3.6922600000000001</c:v>
                </c:pt>
                <c:pt idx="560" formatCode="0">
                  <c:v>3.6825700000000001</c:v>
                </c:pt>
                <c:pt idx="561" formatCode="0">
                  <c:v>3.8798500000000002</c:v>
                </c:pt>
                <c:pt idx="562" formatCode="0">
                  <c:v>3.7645400000000002</c:v>
                </c:pt>
                <c:pt idx="563" formatCode="0">
                  <c:v>4.0413199999999998</c:v>
                </c:pt>
                <c:pt idx="564" formatCode="0">
                  <c:v>4.7493999999999996</c:v>
                </c:pt>
                <c:pt idx="565" formatCode="0">
                  <c:v>4.7196899999999999</c:v>
                </c:pt>
                <c:pt idx="566" formatCode="0">
                  <c:v>4.9673300000000005</c:v>
                </c:pt>
                <c:pt idx="567" formatCode="0">
                  <c:v>5.6096000000000004</c:v>
                </c:pt>
                <c:pt idx="568" formatCode="0">
                  <c:v>6.1355399999999998</c:v>
                </c:pt>
                <c:pt idx="569" formatCode="0">
                  <c:v>6.46021</c:v>
                </c:pt>
                <c:pt idx="570" formatCode="0">
                  <c:v>6.3742200000000002</c:v>
                </c:pt>
                <c:pt idx="571" formatCode="0">
                  <c:v>6.1183799999999993</c:v>
                </c:pt>
                <c:pt idx="572" formatCode="0">
                  <c:v>6.1227999999999998</c:v>
                </c:pt>
                <c:pt idx="573" formatCode="0">
                  <c:v>5.7706799999999996</c:v>
                </c:pt>
                <c:pt idx="574" formatCode="0">
                  <c:v>5.7243499999999994</c:v>
                </c:pt>
                <c:pt idx="575" formatCode="0">
                  <c:v>4.9961200000000003</c:v>
                </c:pt>
                <c:pt idx="576" formatCode="0">
                  <c:v>5.0047100000000002</c:v>
                </c:pt>
                <c:pt idx="577" formatCode="0">
                  <c:v>5.0774699999999999</c:v>
                </c:pt>
                <c:pt idx="578" formatCode="0">
                  <c:v>4.6476799999999994</c:v>
                </c:pt>
                <c:pt idx="579" formatCode="0">
                  <c:v>4.5895200000000003</c:v>
                </c:pt>
                <c:pt idx="580" formatCode="0">
                  <c:v>4.6141399999999999</c:v>
                </c:pt>
                <c:pt idx="581" formatCode="0">
                  <c:v>4.5579900000000002</c:v>
                </c:pt>
                <c:pt idx="582" formatCode="0">
                  <c:v>4.4015899999999997</c:v>
                </c:pt>
                <c:pt idx="583" formatCode="0">
                  <c:v>4.5372399999999997</c:v>
                </c:pt>
                <c:pt idx="584" formatCode="0">
                  <c:v>4.5393999999999997</c:v>
                </c:pt>
                <c:pt idx="585" formatCode="0">
                  <c:v>4.5794199999999998</c:v>
                </c:pt>
                <c:pt idx="586" formatCode="0">
                  <c:v>4.6348700000000003</c:v>
                </c:pt>
                <c:pt idx="587" formatCode="0">
                  <c:v>4.5811299999999999</c:v>
                </c:pt>
                <c:pt idx="588" formatCode="0">
                  <c:v>4.57402</c:v>
                </c:pt>
                <c:pt idx="589" formatCode="0">
                  <c:v>4.4157700000000002</c:v>
                </c:pt>
                <c:pt idx="590" formatCode="0">
                  <c:v>4.38917</c:v>
                </c:pt>
                <c:pt idx="591" formatCode="0">
                  <c:v>4.3552999999999997</c:v>
                </c:pt>
                <c:pt idx="592" formatCode="0">
                  <c:v>4.2993699999999997</c:v>
                </c:pt>
                <c:pt idx="593" formatCode="0">
                  <c:v>4.2969499999999998</c:v>
                </c:pt>
                <c:pt idx="594" formatCode="0">
                  <c:v>4.3578700000000001</c:v>
                </c:pt>
                <c:pt idx="595" formatCode="0">
                  <c:v>4.3906400000000003</c:v>
                </c:pt>
                <c:pt idx="596" formatCode="0">
                  <c:v>4.32531</c:v>
                </c:pt>
                <c:pt idx="597" formatCode="0">
                  <c:v>4.32531</c:v>
                </c:pt>
                <c:pt idx="598" formatCode="0">
                  <c:v>4.32531</c:v>
                </c:pt>
                <c:pt idx="599" formatCode="0">
                  <c:v>4.3587099999999994</c:v>
                </c:pt>
                <c:pt idx="600" formatCode="0">
                  <c:v>4.5148299999999999</c:v>
                </c:pt>
                <c:pt idx="601" formatCode="0">
                  <c:v>4.4402400000000002</c:v>
                </c:pt>
                <c:pt idx="602" formatCode="0">
                  <c:v>4.5969499999999996</c:v>
                </c:pt>
                <c:pt idx="603" formatCode="0">
                  <c:v>4.7315100000000001</c:v>
                </c:pt>
                <c:pt idx="604" formatCode="0">
                  <c:v>4.9148800000000001</c:v>
                </c:pt>
                <c:pt idx="605" formatCode="0">
                  <c:v>4.8563799999999997</c:v>
                </c:pt>
                <c:pt idx="606" formatCode="0">
                  <c:v>4.9167700000000005</c:v>
                </c:pt>
                <c:pt idx="607" formatCode="0">
                  <c:v>4.8611700000000004</c:v>
                </c:pt>
                <c:pt idx="608" formatCode="0">
                  <c:v>4.8611700000000004</c:v>
                </c:pt>
                <c:pt idx="609" formatCode="0">
                  <c:v>5.0188099999999993</c:v>
                </c:pt>
                <c:pt idx="610" formatCode="0">
                  <c:v>4.9676600000000004</c:v>
                </c:pt>
                <c:pt idx="611" formatCode="0">
                  <c:v>4.8955200000000003</c:v>
                </c:pt>
                <c:pt idx="612" formatCode="0">
                  <c:v>4.89039</c:v>
                </c:pt>
                <c:pt idx="613" formatCode="0">
                  <c:v>5.04481</c:v>
                </c:pt>
                <c:pt idx="614" formatCode="0">
                  <c:v>5.1614200000000006</c:v>
                </c:pt>
                <c:pt idx="615" formatCode="0">
                  <c:v>5.18452</c:v>
                </c:pt>
                <c:pt idx="616" formatCode="0">
                  <c:v>5.2349699999999997</c:v>
                </c:pt>
                <c:pt idx="617" formatCode="0">
                  <c:v>5.1543799999999997</c:v>
                </c:pt>
                <c:pt idx="618" formatCode="0">
                  <c:v>5.2118700000000002</c:v>
                </c:pt>
                <c:pt idx="619" formatCode="0">
                  <c:v>5.1297900000000007</c:v>
                </c:pt>
                <c:pt idx="620" formatCode="0">
                  <c:v>5.2034900000000004</c:v>
                </c:pt>
                <c:pt idx="621" formatCode="0">
                  <c:v>5.2997199999999998</c:v>
                </c:pt>
                <c:pt idx="622" formatCode="0">
                  <c:v>5.33474</c:v>
                </c:pt>
                <c:pt idx="623" formatCode="0">
                  <c:v>5.3050999999999995</c:v>
                </c:pt>
                <c:pt idx="624" formatCode="0">
                  <c:v>5.3465400000000001</c:v>
                </c:pt>
                <c:pt idx="625" formatCode="0">
                  <c:v>5.3365400000000003</c:v>
                </c:pt>
                <c:pt idx="626" formatCode="0">
                  <c:v>5.3339700000000008</c:v>
                </c:pt>
                <c:pt idx="627" formatCode="0">
                  <c:v>5.2308399999999997</c:v>
                </c:pt>
                <c:pt idx="628" formatCode="0">
                  <c:v>5.2225000000000001</c:v>
                </c:pt>
                <c:pt idx="629" formatCode="0">
                  <c:v>5.21814</c:v>
                </c:pt>
                <c:pt idx="630" formatCode="0">
                  <c:v>5.1291499999999992</c:v>
                </c:pt>
                <c:pt idx="631" formatCode="0">
                  <c:v>5.1291499999999992</c:v>
                </c:pt>
                <c:pt idx="632" formatCode="0">
                  <c:v>5.1291499999999992</c:v>
                </c:pt>
                <c:pt idx="633" formatCode="0">
                  <c:v>5.0347400000000002</c:v>
                </c:pt>
                <c:pt idx="634" formatCode="0">
                  <c:v>5.1193400000000002</c:v>
                </c:pt>
                <c:pt idx="635" formatCode="0">
                  <c:v>5.0565100000000003</c:v>
                </c:pt>
                <c:pt idx="636" formatCode="0">
                  <c:v>5.0787700000000005</c:v>
                </c:pt>
                <c:pt idx="637" formatCode="0">
                  <c:v>4.9774000000000003</c:v>
                </c:pt>
                <c:pt idx="638" formatCode="0">
                  <c:v>5.0716299999999999</c:v>
                </c:pt>
                <c:pt idx="639" formatCode="0">
                  <c:v>5.0055700000000005</c:v>
                </c:pt>
                <c:pt idx="640" formatCode="0">
                  <c:v>5.0870999999999995</c:v>
                </c:pt>
                <c:pt idx="641" formatCode="0">
                  <c:v>5.27</c:v>
                </c:pt>
                <c:pt idx="642" formatCode="0">
                  <c:v>5.4304300000000003</c:v>
                </c:pt>
                <c:pt idx="643" formatCode="0">
                  <c:v>5.3914099999999996</c:v>
                </c:pt>
                <c:pt idx="644" formatCode="0">
                  <c:v>5.3486599999999997</c:v>
                </c:pt>
                <c:pt idx="645" formatCode="0">
                  <c:v>5.46652</c:v>
                </c:pt>
                <c:pt idx="646" formatCode="0">
                  <c:v>5.5279499999999997</c:v>
                </c:pt>
                <c:pt idx="647" formatCode="0">
                  <c:v>5.5276300000000003</c:v>
                </c:pt>
                <c:pt idx="648" formatCode="0">
                  <c:v>5.4647500000000004</c:v>
                </c:pt>
                <c:pt idx="649" formatCode="0">
                  <c:v>5.5697299999999998</c:v>
                </c:pt>
                <c:pt idx="650" formatCode="0">
                  <c:v>5.7431299999999998</c:v>
                </c:pt>
                <c:pt idx="651" formatCode="0">
                  <c:v>5.9547400000000001</c:v>
                </c:pt>
                <c:pt idx="652" formatCode="0">
                  <c:v>6.0107699999999999</c:v>
                </c:pt>
                <c:pt idx="653" formatCode="0">
                  <c:v>6.0135799999999993</c:v>
                </c:pt>
                <c:pt idx="654" formatCode="0">
                  <c:v>6.2188999999999997</c:v>
                </c:pt>
                <c:pt idx="655" formatCode="0">
                  <c:v>6.0557100000000004</c:v>
                </c:pt>
                <c:pt idx="656" formatCode="0">
                  <c:v>6.0152599999999996</c:v>
                </c:pt>
                <c:pt idx="657" formatCode="0">
                  <c:v>6.0366400000000002</c:v>
                </c:pt>
                <c:pt idx="658" formatCode="0">
                  <c:v>6.1228700000000007</c:v>
                </c:pt>
                <c:pt idx="659" formatCode="0">
                  <c:v>6.3231299999999999</c:v>
                </c:pt>
                <c:pt idx="660" formatCode="0">
                  <c:v>6.4320000000000004</c:v>
                </c:pt>
                <c:pt idx="661" formatCode="0">
                  <c:v>6.44475</c:v>
                </c:pt>
                <c:pt idx="662" formatCode="0">
                  <c:v>6.49838</c:v>
                </c:pt>
                <c:pt idx="663" formatCode="0">
                  <c:v>6.4186800000000002</c:v>
                </c:pt>
                <c:pt idx="664" formatCode="0">
                  <c:v>6.3620700000000001</c:v>
                </c:pt>
                <c:pt idx="665" formatCode="0">
                  <c:v>6.30898</c:v>
                </c:pt>
                <c:pt idx="666" formatCode="0">
                  <c:v>6.3936500000000001</c:v>
                </c:pt>
                <c:pt idx="667" formatCode="0">
                  <c:v>6.3651599999999995</c:v>
                </c:pt>
                <c:pt idx="668" formatCode="0">
                  <c:v>6.19665</c:v>
                </c:pt>
                <c:pt idx="669" formatCode="0">
                  <c:v>6.2222900000000001</c:v>
                </c:pt>
                <c:pt idx="670" formatCode="0">
                  <c:v>6.2367499999999998</c:v>
                </c:pt>
                <c:pt idx="671" formatCode="0">
                  <c:v>6.2295000000000007</c:v>
                </c:pt>
                <c:pt idx="672" formatCode="0">
                  <c:v>6.3157800000000002</c:v>
                </c:pt>
                <c:pt idx="673" formatCode="0">
                  <c:v>6.2165099999999995</c:v>
                </c:pt>
                <c:pt idx="674" formatCode="0">
                  <c:v>6.1013999999999999</c:v>
                </c:pt>
                <c:pt idx="675" formatCode="0">
                  <c:v>6.04528</c:v>
                </c:pt>
                <c:pt idx="676" formatCode="0">
                  <c:v>6.0882199999999997</c:v>
                </c:pt>
                <c:pt idx="677" formatCode="0">
                  <c:v>5.9766999999999992</c:v>
                </c:pt>
                <c:pt idx="678" formatCode="0">
                  <c:v>5.9969100000000006</c:v>
                </c:pt>
                <c:pt idx="679" formatCode="0">
                  <c:v>5.9801599999999997</c:v>
                </c:pt>
                <c:pt idx="680" formatCode="0">
                  <c:v>5.9445600000000001</c:v>
                </c:pt>
                <c:pt idx="681" formatCode="0">
                  <c:v>5.6528</c:v>
                </c:pt>
                <c:pt idx="682" formatCode="0">
                  <c:v>5.5689200000000003</c:v>
                </c:pt>
                <c:pt idx="683" formatCode="0">
                  <c:v>5.6862400000000006</c:v>
                </c:pt>
                <c:pt idx="684" formatCode="0">
                  <c:v>5.5549900000000001</c:v>
                </c:pt>
                <c:pt idx="685" formatCode="0">
                  <c:v>5.5476400000000003</c:v>
                </c:pt>
                <c:pt idx="686" formatCode="0">
                  <c:v>5.5056100000000008</c:v>
                </c:pt>
                <c:pt idx="687" formatCode="0">
                  <c:v>5.4992899999999993</c:v>
                </c:pt>
                <c:pt idx="688" formatCode="0">
                  <c:v>5.50075</c:v>
                </c:pt>
                <c:pt idx="689" formatCode="0">
                  <c:v>5.4770099999999999</c:v>
                </c:pt>
                <c:pt idx="690" formatCode="0">
                  <c:v>5.3622000000000005</c:v>
                </c:pt>
                <c:pt idx="691" formatCode="0">
                  <c:v>5.43872</c:v>
                </c:pt>
                <c:pt idx="692" formatCode="0">
                  <c:v>5.4387499999999998</c:v>
                </c:pt>
                <c:pt idx="693" formatCode="0">
                  <c:v>5.4387499999999998</c:v>
                </c:pt>
                <c:pt idx="694" formatCode="0">
                  <c:v>5.4043700000000001</c:v>
                </c:pt>
                <c:pt idx="695" formatCode="0">
                  <c:v>5.2943600000000002</c:v>
                </c:pt>
                <c:pt idx="696" formatCode="0">
                  <c:v>5.2636400000000005</c:v>
                </c:pt>
                <c:pt idx="697" formatCode="0">
                  <c:v>5.3097400000000006</c:v>
                </c:pt>
                <c:pt idx="698" formatCode="0">
                  <c:v>5.2986400000000007</c:v>
                </c:pt>
                <c:pt idx="699" formatCode="0">
                  <c:v>5.2119500000000007</c:v>
                </c:pt>
                <c:pt idx="700" formatCode="0">
                  <c:v>5.24376</c:v>
                </c:pt>
                <c:pt idx="701" formatCode="0">
                  <c:v>5.2206299999999999</c:v>
                </c:pt>
                <c:pt idx="702" formatCode="0">
                  <c:v>4.9378399999999996</c:v>
                </c:pt>
                <c:pt idx="703" formatCode="0">
                  <c:v>4.8765099999999997</c:v>
                </c:pt>
                <c:pt idx="704" formatCode="0">
                  <c:v>4.8869400000000001</c:v>
                </c:pt>
                <c:pt idx="705" formatCode="0">
                  <c:v>5.0764699999999996</c:v>
                </c:pt>
                <c:pt idx="706" formatCode="0">
                  <c:v>5.1374599999999999</c:v>
                </c:pt>
                <c:pt idx="707" formatCode="0">
                  <c:v>5.2088400000000004</c:v>
                </c:pt>
              </c:numCache>
            </c:numRef>
          </c:val>
          <c:smooth val="0"/>
          <c:extLst>
            <c:ext xmlns:c16="http://schemas.microsoft.com/office/drawing/2014/chart" uri="{C3380CC4-5D6E-409C-BE32-E72D297353CC}">
              <c16:uniqueId val="{00000003-F31E-4170-9322-6C48FF56580E}"/>
            </c:ext>
          </c:extLst>
        </c:ser>
        <c:ser>
          <c:idx val="5"/>
          <c:order val="5"/>
          <c:tx>
            <c:strRef>
              <c:f>Sheet1!$G$1</c:f>
              <c:strCache>
                <c:ptCount val="1"/>
                <c:pt idx="0">
                  <c:v>Ադրբեջան (2024թ.)</c:v>
                </c:pt>
              </c:strCache>
            </c:strRef>
          </c:tx>
          <c:spPr>
            <a:ln w="19050" cap="rnd">
              <a:solidFill>
                <a:schemeClr val="tx1"/>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Sheet1!$G$2:$G$971</c:f>
              <c:numCache>
                <c:formatCode>0</c:formatCode>
                <c:ptCount val="709"/>
                <c:pt idx="0">
                  <c:v>1.21987</c:v>
                </c:pt>
                <c:pt idx="1">
                  <c:v>1.22933</c:v>
                </c:pt>
                <c:pt idx="2">
                  <c:v>1.2589700000000001</c:v>
                </c:pt>
                <c:pt idx="3">
                  <c:v>1.2745600000000001</c:v>
                </c:pt>
                <c:pt idx="4">
                  <c:v>1.2547299999999999</c:v>
                </c:pt>
                <c:pt idx="5">
                  <c:v>1.19208</c:v>
                </c:pt>
                <c:pt idx="6">
                  <c:v>1.2205699999999999</c:v>
                </c:pt>
                <c:pt idx="7">
                  <c:v>1.22742</c:v>
                </c:pt>
                <c:pt idx="8">
                  <c:v>1.2043600000000001</c:v>
                </c:pt>
                <c:pt idx="9">
                  <c:v>1.17774</c:v>
                </c:pt>
                <c:pt idx="10">
                  <c:v>1.18154</c:v>
                </c:pt>
                <c:pt idx="11">
                  <c:v>1.17723</c:v>
                </c:pt>
                <c:pt idx="12">
                  <c:v>1.17018</c:v>
                </c:pt>
                <c:pt idx="13">
                  <c:v>1.17954</c:v>
                </c:pt>
                <c:pt idx="14">
                  <c:v>1.1902999999999999</c:v>
                </c:pt>
                <c:pt idx="15">
                  <c:v>1.18605</c:v>
                </c:pt>
                <c:pt idx="16">
                  <c:v>1.22054</c:v>
                </c:pt>
                <c:pt idx="17">
                  <c:v>1.24817</c:v>
                </c:pt>
                <c:pt idx="18">
                  <c:v>1.37199</c:v>
                </c:pt>
                <c:pt idx="19">
                  <c:v>1.2959499999999999</c:v>
                </c:pt>
                <c:pt idx="20">
                  <c:v>1.36084</c:v>
                </c:pt>
                <c:pt idx="21">
                  <c:v>1.36581</c:v>
                </c:pt>
                <c:pt idx="22">
                  <c:v>1.3344300000000002</c:v>
                </c:pt>
                <c:pt idx="23">
                  <c:v>1.28304</c:v>
                </c:pt>
                <c:pt idx="24">
                  <c:v>1.18224</c:v>
                </c:pt>
                <c:pt idx="25">
                  <c:v>1.1286400000000001</c:v>
                </c:pt>
                <c:pt idx="26">
                  <c:v>1.0890500000000001</c:v>
                </c:pt>
                <c:pt idx="27">
                  <c:v>1.1197699999999999</c:v>
                </c:pt>
                <c:pt idx="28">
                  <c:v>1.15198</c:v>
                </c:pt>
                <c:pt idx="29">
                  <c:v>1.02041</c:v>
                </c:pt>
                <c:pt idx="30">
                  <c:v>0.98980000000000001</c:v>
                </c:pt>
                <c:pt idx="31">
                  <c:v>0.96821000000000002</c:v>
                </c:pt>
                <c:pt idx="32">
                  <c:v>0.99968000000000001</c:v>
                </c:pt>
                <c:pt idx="33">
                  <c:v>0.98498000000000008</c:v>
                </c:pt>
                <c:pt idx="34">
                  <c:v>1.0383599999999999</c:v>
                </c:pt>
                <c:pt idx="35">
                  <c:v>1.0198</c:v>
                </c:pt>
                <c:pt idx="36">
                  <c:v>1.0718699999999999</c:v>
                </c:pt>
                <c:pt idx="37">
                  <c:v>1.1058700000000001</c:v>
                </c:pt>
                <c:pt idx="38">
                  <c:v>1.23946</c:v>
                </c:pt>
                <c:pt idx="39">
                  <c:v>1.28163</c:v>
                </c:pt>
                <c:pt idx="40">
                  <c:v>1.35362</c:v>
                </c:pt>
                <c:pt idx="41">
                  <c:v>1.5719399999999999</c:v>
                </c:pt>
                <c:pt idx="42">
                  <c:v>1.90832</c:v>
                </c:pt>
                <c:pt idx="43">
                  <c:v>1.90663</c:v>
                </c:pt>
                <c:pt idx="44">
                  <c:v>1.82437</c:v>
                </c:pt>
                <c:pt idx="45">
                  <c:v>1.7864599999999999</c:v>
                </c:pt>
                <c:pt idx="46">
                  <c:v>1.73282</c:v>
                </c:pt>
                <c:pt idx="47">
                  <c:v>1.7976799999999999</c:v>
                </c:pt>
                <c:pt idx="48">
                  <c:v>3.1219099999999997</c:v>
                </c:pt>
                <c:pt idx="49">
                  <c:v>2.9146399999999999</c:v>
                </c:pt>
                <c:pt idx="50">
                  <c:v>3.1227399999999998</c:v>
                </c:pt>
                <c:pt idx="51">
                  <c:v>4.4816799999999999</c:v>
                </c:pt>
                <c:pt idx="52">
                  <c:v>4.3175599999999994</c:v>
                </c:pt>
                <c:pt idx="53">
                  <c:v>5.0939199999999998</c:v>
                </c:pt>
                <c:pt idx="54">
                  <c:v>4.7564799999999998</c:v>
                </c:pt>
                <c:pt idx="55">
                  <c:v>6.4136300000000004</c:v>
                </c:pt>
                <c:pt idx="56">
                  <c:v>6.8150699999999995</c:v>
                </c:pt>
                <c:pt idx="57">
                  <c:v>6.7039200000000001</c:v>
                </c:pt>
                <c:pt idx="58">
                  <c:v>7.3888099999999994</c:v>
                </c:pt>
                <c:pt idx="59">
                  <c:v>6.9058000000000002</c:v>
                </c:pt>
                <c:pt idx="60">
                  <c:v>6.0853099999999998</c:v>
                </c:pt>
                <c:pt idx="61">
                  <c:v>5.3894799999999998</c:v>
                </c:pt>
                <c:pt idx="62">
                  <c:v>4.8533200000000001</c:v>
                </c:pt>
                <c:pt idx="63">
                  <c:v>5.1164999999999994</c:v>
                </c:pt>
                <c:pt idx="64">
                  <c:v>5.0895299999999999</c:v>
                </c:pt>
                <c:pt idx="65">
                  <c:v>5.2236699999999994</c:v>
                </c:pt>
                <c:pt idx="66">
                  <c:v>4.6376200000000001</c:v>
                </c:pt>
                <c:pt idx="67">
                  <c:v>4.3277299999999999</c:v>
                </c:pt>
                <c:pt idx="68">
                  <c:v>3.7766199999999999</c:v>
                </c:pt>
                <c:pt idx="69">
                  <c:v>3.5764999999999998</c:v>
                </c:pt>
                <c:pt idx="70">
                  <c:v>3.6051500000000001</c:v>
                </c:pt>
                <c:pt idx="71">
                  <c:v>3.55993</c:v>
                </c:pt>
                <c:pt idx="72">
                  <c:v>3.55993</c:v>
                </c:pt>
                <c:pt idx="73">
                  <c:v>3.55993</c:v>
                </c:pt>
                <c:pt idx="74">
                  <c:v>3.3622300000000003</c:v>
                </c:pt>
                <c:pt idx="75">
                  <c:v>3.45635</c:v>
                </c:pt>
                <c:pt idx="76">
                  <c:v>3.4767899999999998</c:v>
                </c:pt>
                <c:pt idx="77">
                  <c:v>3.4426199999999998</c:v>
                </c:pt>
                <c:pt idx="78">
                  <c:v>3.4904099999999998</c:v>
                </c:pt>
                <c:pt idx="79">
                  <c:v>3.9043999999999999</c:v>
                </c:pt>
                <c:pt idx="80">
                  <c:v>3.9656400000000001</c:v>
                </c:pt>
                <c:pt idx="81">
                  <c:v>3.75556</c:v>
                </c:pt>
                <c:pt idx="82">
                  <c:v>3.88517</c:v>
                </c:pt>
                <c:pt idx="83">
                  <c:v>4.1304100000000004</c:v>
                </c:pt>
                <c:pt idx="84">
                  <c:v>4.1606899999999998</c:v>
                </c:pt>
                <c:pt idx="85">
                  <c:v>4.1427199999999997</c:v>
                </c:pt>
                <c:pt idx="86">
                  <c:v>3.9791500000000002</c:v>
                </c:pt>
                <c:pt idx="87">
                  <c:v>4.0334699999999994</c:v>
                </c:pt>
                <c:pt idx="88">
                  <c:v>4.32545</c:v>
                </c:pt>
                <c:pt idx="89">
                  <c:v>3.97478</c:v>
                </c:pt>
                <c:pt idx="90">
                  <c:v>3.98373</c:v>
                </c:pt>
                <c:pt idx="91">
                  <c:v>4.0831200000000001</c:v>
                </c:pt>
                <c:pt idx="92">
                  <c:v>4.0831200000000001</c:v>
                </c:pt>
                <c:pt idx="93">
                  <c:v>3.8700799999999997</c:v>
                </c:pt>
                <c:pt idx="94">
                  <c:v>3.59239</c:v>
                </c:pt>
                <c:pt idx="95">
                  <c:v>3.5731299999999999</c:v>
                </c:pt>
                <c:pt idx="96">
                  <c:v>3.6313600000000004</c:v>
                </c:pt>
                <c:pt idx="97">
                  <c:v>3.4672500000000004</c:v>
                </c:pt>
                <c:pt idx="98">
                  <c:v>3.1964199999999998</c:v>
                </c:pt>
                <c:pt idx="99">
                  <c:v>3.1659800000000002</c:v>
                </c:pt>
                <c:pt idx="100">
                  <c:v>3.1112799999999998</c:v>
                </c:pt>
                <c:pt idx="101">
                  <c:v>3.0182100000000003</c:v>
                </c:pt>
                <c:pt idx="102">
                  <c:v>3.0247899999999999</c:v>
                </c:pt>
                <c:pt idx="103">
                  <c:v>3.0247899999999999</c:v>
                </c:pt>
                <c:pt idx="104">
                  <c:v>2.8982799999999997</c:v>
                </c:pt>
                <c:pt idx="105">
                  <c:v>2.8381699999999999</c:v>
                </c:pt>
                <c:pt idx="106">
                  <c:v>2.8203800000000001</c:v>
                </c:pt>
                <c:pt idx="107">
                  <c:v>2.8847699999999996</c:v>
                </c:pt>
                <c:pt idx="108">
                  <c:v>2.8741699999999999</c:v>
                </c:pt>
                <c:pt idx="109">
                  <c:v>2.78945</c:v>
                </c:pt>
                <c:pt idx="110">
                  <c:v>2.6009199999999999</c:v>
                </c:pt>
                <c:pt idx="111">
                  <c:v>2.5543299999999998</c:v>
                </c:pt>
                <c:pt idx="112">
                  <c:v>2.3319200000000002</c:v>
                </c:pt>
                <c:pt idx="113">
                  <c:v>2.2892799999999998</c:v>
                </c:pt>
                <c:pt idx="114">
                  <c:v>2.3207100000000001</c:v>
                </c:pt>
                <c:pt idx="115">
                  <c:v>2.3388800000000001</c:v>
                </c:pt>
                <c:pt idx="116">
                  <c:v>2.5263300000000002</c:v>
                </c:pt>
                <c:pt idx="117">
                  <c:v>2.5232200000000002</c:v>
                </c:pt>
                <c:pt idx="118">
                  <c:v>2.7967599999999999</c:v>
                </c:pt>
                <c:pt idx="119">
                  <c:v>2.6001600000000002</c:v>
                </c:pt>
                <c:pt idx="120">
                  <c:v>2.69373</c:v>
                </c:pt>
                <c:pt idx="121">
                  <c:v>2.6814999999999998</c:v>
                </c:pt>
                <c:pt idx="122">
                  <c:v>2.6919600000000004</c:v>
                </c:pt>
                <c:pt idx="123">
                  <c:v>2.6798899999999999</c:v>
                </c:pt>
                <c:pt idx="124">
                  <c:v>2.4791799999999999</c:v>
                </c:pt>
                <c:pt idx="125">
                  <c:v>2.4884900000000001</c:v>
                </c:pt>
                <c:pt idx="126">
                  <c:v>2.5253000000000001</c:v>
                </c:pt>
                <c:pt idx="127">
                  <c:v>2.6008499999999999</c:v>
                </c:pt>
                <c:pt idx="128">
                  <c:v>2.6080999999999999</c:v>
                </c:pt>
                <c:pt idx="129">
                  <c:v>2.53078</c:v>
                </c:pt>
                <c:pt idx="130">
                  <c:v>2.5206</c:v>
                </c:pt>
                <c:pt idx="131">
                  <c:v>2.44245</c:v>
                </c:pt>
                <c:pt idx="132">
                  <c:v>2.5148999999999999</c:v>
                </c:pt>
                <c:pt idx="133">
                  <c:v>2.40083</c:v>
                </c:pt>
                <c:pt idx="134">
                  <c:v>2.4537399999999998</c:v>
                </c:pt>
                <c:pt idx="135">
                  <c:v>2.4316999999999998</c:v>
                </c:pt>
                <c:pt idx="136">
                  <c:v>2.3896700000000002</c:v>
                </c:pt>
                <c:pt idx="137">
                  <c:v>2.37114</c:v>
                </c:pt>
                <c:pt idx="138">
                  <c:v>2.4482900000000001</c:v>
                </c:pt>
                <c:pt idx="139">
                  <c:v>2.3127200000000001</c:v>
                </c:pt>
                <c:pt idx="140">
                  <c:v>2.3048799999999998</c:v>
                </c:pt>
                <c:pt idx="141">
                  <c:v>2.3014799999999997</c:v>
                </c:pt>
                <c:pt idx="142">
                  <c:v>2.2841</c:v>
                </c:pt>
                <c:pt idx="143">
                  <c:v>2.2848299999999999</c:v>
                </c:pt>
                <c:pt idx="144">
                  <c:v>2.2550699999999999</c:v>
                </c:pt>
                <c:pt idx="145">
                  <c:v>2.22112</c:v>
                </c:pt>
                <c:pt idx="146">
                  <c:v>2.2244800000000002</c:v>
                </c:pt>
                <c:pt idx="147">
                  <c:v>2.2168299999999999</c:v>
                </c:pt>
                <c:pt idx="148">
                  <c:v>2.19556</c:v>
                </c:pt>
                <c:pt idx="149">
                  <c:v>2.2163499999999998</c:v>
                </c:pt>
                <c:pt idx="150">
                  <c:v>2.2003499999999998</c:v>
                </c:pt>
                <c:pt idx="151">
                  <c:v>2.1938200000000001</c:v>
                </c:pt>
                <c:pt idx="152">
                  <c:v>2.1573599999999997</c:v>
                </c:pt>
                <c:pt idx="153">
                  <c:v>2.1146700000000003</c:v>
                </c:pt>
                <c:pt idx="154">
                  <c:v>2.0344500000000001</c:v>
                </c:pt>
                <c:pt idx="155">
                  <c:v>1.9119699999999999</c:v>
                </c:pt>
                <c:pt idx="156">
                  <c:v>1.8978999999999999</c:v>
                </c:pt>
                <c:pt idx="157">
                  <c:v>1.83226</c:v>
                </c:pt>
                <c:pt idx="158">
                  <c:v>1.7303899999999999</c:v>
                </c:pt>
                <c:pt idx="159">
                  <c:v>1.68363</c:v>
                </c:pt>
                <c:pt idx="160">
                  <c:v>1.69442</c:v>
                </c:pt>
                <c:pt idx="161">
                  <c:v>1.6463700000000001</c:v>
                </c:pt>
                <c:pt idx="162">
                  <c:v>1.6622700000000001</c:v>
                </c:pt>
                <c:pt idx="163">
                  <c:v>1.68936</c:v>
                </c:pt>
                <c:pt idx="164">
                  <c:v>1.66429</c:v>
                </c:pt>
                <c:pt idx="165">
                  <c:v>1.7660200000000001</c:v>
                </c:pt>
                <c:pt idx="166">
                  <c:v>1.8023099999999999</c:v>
                </c:pt>
                <c:pt idx="167">
                  <c:v>1.77424</c:v>
                </c:pt>
                <c:pt idx="168">
                  <c:v>1.7663900000000001</c:v>
                </c:pt>
                <c:pt idx="169">
                  <c:v>1.74204</c:v>
                </c:pt>
                <c:pt idx="170">
                  <c:v>1.80565</c:v>
                </c:pt>
                <c:pt idx="171">
                  <c:v>1.7945800000000001</c:v>
                </c:pt>
                <c:pt idx="172">
                  <c:v>1.8677199999999998</c:v>
                </c:pt>
                <c:pt idx="173">
                  <c:v>1.8677199999999998</c:v>
                </c:pt>
                <c:pt idx="174">
                  <c:v>1.8066399999999998</c:v>
                </c:pt>
                <c:pt idx="175">
                  <c:v>1.7768700000000002</c:v>
                </c:pt>
                <c:pt idx="176">
                  <c:v>1.7691699999999999</c:v>
                </c:pt>
                <c:pt idx="177">
                  <c:v>1.75684</c:v>
                </c:pt>
                <c:pt idx="178">
                  <c:v>1.7786000000000002</c:v>
                </c:pt>
                <c:pt idx="179">
                  <c:v>1.85439</c:v>
                </c:pt>
                <c:pt idx="180">
                  <c:v>1.8880299999999999</c:v>
                </c:pt>
                <c:pt idx="181">
                  <c:v>1.8742099999999999</c:v>
                </c:pt>
                <c:pt idx="182">
                  <c:v>1.9278</c:v>
                </c:pt>
                <c:pt idx="183">
                  <c:v>1.9365000000000001</c:v>
                </c:pt>
                <c:pt idx="184">
                  <c:v>1.91686</c:v>
                </c:pt>
                <c:pt idx="185">
                  <c:v>1.90421</c:v>
                </c:pt>
                <c:pt idx="186">
                  <c:v>1.95173</c:v>
                </c:pt>
                <c:pt idx="187">
                  <c:v>1.9382400000000002</c:v>
                </c:pt>
                <c:pt idx="188">
                  <c:v>2.1073200000000001</c:v>
                </c:pt>
                <c:pt idx="189">
                  <c:v>2.1919200000000001</c:v>
                </c:pt>
                <c:pt idx="190">
                  <c:v>2.3538399999999999</c:v>
                </c:pt>
                <c:pt idx="191">
                  <c:v>2.50074</c:v>
                </c:pt>
                <c:pt idx="192">
                  <c:v>2.5745299999999998</c:v>
                </c:pt>
                <c:pt idx="193">
                  <c:v>2.8098100000000001</c:v>
                </c:pt>
                <c:pt idx="194">
                  <c:v>3.0217899999999998</c:v>
                </c:pt>
                <c:pt idx="195">
                  <c:v>2.8565199999999997</c:v>
                </c:pt>
                <c:pt idx="196">
                  <c:v>2.73909</c:v>
                </c:pt>
                <c:pt idx="197">
                  <c:v>2.7068700000000003</c:v>
                </c:pt>
                <c:pt idx="198">
                  <c:v>2.6852499999999999</c:v>
                </c:pt>
                <c:pt idx="199">
                  <c:v>2.6313600000000004</c:v>
                </c:pt>
                <c:pt idx="200">
                  <c:v>2.5670500000000001</c:v>
                </c:pt>
                <c:pt idx="201">
                  <c:v>2.4636399999999998</c:v>
                </c:pt>
                <c:pt idx="202">
                  <c:v>2.2487900000000001</c:v>
                </c:pt>
                <c:pt idx="203">
                  <c:v>2.27345</c:v>
                </c:pt>
                <c:pt idx="204">
                  <c:v>2.25204</c:v>
                </c:pt>
                <c:pt idx="205">
                  <c:v>2.3036300000000001</c:v>
                </c:pt>
                <c:pt idx="206">
                  <c:v>2.4514900000000002</c:v>
                </c:pt>
                <c:pt idx="207">
                  <c:v>2.4238599999999999</c:v>
                </c:pt>
                <c:pt idx="208">
                  <c:v>2.4781999999999997</c:v>
                </c:pt>
                <c:pt idx="209">
                  <c:v>2.45377</c:v>
                </c:pt>
                <c:pt idx="210">
                  <c:v>2.4512700000000001</c:v>
                </c:pt>
                <c:pt idx="211">
                  <c:v>2.6375700000000002</c:v>
                </c:pt>
                <c:pt idx="212">
                  <c:v>2.6607499999999997</c:v>
                </c:pt>
                <c:pt idx="213">
                  <c:v>2.6775799999999998</c:v>
                </c:pt>
                <c:pt idx="214">
                  <c:v>2.71618</c:v>
                </c:pt>
                <c:pt idx="215">
                  <c:v>2.7431700000000001</c:v>
                </c:pt>
                <c:pt idx="216">
                  <c:v>2.62853</c:v>
                </c:pt>
                <c:pt idx="217">
                  <c:v>2.5234899999999998</c:v>
                </c:pt>
                <c:pt idx="218">
                  <c:v>2.62459</c:v>
                </c:pt>
                <c:pt idx="219">
                  <c:v>2.4571700000000001</c:v>
                </c:pt>
                <c:pt idx="220">
                  <c:v>2.36083</c:v>
                </c:pt>
                <c:pt idx="221">
                  <c:v>2.3687299999999998</c:v>
                </c:pt>
                <c:pt idx="222">
                  <c:v>2.1475499999999998</c:v>
                </c:pt>
                <c:pt idx="223">
                  <c:v>2.0354200000000002</c:v>
                </c:pt>
                <c:pt idx="224">
                  <c:v>1.8586199999999999</c:v>
                </c:pt>
                <c:pt idx="225">
                  <c:v>1.7538399999999998</c:v>
                </c:pt>
                <c:pt idx="226">
                  <c:v>1.67811</c:v>
                </c:pt>
                <c:pt idx="227">
                  <c:v>1.6906000000000001</c:v>
                </c:pt>
                <c:pt idx="228">
                  <c:v>1.6860499999999998</c:v>
                </c:pt>
                <c:pt idx="229">
                  <c:v>1.71106</c:v>
                </c:pt>
                <c:pt idx="230">
                  <c:v>1.7177500000000001</c:v>
                </c:pt>
                <c:pt idx="231">
                  <c:v>1.70482</c:v>
                </c:pt>
                <c:pt idx="232">
                  <c:v>1.7254800000000001</c:v>
                </c:pt>
                <c:pt idx="233">
                  <c:v>1.64036</c:v>
                </c:pt>
                <c:pt idx="234">
                  <c:v>1.6300299999999999</c:v>
                </c:pt>
                <c:pt idx="235">
                  <c:v>1.61981</c:v>
                </c:pt>
                <c:pt idx="236">
                  <c:v>1.6210200000000001</c:v>
                </c:pt>
                <c:pt idx="237">
                  <c:v>1.6242300000000001</c:v>
                </c:pt>
                <c:pt idx="238">
                  <c:v>1.5641399999999999</c:v>
                </c:pt>
                <c:pt idx="239">
                  <c:v>1.4838999999999998</c:v>
                </c:pt>
                <c:pt idx="240">
                  <c:v>1.4528999999999999</c:v>
                </c:pt>
                <c:pt idx="241">
                  <c:v>1.3245199999999999</c:v>
                </c:pt>
                <c:pt idx="242">
                  <c:v>1.3951499999999999</c:v>
                </c:pt>
                <c:pt idx="243">
                  <c:v>1.4474600000000002</c:v>
                </c:pt>
                <c:pt idx="244">
                  <c:v>1.45523</c:v>
                </c:pt>
                <c:pt idx="245">
                  <c:v>1.4615199999999999</c:v>
                </c:pt>
                <c:pt idx="246">
                  <c:v>1.46608</c:v>
                </c:pt>
                <c:pt idx="247">
                  <c:v>1.5464199999999999</c:v>
                </c:pt>
                <c:pt idx="248">
                  <c:v>1.4408699999999999</c:v>
                </c:pt>
                <c:pt idx="249">
                  <c:v>1.59795</c:v>
                </c:pt>
                <c:pt idx="250">
                  <c:v>1.5144</c:v>
                </c:pt>
                <c:pt idx="251">
                  <c:v>1.4031899999999999</c:v>
                </c:pt>
                <c:pt idx="252">
                  <c:v>1.41174</c:v>
                </c:pt>
                <c:pt idx="253">
                  <c:v>1.35975</c:v>
                </c:pt>
                <c:pt idx="254">
                  <c:v>1.4139699999999999</c:v>
                </c:pt>
                <c:pt idx="255">
                  <c:v>1.38365</c:v>
                </c:pt>
                <c:pt idx="256">
                  <c:v>1.4516</c:v>
                </c:pt>
                <c:pt idx="257">
                  <c:v>1.4516</c:v>
                </c:pt>
                <c:pt idx="258">
                  <c:v>1.4516</c:v>
                </c:pt>
                <c:pt idx="259">
                  <c:v>1.3703700000000001</c:v>
                </c:pt>
                <c:pt idx="260">
                  <c:v>1.3227500000000001</c:v>
                </c:pt>
                <c:pt idx="261">
                  <c:v>1.37713</c:v>
                </c:pt>
                <c:pt idx="262">
                  <c:v>1.37713</c:v>
                </c:pt>
                <c:pt idx="263">
                  <c:v>1.3724400000000001</c:v>
                </c:pt>
                <c:pt idx="264">
                  <c:v>1.3865100000000001</c:v>
                </c:pt>
                <c:pt idx="265">
                  <c:v>1.3871899999999999</c:v>
                </c:pt>
                <c:pt idx="266">
                  <c:v>1.4308500000000002</c:v>
                </c:pt>
                <c:pt idx="267">
                  <c:v>1.3430799999999998</c:v>
                </c:pt>
                <c:pt idx="268">
                  <c:v>1.39514</c:v>
                </c:pt>
                <c:pt idx="269">
                  <c:v>1.4483299999999999</c:v>
                </c:pt>
                <c:pt idx="270">
                  <c:v>1.4016</c:v>
                </c:pt>
                <c:pt idx="271">
                  <c:v>1.2775799999999999</c:v>
                </c:pt>
                <c:pt idx="272">
                  <c:v>1.3732800000000001</c:v>
                </c:pt>
                <c:pt idx="273">
                  <c:v>1.41368</c:v>
                </c:pt>
                <c:pt idx="274">
                  <c:v>1.4032100000000001</c:v>
                </c:pt>
                <c:pt idx="275">
                  <c:v>1.40903</c:v>
                </c:pt>
                <c:pt idx="276">
                  <c:v>1.42119</c:v>
                </c:pt>
                <c:pt idx="277">
                  <c:v>1.4618100000000001</c:v>
                </c:pt>
                <c:pt idx="278">
                  <c:v>1.49668</c:v>
                </c:pt>
                <c:pt idx="279">
                  <c:v>1.4753200000000002</c:v>
                </c:pt>
                <c:pt idx="280">
                  <c:v>1.3390199999999999</c:v>
                </c:pt>
                <c:pt idx="281">
                  <c:v>1.3487200000000001</c:v>
                </c:pt>
                <c:pt idx="282">
                  <c:v>1.3292200000000001</c:v>
                </c:pt>
                <c:pt idx="283">
                  <c:v>1.2546899999999999</c:v>
                </c:pt>
                <c:pt idx="284">
                  <c:v>1.18133</c:v>
                </c:pt>
                <c:pt idx="285">
                  <c:v>1.19207</c:v>
                </c:pt>
                <c:pt idx="286">
                  <c:v>1.15103</c:v>
                </c:pt>
                <c:pt idx="287">
                  <c:v>1.1670499999999999</c:v>
                </c:pt>
                <c:pt idx="288">
                  <c:v>1.1565799999999999</c:v>
                </c:pt>
                <c:pt idx="289">
                  <c:v>1.1575899999999999</c:v>
                </c:pt>
                <c:pt idx="290">
                  <c:v>1.1933199999999999</c:v>
                </c:pt>
                <c:pt idx="291">
                  <c:v>1.1730100000000001</c:v>
                </c:pt>
                <c:pt idx="292">
                  <c:v>1.22282</c:v>
                </c:pt>
                <c:pt idx="293">
                  <c:v>1.3296000000000001</c:v>
                </c:pt>
                <c:pt idx="294">
                  <c:v>1.39297</c:v>
                </c:pt>
                <c:pt idx="295">
                  <c:v>1.45025</c:v>
                </c:pt>
                <c:pt idx="296">
                  <c:v>1.3448199999999999</c:v>
                </c:pt>
                <c:pt idx="297">
                  <c:v>1.27386</c:v>
                </c:pt>
                <c:pt idx="298">
                  <c:v>1.32982</c:v>
                </c:pt>
                <c:pt idx="299">
                  <c:v>1.3483400000000001</c:v>
                </c:pt>
                <c:pt idx="300">
                  <c:v>1.2781</c:v>
                </c:pt>
                <c:pt idx="301">
                  <c:v>1.28792</c:v>
                </c:pt>
                <c:pt idx="302">
                  <c:v>1.3892599999999999</c:v>
                </c:pt>
                <c:pt idx="303">
                  <c:v>1.26735</c:v>
                </c:pt>
                <c:pt idx="304">
                  <c:v>1.1462699999999999</c:v>
                </c:pt>
                <c:pt idx="305">
                  <c:v>1.16225</c:v>
                </c:pt>
                <c:pt idx="306">
                  <c:v>1.14768</c:v>
                </c:pt>
                <c:pt idx="307">
                  <c:v>1.10358</c:v>
                </c:pt>
                <c:pt idx="308">
                  <c:v>1.36999</c:v>
                </c:pt>
                <c:pt idx="309">
                  <c:v>1.16221</c:v>
                </c:pt>
                <c:pt idx="310">
                  <c:v>1.17537</c:v>
                </c:pt>
                <c:pt idx="311">
                  <c:v>1.1651</c:v>
                </c:pt>
                <c:pt idx="312">
                  <c:v>1.2470399999999999</c:v>
                </c:pt>
                <c:pt idx="313">
                  <c:v>1.1920600000000001</c:v>
                </c:pt>
                <c:pt idx="314">
                  <c:v>1.12697</c:v>
                </c:pt>
                <c:pt idx="315">
                  <c:v>1.2293499999999999</c:v>
                </c:pt>
                <c:pt idx="316">
                  <c:v>1.2880199999999999</c:v>
                </c:pt>
                <c:pt idx="317">
                  <c:v>1.2784500000000001</c:v>
                </c:pt>
                <c:pt idx="318">
                  <c:v>1.20279</c:v>
                </c:pt>
                <c:pt idx="319">
                  <c:v>1.2690999999999999</c:v>
                </c:pt>
                <c:pt idx="320">
                  <c:v>1.2880699999999998</c:v>
                </c:pt>
                <c:pt idx="321">
                  <c:v>1.2821</c:v>
                </c:pt>
                <c:pt idx="322">
                  <c:v>1.3322999999999998</c:v>
                </c:pt>
                <c:pt idx="323">
                  <c:v>1.27894</c:v>
                </c:pt>
                <c:pt idx="324">
                  <c:v>1.4155199999999999</c:v>
                </c:pt>
                <c:pt idx="325">
                  <c:v>1.27475</c:v>
                </c:pt>
                <c:pt idx="326">
                  <c:v>1.2573300000000001</c:v>
                </c:pt>
                <c:pt idx="327">
                  <c:v>1.2573300000000001</c:v>
                </c:pt>
                <c:pt idx="328">
                  <c:v>1.2573300000000001</c:v>
                </c:pt>
                <c:pt idx="329">
                  <c:v>1.2660100000000001</c:v>
                </c:pt>
                <c:pt idx="330">
                  <c:v>1.25254</c:v>
                </c:pt>
                <c:pt idx="331">
                  <c:v>1.2578100000000001</c:v>
                </c:pt>
                <c:pt idx="332">
                  <c:v>1.2449699999999999</c:v>
                </c:pt>
                <c:pt idx="333">
                  <c:v>1.27877</c:v>
                </c:pt>
                <c:pt idx="334">
                  <c:v>1.27894</c:v>
                </c:pt>
                <c:pt idx="335">
                  <c:v>1.2711399999999999</c:v>
                </c:pt>
                <c:pt idx="336">
                  <c:v>1.1669799999999999</c:v>
                </c:pt>
                <c:pt idx="337">
                  <c:v>1.05111</c:v>
                </c:pt>
                <c:pt idx="338">
                  <c:v>1.0984499999999999</c:v>
                </c:pt>
                <c:pt idx="339">
                  <c:v>1.09585</c:v>
                </c:pt>
                <c:pt idx="340">
                  <c:v>1.1722600000000001</c:v>
                </c:pt>
                <c:pt idx="341">
                  <c:v>1.06</c:v>
                </c:pt>
                <c:pt idx="342">
                  <c:v>1.0465800000000001</c:v>
                </c:pt>
                <c:pt idx="343">
                  <c:v>1.0488500000000001</c:v>
                </c:pt>
                <c:pt idx="344">
                  <c:v>1.0728900000000001</c:v>
                </c:pt>
                <c:pt idx="345">
                  <c:v>1.0983700000000001</c:v>
                </c:pt>
                <c:pt idx="346">
                  <c:v>1.1036900000000001</c:v>
                </c:pt>
                <c:pt idx="347">
                  <c:v>1.1524399999999999</c:v>
                </c:pt>
                <c:pt idx="348">
                  <c:v>1.1524399999999999</c:v>
                </c:pt>
                <c:pt idx="349">
                  <c:v>1.14635</c:v>
                </c:pt>
                <c:pt idx="350">
                  <c:v>1.13994</c:v>
                </c:pt>
                <c:pt idx="351">
                  <c:v>1.0948099999999998</c:v>
                </c:pt>
                <c:pt idx="352">
                  <c:v>1.08283</c:v>
                </c:pt>
                <c:pt idx="353">
                  <c:v>1.0595000000000001</c:v>
                </c:pt>
                <c:pt idx="354">
                  <c:v>1.0541500000000001</c:v>
                </c:pt>
                <c:pt idx="355">
                  <c:v>1.12524</c:v>
                </c:pt>
                <c:pt idx="356">
                  <c:v>1.2557400000000001</c:v>
                </c:pt>
                <c:pt idx="357">
                  <c:v>1.2101600000000001</c:v>
                </c:pt>
                <c:pt idx="358">
                  <c:v>1.2349600000000001</c:v>
                </c:pt>
                <c:pt idx="359">
                  <c:v>1.2809200000000001</c:v>
                </c:pt>
                <c:pt idx="360">
                  <c:v>1.3293700000000002</c:v>
                </c:pt>
                <c:pt idx="361">
                  <c:v>1.2028400000000001</c:v>
                </c:pt>
                <c:pt idx="362">
                  <c:v>1.2351799999999999</c:v>
                </c:pt>
                <c:pt idx="363">
                  <c:v>1.2197899999999999</c:v>
                </c:pt>
                <c:pt idx="364">
                  <c:v>1.1962699999999999</c:v>
                </c:pt>
                <c:pt idx="365">
                  <c:v>1.22366</c:v>
                </c:pt>
                <c:pt idx="366">
                  <c:v>1.1985699999999999</c:v>
                </c:pt>
                <c:pt idx="367">
                  <c:v>1.10788</c:v>
                </c:pt>
                <c:pt idx="368">
                  <c:v>1.10788</c:v>
                </c:pt>
                <c:pt idx="369">
                  <c:v>1.1936199999999999</c:v>
                </c:pt>
                <c:pt idx="370">
                  <c:v>1.1648000000000001</c:v>
                </c:pt>
                <c:pt idx="371">
                  <c:v>1.1313200000000001</c:v>
                </c:pt>
                <c:pt idx="372">
                  <c:v>1.23125</c:v>
                </c:pt>
                <c:pt idx="373">
                  <c:v>1.11737</c:v>
                </c:pt>
                <c:pt idx="374">
                  <c:v>1.0825400000000001</c:v>
                </c:pt>
                <c:pt idx="375">
                  <c:v>1.0421</c:v>
                </c:pt>
                <c:pt idx="376">
                  <c:v>1.0309600000000001</c:v>
                </c:pt>
                <c:pt idx="377">
                  <c:v>0.94574000000000003</c:v>
                </c:pt>
                <c:pt idx="378">
                  <c:v>1.0144299999999999</c:v>
                </c:pt>
                <c:pt idx="379">
                  <c:v>0.95628000000000002</c:v>
                </c:pt>
                <c:pt idx="380">
                  <c:v>0.87927000000000011</c:v>
                </c:pt>
                <c:pt idx="381">
                  <c:v>1.0451699999999999</c:v>
                </c:pt>
                <c:pt idx="382">
                  <c:v>0.96406999999999998</c:v>
                </c:pt>
                <c:pt idx="383">
                  <c:v>1.0714399999999999</c:v>
                </c:pt>
                <c:pt idx="384">
                  <c:v>1.03426</c:v>
                </c:pt>
                <c:pt idx="385">
                  <c:v>0.97001999999999999</c:v>
                </c:pt>
                <c:pt idx="386">
                  <c:v>0.97126999999999997</c:v>
                </c:pt>
                <c:pt idx="387">
                  <c:v>0.98100999999999994</c:v>
                </c:pt>
                <c:pt idx="388">
                  <c:v>1.02701</c:v>
                </c:pt>
                <c:pt idx="389">
                  <c:v>0.98375000000000001</c:v>
                </c:pt>
                <c:pt idx="390">
                  <c:v>1.03576</c:v>
                </c:pt>
                <c:pt idx="391">
                  <c:v>1.02413</c:v>
                </c:pt>
                <c:pt idx="392">
                  <c:v>1.03308</c:v>
                </c:pt>
                <c:pt idx="393">
                  <c:v>1.06047</c:v>
                </c:pt>
                <c:pt idx="394">
                  <c:v>1.0613900000000001</c:v>
                </c:pt>
                <c:pt idx="395">
                  <c:v>1.0672199999999998</c:v>
                </c:pt>
                <c:pt idx="396">
                  <c:v>1.04535</c:v>
                </c:pt>
                <c:pt idx="397">
                  <c:v>1.06307</c:v>
                </c:pt>
                <c:pt idx="398">
                  <c:v>1.07067</c:v>
                </c:pt>
                <c:pt idx="399">
                  <c:v>1.03827</c:v>
                </c:pt>
                <c:pt idx="400">
                  <c:v>1.06545</c:v>
                </c:pt>
                <c:pt idx="401">
                  <c:v>1.08195</c:v>
                </c:pt>
                <c:pt idx="402">
                  <c:v>1.0673699999999999</c:v>
                </c:pt>
                <c:pt idx="403">
                  <c:v>1.0589500000000001</c:v>
                </c:pt>
                <c:pt idx="404">
                  <c:v>1.0781999999999998</c:v>
                </c:pt>
                <c:pt idx="405">
                  <c:v>1.0800700000000001</c:v>
                </c:pt>
                <c:pt idx="406">
                  <c:v>1.10669</c:v>
                </c:pt>
                <c:pt idx="407">
                  <c:v>1.1097299999999999</c:v>
                </c:pt>
                <c:pt idx="408">
                  <c:v>1.0807800000000001</c:v>
                </c:pt>
                <c:pt idx="409">
                  <c:v>1.1352599999999999</c:v>
                </c:pt>
                <c:pt idx="410">
                  <c:v>1.13361</c:v>
                </c:pt>
                <c:pt idx="411">
                  <c:v>1.0497400000000001</c:v>
                </c:pt>
                <c:pt idx="412">
                  <c:v>1.1048499999999999</c:v>
                </c:pt>
                <c:pt idx="413">
                  <c:v>1.0381199999999999</c:v>
                </c:pt>
                <c:pt idx="414">
                  <c:v>1.00695</c:v>
                </c:pt>
                <c:pt idx="415">
                  <c:v>0.97864999999999991</c:v>
                </c:pt>
                <c:pt idx="416">
                  <c:v>0.96097999999999995</c:v>
                </c:pt>
                <c:pt idx="417">
                  <c:v>0.99558000000000002</c:v>
                </c:pt>
                <c:pt idx="418">
                  <c:v>0.88095000000000001</c:v>
                </c:pt>
                <c:pt idx="419">
                  <c:v>0.90434999999999999</c:v>
                </c:pt>
                <c:pt idx="420">
                  <c:v>0.96194000000000002</c:v>
                </c:pt>
                <c:pt idx="421">
                  <c:v>0.94152000000000002</c:v>
                </c:pt>
                <c:pt idx="422">
                  <c:v>0.91313999999999995</c:v>
                </c:pt>
                <c:pt idx="423">
                  <c:v>0.93370999999999993</c:v>
                </c:pt>
                <c:pt idx="424">
                  <c:v>0.88580999999999999</c:v>
                </c:pt>
                <c:pt idx="425">
                  <c:v>0.88147000000000009</c:v>
                </c:pt>
                <c:pt idx="426">
                  <c:v>0.9405</c:v>
                </c:pt>
                <c:pt idx="427">
                  <c:v>0.85674000000000006</c:v>
                </c:pt>
                <c:pt idx="428">
                  <c:v>0.93935000000000002</c:v>
                </c:pt>
                <c:pt idx="429">
                  <c:v>0.93081999999999998</c:v>
                </c:pt>
                <c:pt idx="430">
                  <c:v>0.92344999999999999</c:v>
                </c:pt>
                <c:pt idx="431">
                  <c:v>0.90938000000000008</c:v>
                </c:pt>
                <c:pt idx="432">
                  <c:v>0.93790000000000007</c:v>
                </c:pt>
                <c:pt idx="433">
                  <c:v>0.93790000000000007</c:v>
                </c:pt>
                <c:pt idx="434">
                  <c:v>0.93228999999999995</c:v>
                </c:pt>
                <c:pt idx="435">
                  <c:v>0.93129999999999991</c:v>
                </c:pt>
                <c:pt idx="436">
                  <c:v>0.88885999999999998</c:v>
                </c:pt>
                <c:pt idx="437">
                  <c:v>0.83892999999999995</c:v>
                </c:pt>
                <c:pt idx="438">
                  <c:v>0.89043000000000005</c:v>
                </c:pt>
                <c:pt idx="439">
                  <c:v>0.88983999999999996</c:v>
                </c:pt>
                <c:pt idx="440">
                  <c:v>0.88612999999999997</c:v>
                </c:pt>
                <c:pt idx="441">
                  <c:v>0.88569999999999993</c:v>
                </c:pt>
                <c:pt idx="442">
                  <c:v>0.79608000000000001</c:v>
                </c:pt>
                <c:pt idx="443">
                  <c:v>0.82772000000000001</c:v>
                </c:pt>
                <c:pt idx="444">
                  <c:v>0.80313000000000001</c:v>
                </c:pt>
                <c:pt idx="445">
                  <c:v>0.81944000000000006</c:v>
                </c:pt>
                <c:pt idx="446">
                  <c:v>0.78638999999999992</c:v>
                </c:pt>
                <c:pt idx="447">
                  <c:v>0.81362999999999996</c:v>
                </c:pt>
                <c:pt idx="448">
                  <c:v>0.93708000000000002</c:v>
                </c:pt>
                <c:pt idx="449">
                  <c:v>0.94901999999999997</c:v>
                </c:pt>
                <c:pt idx="450">
                  <c:v>0.96829999999999994</c:v>
                </c:pt>
                <c:pt idx="451">
                  <c:v>0.93462999999999996</c:v>
                </c:pt>
                <c:pt idx="452">
                  <c:v>1.09595</c:v>
                </c:pt>
                <c:pt idx="453">
                  <c:v>1.0983700000000001</c:v>
                </c:pt>
                <c:pt idx="454">
                  <c:v>1.2865500000000001</c:v>
                </c:pt>
                <c:pt idx="455">
                  <c:v>1.2968199999999999</c:v>
                </c:pt>
                <c:pt idx="456">
                  <c:v>1.29182</c:v>
                </c:pt>
                <c:pt idx="457">
                  <c:v>1.4260400000000002</c:v>
                </c:pt>
                <c:pt idx="458">
                  <c:v>1.2684500000000001</c:v>
                </c:pt>
                <c:pt idx="459">
                  <c:v>1.22157</c:v>
                </c:pt>
                <c:pt idx="460">
                  <c:v>1.07375</c:v>
                </c:pt>
                <c:pt idx="461">
                  <c:v>1.10738</c:v>
                </c:pt>
                <c:pt idx="462">
                  <c:v>0.92793000000000003</c:v>
                </c:pt>
                <c:pt idx="463">
                  <c:v>1.2422499999999999</c:v>
                </c:pt>
                <c:pt idx="464">
                  <c:v>1.1001099999999999</c:v>
                </c:pt>
                <c:pt idx="465">
                  <c:v>1.0270600000000001</c:v>
                </c:pt>
                <c:pt idx="466">
                  <c:v>0.90264999999999995</c:v>
                </c:pt>
                <c:pt idx="467">
                  <c:v>0.70116000000000001</c:v>
                </c:pt>
                <c:pt idx="468">
                  <c:v>0.85246</c:v>
                </c:pt>
                <c:pt idx="469">
                  <c:v>0.93224000000000007</c:v>
                </c:pt>
                <c:pt idx="470">
                  <c:v>0.94724999999999993</c:v>
                </c:pt>
                <c:pt idx="471">
                  <c:v>-6.1200000000000004E-2</c:v>
                </c:pt>
                <c:pt idx="472">
                  <c:v>9.1479999999999992E-2</c:v>
                </c:pt>
                <c:pt idx="473">
                  <c:v>0.93558999999999992</c:v>
                </c:pt>
                <c:pt idx="474">
                  <c:v>0.89137</c:v>
                </c:pt>
                <c:pt idx="475">
                  <c:v>0.83683000000000007</c:v>
                </c:pt>
                <c:pt idx="476">
                  <c:v>0.83526999999999996</c:v>
                </c:pt>
                <c:pt idx="477">
                  <c:v>0.8940300000000001</c:v>
                </c:pt>
                <c:pt idx="478">
                  <c:v>1.0294400000000001</c:v>
                </c:pt>
                <c:pt idx="479">
                  <c:v>1.05427</c:v>
                </c:pt>
                <c:pt idx="480">
                  <c:v>1.03132</c:v>
                </c:pt>
                <c:pt idx="481">
                  <c:v>1.0195000000000001</c:v>
                </c:pt>
                <c:pt idx="482">
                  <c:v>1.05782</c:v>
                </c:pt>
                <c:pt idx="483">
                  <c:v>0.82614999999999994</c:v>
                </c:pt>
                <c:pt idx="484">
                  <c:v>0.70968000000000009</c:v>
                </c:pt>
                <c:pt idx="485">
                  <c:v>0.7774899999999999</c:v>
                </c:pt>
                <c:pt idx="486">
                  <c:v>0.79248000000000007</c:v>
                </c:pt>
                <c:pt idx="487">
                  <c:v>0.84506000000000003</c:v>
                </c:pt>
                <c:pt idx="488">
                  <c:v>0.87533000000000005</c:v>
                </c:pt>
                <c:pt idx="489">
                  <c:v>0.84275000000000011</c:v>
                </c:pt>
                <c:pt idx="490">
                  <c:v>1.01674</c:v>
                </c:pt>
                <c:pt idx="491">
                  <c:v>1.0285299999999999</c:v>
                </c:pt>
                <c:pt idx="492">
                  <c:v>0.99784000000000006</c:v>
                </c:pt>
                <c:pt idx="493">
                  <c:v>0.97155000000000002</c:v>
                </c:pt>
                <c:pt idx="494">
                  <c:v>1.2323600000000001</c:v>
                </c:pt>
                <c:pt idx="495">
                  <c:v>1.3134800000000002</c:v>
                </c:pt>
                <c:pt idx="496">
                  <c:v>1.33005</c:v>
                </c:pt>
                <c:pt idx="497">
                  <c:v>1.2951699999999999</c:v>
                </c:pt>
                <c:pt idx="498">
                  <c:v>1.47149</c:v>
                </c:pt>
                <c:pt idx="499">
                  <c:v>1.52085</c:v>
                </c:pt>
                <c:pt idx="500">
                  <c:v>1.38422</c:v>
                </c:pt>
                <c:pt idx="501">
                  <c:v>1.4162799999999998</c:v>
                </c:pt>
                <c:pt idx="502">
                  <c:v>1.0485800000000001</c:v>
                </c:pt>
                <c:pt idx="503">
                  <c:v>1.3057300000000001</c:v>
                </c:pt>
                <c:pt idx="504">
                  <c:v>1.2338500000000001</c:v>
                </c:pt>
                <c:pt idx="505">
                  <c:v>1.2448399999999999</c:v>
                </c:pt>
                <c:pt idx="506">
                  <c:v>1.1676900000000001</c:v>
                </c:pt>
                <c:pt idx="507">
                  <c:v>1.1234600000000001</c:v>
                </c:pt>
                <c:pt idx="508">
                  <c:v>1.2032499999999999</c:v>
                </c:pt>
                <c:pt idx="509">
                  <c:v>1.1515300000000002</c:v>
                </c:pt>
                <c:pt idx="510">
                  <c:v>1.2531399999999999</c:v>
                </c:pt>
                <c:pt idx="511">
                  <c:v>1.2932400000000002</c:v>
                </c:pt>
                <c:pt idx="512">
                  <c:v>1.2991599999999999</c:v>
                </c:pt>
                <c:pt idx="513">
                  <c:v>1.2621800000000001</c:v>
                </c:pt>
                <c:pt idx="514">
                  <c:v>1.26512</c:v>
                </c:pt>
                <c:pt idx="515">
                  <c:v>1.1364400000000001</c:v>
                </c:pt>
                <c:pt idx="516">
                  <c:v>1.1346400000000001</c:v>
                </c:pt>
                <c:pt idx="517">
                  <c:v>1.21502</c:v>
                </c:pt>
                <c:pt idx="518">
                  <c:v>1.21502</c:v>
                </c:pt>
                <c:pt idx="519">
                  <c:v>1.21502</c:v>
                </c:pt>
                <c:pt idx="520">
                  <c:v>1.2785200000000001</c:v>
                </c:pt>
                <c:pt idx="521">
                  <c:v>1.0704900000000002</c:v>
                </c:pt>
                <c:pt idx="522">
                  <c:v>1.14679</c:v>
                </c:pt>
                <c:pt idx="523">
                  <c:v>1.14679</c:v>
                </c:pt>
                <c:pt idx="524">
                  <c:v>1.16466</c:v>
                </c:pt>
                <c:pt idx="525">
                  <c:v>1.1314299999999999</c:v>
                </c:pt>
                <c:pt idx="526">
                  <c:v>1.3051499999999998</c:v>
                </c:pt>
                <c:pt idx="527">
                  <c:v>1.2025300000000001</c:v>
                </c:pt>
                <c:pt idx="528">
                  <c:v>1.22417</c:v>
                </c:pt>
                <c:pt idx="529">
                  <c:v>1.3322700000000001</c:v>
                </c:pt>
                <c:pt idx="530">
                  <c:v>1.2756100000000001</c:v>
                </c:pt>
                <c:pt idx="531">
                  <c:v>1.32111</c:v>
                </c:pt>
                <c:pt idx="532">
                  <c:v>1.25149</c:v>
                </c:pt>
                <c:pt idx="533">
                  <c:v>1.3178700000000001</c:v>
                </c:pt>
                <c:pt idx="534">
                  <c:v>1.2531600000000001</c:v>
                </c:pt>
                <c:pt idx="535">
                  <c:v>1.25027</c:v>
                </c:pt>
                <c:pt idx="536">
                  <c:v>1.21269</c:v>
                </c:pt>
                <c:pt idx="537">
                  <c:v>1.09148</c:v>
                </c:pt>
                <c:pt idx="538">
                  <c:v>1.2033199999999999</c:v>
                </c:pt>
                <c:pt idx="539">
                  <c:v>1.2045600000000001</c:v>
                </c:pt>
                <c:pt idx="540">
                  <c:v>0.99507999999999996</c:v>
                </c:pt>
                <c:pt idx="541">
                  <c:v>0.87356999999999996</c:v>
                </c:pt>
                <c:pt idx="542">
                  <c:v>0.83070999999999995</c:v>
                </c:pt>
                <c:pt idx="543">
                  <c:v>0.80657999999999996</c:v>
                </c:pt>
                <c:pt idx="544">
                  <c:v>0.81818000000000002</c:v>
                </c:pt>
                <c:pt idx="545">
                  <c:v>0.81745999999999996</c:v>
                </c:pt>
                <c:pt idx="546">
                  <c:v>0.70001999999999998</c:v>
                </c:pt>
                <c:pt idx="547">
                  <c:v>0.70227000000000006</c:v>
                </c:pt>
                <c:pt idx="548">
                  <c:v>0.69811000000000012</c:v>
                </c:pt>
                <c:pt idx="549">
                  <c:v>0.70367999999999997</c:v>
                </c:pt>
                <c:pt idx="550">
                  <c:v>0.65637000000000001</c:v>
                </c:pt>
                <c:pt idx="551">
                  <c:v>0.52512000000000003</c:v>
                </c:pt>
                <c:pt idx="552">
                  <c:v>0.77681</c:v>
                </c:pt>
                <c:pt idx="553">
                  <c:v>0.61151</c:v>
                </c:pt>
                <c:pt idx="554">
                  <c:v>0.60587000000000002</c:v>
                </c:pt>
                <c:pt idx="555">
                  <c:v>0.58365</c:v>
                </c:pt>
                <c:pt idx="556">
                  <c:v>0.72640000000000005</c:v>
                </c:pt>
                <c:pt idx="557">
                  <c:v>0.76654</c:v>
                </c:pt>
                <c:pt idx="558">
                  <c:v>0.71489999999999998</c:v>
                </c:pt>
                <c:pt idx="559">
                  <c:v>0.83349000000000006</c:v>
                </c:pt>
                <c:pt idx="560">
                  <c:v>0.88694999999999991</c:v>
                </c:pt>
                <c:pt idx="561">
                  <c:v>1.02424</c:v>
                </c:pt>
                <c:pt idx="562">
                  <c:v>1.0659999999999998</c:v>
                </c:pt>
                <c:pt idx="563">
                  <c:v>2.0891199999999999</c:v>
                </c:pt>
                <c:pt idx="564">
                  <c:v>3.2614900000000002</c:v>
                </c:pt>
                <c:pt idx="565">
                  <c:v>3.2314499999999997</c:v>
                </c:pt>
                <c:pt idx="566">
                  <c:v>3.2207499999999998</c:v>
                </c:pt>
                <c:pt idx="567">
                  <c:v>3.7336399999999998</c:v>
                </c:pt>
                <c:pt idx="568">
                  <c:v>4.2481200000000001</c:v>
                </c:pt>
                <c:pt idx="569">
                  <c:v>4.2469200000000003</c:v>
                </c:pt>
                <c:pt idx="570">
                  <c:v>4.02759</c:v>
                </c:pt>
                <c:pt idx="571">
                  <c:v>3.9143500000000002</c:v>
                </c:pt>
                <c:pt idx="572">
                  <c:v>4.0786800000000003</c:v>
                </c:pt>
                <c:pt idx="573">
                  <c:v>3.7556099999999999</c:v>
                </c:pt>
                <c:pt idx="574">
                  <c:v>3.7862099999999996</c:v>
                </c:pt>
                <c:pt idx="575">
                  <c:v>3.0625400000000003</c:v>
                </c:pt>
                <c:pt idx="576">
                  <c:v>2.7199800000000001</c:v>
                </c:pt>
                <c:pt idx="577">
                  <c:v>2.2980900000000002</c:v>
                </c:pt>
                <c:pt idx="578">
                  <c:v>1.5663</c:v>
                </c:pt>
                <c:pt idx="579">
                  <c:v>1.4290100000000001</c:v>
                </c:pt>
                <c:pt idx="580">
                  <c:v>1.3744399999999999</c:v>
                </c:pt>
                <c:pt idx="581">
                  <c:v>1.4347300000000001</c:v>
                </c:pt>
                <c:pt idx="582">
                  <c:v>1.38391</c:v>
                </c:pt>
                <c:pt idx="583">
                  <c:v>1.4709000000000001</c:v>
                </c:pt>
                <c:pt idx="584">
                  <c:v>1.4300600000000001</c:v>
                </c:pt>
                <c:pt idx="585">
                  <c:v>1.47536</c:v>
                </c:pt>
                <c:pt idx="586">
                  <c:v>1.39801</c:v>
                </c:pt>
                <c:pt idx="587">
                  <c:v>1.37199</c:v>
                </c:pt>
                <c:pt idx="588">
                  <c:v>1.42394</c:v>
                </c:pt>
                <c:pt idx="589">
                  <c:v>1.4456200000000001</c:v>
                </c:pt>
                <c:pt idx="590">
                  <c:v>1.4976099999999999</c:v>
                </c:pt>
                <c:pt idx="591">
                  <c:v>1.5551599999999999</c:v>
                </c:pt>
                <c:pt idx="592">
                  <c:v>1.4712499999999999</c:v>
                </c:pt>
                <c:pt idx="593">
                  <c:v>1.5424500000000001</c:v>
                </c:pt>
                <c:pt idx="594">
                  <c:v>1.7687600000000001</c:v>
                </c:pt>
                <c:pt idx="595">
                  <c:v>1.7802199999999999</c:v>
                </c:pt>
                <c:pt idx="596">
                  <c:v>1.6763300000000001</c:v>
                </c:pt>
                <c:pt idx="597">
                  <c:v>1.6763300000000001</c:v>
                </c:pt>
                <c:pt idx="598">
                  <c:v>1.6763300000000001</c:v>
                </c:pt>
                <c:pt idx="599">
                  <c:v>1.6828299999999998</c:v>
                </c:pt>
                <c:pt idx="600">
                  <c:v>1.8276499999999998</c:v>
                </c:pt>
                <c:pt idx="601">
                  <c:v>1.5830000000000002</c:v>
                </c:pt>
                <c:pt idx="602">
                  <c:v>1.7601499999999999</c:v>
                </c:pt>
                <c:pt idx="603">
                  <c:v>1.8889099999999999</c:v>
                </c:pt>
                <c:pt idx="604">
                  <c:v>2.02902</c:v>
                </c:pt>
                <c:pt idx="605">
                  <c:v>1.97576</c:v>
                </c:pt>
                <c:pt idx="606">
                  <c:v>2.0169900000000003</c:v>
                </c:pt>
                <c:pt idx="607">
                  <c:v>1.8974199999999999</c:v>
                </c:pt>
                <c:pt idx="608">
                  <c:v>1.8974199999999999</c:v>
                </c:pt>
                <c:pt idx="609">
                  <c:v>2.0475699999999999</c:v>
                </c:pt>
                <c:pt idx="610">
                  <c:v>2.40246</c:v>
                </c:pt>
                <c:pt idx="611">
                  <c:v>2.4031700000000003</c:v>
                </c:pt>
                <c:pt idx="612">
                  <c:v>2.3708</c:v>
                </c:pt>
                <c:pt idx="613">
                  <c:v>2.7225900000000003</c:v>
                </c:pt>
                <c:pt idx="614">
                  <c:v>2.6403699999999999</c:v>
                </c:pt>
                <c:pt idx="615">
                  <c:v>2.5934200000000001</c:v>
                </c:pt>
                <c:pt idx="616">
                  <c:v>2.6150500000000001</c:v>
                </c:pt>
                <c:pt idx="617">
                  <c:v>2.5567199999999999</c:v>
                </c:pt>
                <c:pt idx="618">
                  <c:v>2.4218199999999999</c:v>
                </c:pt>
                <c:pt idx="619">
                  <c:v>2.09741</c:v>
                </c:pt>
                <c:pt idx="620">
                  <c:v>2.2377799999999999</c:v>
                </c:pt>
                <c:pt idx="621">
                  <c:v>2.3034499999999998</c:v>
                </c:pt>
                <c:pt idx="622">
                  <c:v>2.33799</c:v>
                </c:pt>
                <c:pt idx="623">
                  <c:v>2.26796</c:v>
                </c:pt>
                <c:pt idx="624">
                  <c:v>2.35385</c:v>
                </c:pt>
                <c:pt idx="625">
                  <c:v>2.25617</c:v>
                </c:pt>
                <c:pt idx="626">
                  <c:v>2.0146299999999999</c:v>
                </c:pt>
                <c:pt idx="627">
                  <c:v>2.0625</c:v>
                </c:pt>
                <c:pt idx="628">
                  <c:v>1.9494800000000001</c:v>
                </c:pt>
                <c:pt idx="629">
                  <c:v>1.8669399999999998</c:v>
                </c:pt>
                <c:pt idx="630">
                  <c:v>1.81853</c:v>
                </c:pt>
                <c:pt idx="631">
                  <c:v>1.81853</c:v>
                </c:pt>
                <c:pt idx="632">
                  <c:v>1.81853</c:v>
                </c:pt>
                <c:pt idx="633">
                  <c:v>1.7644200000000001</c:v>
                </c:pt>
                <c:pt idx="634">
                  <c:v>1.66937</c:v>
                </c:pt>
                <c:pt idx="635">
                  <c:v>1.6151499999999999</c:v>
                </c:pt>
                <c:pt idx="636">
                  <c:v>1.5483099999999999</c:v>
                </c:pt>
                <c:pt idx="637">
                  <c:v>1.3659899999999998</c:v>
                </c:pt>
                <c:pt idx="638">
                  <c:v>1.3353999999999999</c:v>
                </c:pt>
                <c:pt idx="639">
                  <c:v>1.4329400000000001</c:v>
                </c:pt>
                <c:pt idx="640">
                  <c:v>1.52799</c:v>
                </c:pt>
                <c:pt idx="641">
                  <c:v>1.50207</c:v>
                </c:pt>
                <c:pt idx="642">
                  <c:v>1.7155</c:v>
                </c:pt>
                <c:pt idx="643">
                  <c:v>1.5435300000000001</c:v>
                </c:pt>
                <c:pt idx="644">
                  <c:v>1.5073599999999998</c:v>
                </c:pt>
                <c:pt idx="645">
                  <c:v>1.5353299999999999</c:v>
                </c:pt>
                <c:pt idx="646">
                  <c:v>1.58589</c:v>
                </c:pt>
                <c:pt idx="647">
                  <c:v>1.5340799999999999</c:v>
                </c:pt>
                <c:pt idx="648">
                  <c:v>1.5200200000000001</c:v>
                </c:pt>
                <c:pt idx="649">
                  <c:v>1.7292400000000001</c:v>
                </c:pt>
                <c:pt idx="650">
                  <c:v>2.0697999999999999</c:v>
                </c:pt>
                <c:pt idx="651">
                  <c:v>2.3416100000000002</c:v>
                </c:pt>
                <c:pt idx="652">
                  <c:v>2.6461099999999997</c:v>
                </c:pt>
                <c:pt idx="653">
                  <c:v>2.5125600000000001</c:v>
                </c:pt>
                <c:pt idx="654">
                  <c:v>2.5312899999999998</c:v>
                </c:pt>
                <c:pt idx="655">
                  <c:v>2.4110400000000003</c:v>
                </c:pt>
                <c:pt idx="656">
                  <c:v>2.47282</c:v>
                </c:pt>
                <c:pt idx="657">
                  <c:v>2.4260099999999998</c:v>
                </c:pt>
                <c:pt idx="658">
                  <c:v>2.5205000000000002</c:v>
                </c:pt>
                <c:pt idx="659">
                  <c:v>2.52657</c:v>
                </c:pt>
                <c:pt idx="660">
                  <c:v>2.44868</c:v>
                </c:pt>
                <c:pt idx="661">
                  <c:v>2.4058999999999999</c:v>
                </c:pt>
                <c:pt idx="662">
                  <c:v>2.4855199999999997</c:v>
                </c:pt>
                <c:pt idx="663">
                  <c:v>2.3920300000000001</c:v>
                </c:pt>
                <c:pt idx="664">
                  <c:v>2.1574599999999999</c:v>
                </c:pt>
                <c:pt idx="665">
                  <c:v>2.03267</c:v>
                </c:pt>
                <c:pt idx="666">
                  <c:v>1.67252</c:v>
                </c:pt>
                <c:pt idx="667">
                  <c:v>1.5522</c:v>
                </c:pt>
                <c:pt idx="668">
                  <c:v>1.30935</c:v>
                </c:pt>
                <c:pt idx="669">
                  <c:v>1.26593</c:v>
                </c:pt>
                <c:pt idx="670">
                  <c:v>1.4605299999999999</c:v>
                </c:pt>
                <c:pt idx="671">
                  <c:v>1.5505500000000001</c:v>
                </c:pt>
                <c:pt idx="672">
                  <c:v>1.6219999999999999</c:v>
                </c:pt>
                <c:pt idx="673">
                  <c:v>1.3212200000000001</c:v>
                </c:pt>
                <c:pt idx="674">
                  <c:v>1.3067199999999999</c:v>
                </c:pt>
                <c:pt idx="675">
                  <c:v>1.10042</c:v>
                </c:pt>
                <c:pt idx="676">
                  <c:v>1.0344899999999999</c:v>
                </c:pt>
                <c:pt idx="677">
                  <c:v>0.89863000000000004</c:v>
                </c:pt>
                <c:pt idx="678">
                  <c:v>0.99694000000000005</c:v>
                </c:pt>
                <c:pt idx="679">
                  <c:v>0.86923000000000006</c:v>
                </c:pt>
                <c:pt idx="680">
                  <c:v>0.85797999999999996</c:v>
                </c:pt>
                <c:pt idx="681">
                  <c:v>0.80405000000000004</c:v>
                </c:pt>
                <c:pt idx="682">
                  <c:v>0.83569000000000004</c:v>
                </c:pt>
                <c:pt idx="683">
                  <c:v>1.08142</c:v>
                </c:pt>
                <c:pt idx="684">
                  <c:v>1.0320799999999999</c:v>
                </c:pt>
                <c:pt idx="685">
                  <c:v>1.1183100000000001</c:v>
                </c:pt>
                <c:pt idx="686">
                  <c:v>1.2073</c:v>
                </c:pt>
                <c:pt idx="687">
                  <c:v>1.2616800000000001</c:v>
                </c:pt>
                <c:pt idx="688">
                  <c:v>1.1252</c:v>
                </c:pt>
                <c:pt idx="689">
                  <c:v>1.1979900000000001</c:v>
                </c:pt>
                <c:pt idx="690">
                  <c:v>1.17249</c:v>
                </c:pt>
                <c:pt idx="691">
                  <c:v>1.08406</c:v>
                </c:pt>
                <c:pt idx="692">
                  <c:v>1.07931</c:v>
                </c:pt>
                <c:pt idx="693">
                  <c:v>1.07931</c:v>
                </c:pt>
                <c:pt idx="694">
                  <c:v>1.1430200000000001</c:v>
                </c:pt>
                <c:pt idx="695">
                  <c:v>1.2067300000000001</c:v>
                </c:pt>
                <c:pt idx="696">
                  <c:v>1.27742</c:v>
                </c:pt>
                <c:pt idx="697">
                  <c:v>1.33161</c:v>
                </c:pt>
                <c:pt idx="698">
                  <c:v>1.3261000000000001</c:v>
                </c:pt>
                <c:pt idx="699">
                  <c:v>1.27152</c:v>
                </c:pt>
                <c:pt idx="700">
                  <c:v>1.2668300000000001</c:v>
                </c:pt>
                <c:pt idx="701">
                  <c:v>1.1429199999999999</c:v>
                </c:pt>
                <c:pt idx="702">
                  <c:v>1.0747499999999999</c:v>
                </c:pt>
                <c:pt idx="703">
                  <c:v>1.0411900000000001</c:v>
                </c:pt>
                <c:pt idx="704">
                  <c:v>1.1987099999999999</c:v>
                </c:pt>
                <c:pt idx="705">
                  <c:v>1.4264699999999999</c:v>
                </c:pt>
                <c:pt idx="706">
                  <c:v>1.5256200000000002</c:v>
                </c:pt>
                <c:pt idx="707">
                  <c:v>1.50369</c:v>
                </c:pt>
              </c:numCache>
            </c:numRef>
          </c:val>
          <c:smooth val="0"/>
          <c:extLst>
            <c:ext xmlns:c16="http://schemas.microsoft.com/office/drawing/2014/chart" uri="{C3380CC4-5D6E-409C-BE32-E72D297353CC}">
              <c16:uniqueId val="{00000004-F31E-4170-9322-6C48FF56580E}"/>
            </c:ext>
          </c:extLst>
        </c:ser>
        <c:ser>
          <c:idx val="7"/>
          <c:order val="7"/>
          <c:tx>
            <c:strRef>
              <c:f>Sheet1!$I$1</c:f>
              <c:strCache>
                <c:ptCount val="1"/>
                <c:pt idx="0">
                  <c:v>Վրաստան (2026)</c:v>
                </c:pt>
              </c:strCache>
            </c:strRef>
          </c:tx>
          <c:spPr>
            <a:ln w="19050" cap="rnd">
              <a:solidFill>
                <a:schemeClr val="accent4">
                  <a:lumMod val="75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Sheet1!$I$2:$I$971</c:f>
              <c:numCache>
                <c:formatCode>General</c:formatCode>
                <c:ptCount val="709"/>
                <c:pt idx="339" formatCode="0">
                  <c:v>1.86876</c:v>
                </c:pt>
                <c:pt idx="340" formatCode="0">
                  <c:v>1.8400299999999998</c:v>
                </c:pt>
                <c:pt idx="341" formatCode="0">
                  <c:v>1.8314599999999999</c:v>
                </c:pt>
                <c:pt idx="342" formatCode="0">
                  <c:v>1.81216</c:v>
                </c:pt>
                <c:pt idx="343" formatCode="0">
                  <c:v>1.7606600000000001</c:v>
                </c:pt>
                <c:pt idx="344" formatCode="0">
                  <c:v>1.74054</c:v>
                </c:pt>
                <c:pt idx="345" formatCode="0">
                  <c:v>1.6841999999999999</c:v>
                </c:pt>
                <c:pt idx="346" formatCode="0">
                  <c:v>1.6984399999999999</c:v>
                </c:pt>
                <c:pt idx="347" formatCode="0">
                  <c:v>1.6762999999999999</c:v>
                </c:pt>
                <c:pt idx="348" formatCode="0">
                  <c:v>1.6762999999999999</c:v>
                </c:pt>
                <c:pt idx="349" formatCode="0">
                  <c:v>1.7254700000000001</c:v>
                </c:pt>
                <c:pt idx="350" formatCode="0">
                  <c:v>1.71841</c:v>
                </c:pt>
                <c:pt idx="351" formatCode="0">
                  <c:v>1.70523</c:v>
                </c:pt>
                <c:pt idx="352" formatCode="0">
                  <c:v>1.7134499999999999</c:v>
                </c:pt>
                <c:pt idx="353" formatCode="0">
                  <c:v>1.7161000000000002</c:v>
                </c:pt>
                <c:pt idx="354" formatCode="0">
                  <c:v>1.7149000000000001</c:v>
                </c:pt>
                <c:pt idx="355" formatCode="0">
                  <c:v>1.6665100000000002</c:v>
                </c:pt>
                <c:pt idx="356" formatCode="0">
                  <c:v>1.7052699999999998</c:v>
                </c:pt>
                <c:pt idx="357" formatCode="0">
                  <c:v>1.7059299999999999</c:v>
                </c:pt>
                <c:pt idx="358" formatCode="0">
                  <c:v>1.7196500000000001</c:v>
                </c:pt>
                <c:pt idx="359" formatCode="0">
                  <c:v>1.6569999999999998</c:v>
                </c:pt>
                <c:pt idx="360" formatCode="0">
                  <c:v>1.6834</c:v>
                </c:pt>
                <c:pt idx="361" formatCode="0">
                  <c:v>1.6837500000000001</c:v>
                </c:pt>
                <c:pt idx="362" formatCode="0">
                  <c:v>1.6746799999999999</c:v>
                </c:pt>
                <c:pt idx="363" formatCode="0">
                  <c:v>1.7069900000000002</c:v>
                </c:pt>
                <c:pt idx="364" formatCode="0">
                  <c:v>1.7018700000000002</c:v>
                </c:pt>
                <c:pt idx="365" formatCode="0">
                  <c:v>1.7071399999999999</c:v>
                </c:pt>
                <c:pt idx="366" formatCode="0">
                  <c:v>1.6485300000000001</c:v>
                </c:pt>
                <c:pt idx="367" formatCode="0">
                  <c:v>1.61975</c:v>
                </c:pt>
                <c:pt idx="368" formatCode="0">
                  <c:v>1.61975</c:v>
                </c:pt>
                <c:pt idx="369" formatCode="0">
                  <c:v>1.6057599999999999</c:v>
                </c:pt>
                <c:pt idx="370" formatCode="0">
                  <c:v>1.6166200000000002</c:v>
                </c:pt>
                <c:pt idx="371" formatCode="0">
                  <c:v>1.5789800000000001</c:v>
                </c:pt>
                <c:pt idx="372" formatCode="0">
                  <c:v>1.61113</c:v>
                </c:pt>
                <c:pt idx="373" formatCode="0">
                  <c:v>1.6322000000000001</c:v>
                </c:pt>
                <c:pt idx="374" formatCode="0">
                  <c:v>1.6643100000000002</c:v>
                </c:pt>
                <c:pt idx="375" formatCode="0">
                  <c:v>1.65727</c:v>
                </c:pt>
                <c:pt idx="376" formatCode="0">
                  <c:v>1.6489400000000001</c:v>
                </c:pt>
                <c:pt idx="377" formatCode="0">
                  <c:v>1.4196600000000001</c:v>
                </c:pt>
                <c:pt idx="378" formatCode="0">
                  <c:v>1.43567</c:v>
                </c:pt>
                <c:pt idx="379" formatCode="0">
                  <c:v>1.4487299999999999</c:v>
                </c:pt>
                <c:pt idx="380" formatCode="0">
                  <c:v>1.4588700000000001</c:v>
                </c:pt>
                <c:pt idx="381" formatCode="0">
                  <c:v>1.4039299999999999</c:v>
                </c:pt>
                <c:pt idx="382" formatCode="0">
                  <c:v>1.3480400000000001</c:v>
                </c:pt>
                <c:pt idx="383" formatCode="0">
                  <c:v>1.42208</c:v>
                </c:pt>
                <c:pt idx="384" formatCode="0">
                  <c:v>1.4095500000000001</c:v>
                </c:pt>
                <c:pt idx="385" formatCode="0">
                  <c:v>1.4032800000000001</c:v>
                </c:pt>
                <c:pt idx="386" formatCode="0">
                  <c:v>1.40665</c:v>
                </c:pt>
                <c:pt idx="387" formatCode="0">
                  <c:v>1.38917</c:v>
                </c:pt>
                <c:pt idx="388" formatCode="0">
                  <c:v>1.40984</c:v>
                </c:pt>
                <c:pt idx="389" formatCode="0">
                  <c:v>1.37954</c:v>
                </c:pt>
                <c:pt idx="390" formatCode="0">
                  <c:v>1.34375</c:v>
                </c:pt>
                <c:pt idx="391" formatCode="0">
                  <c:v>1.3363</c:v>
                </c:pt>
                <c:pt idx="392" formatCode="0">
                  <c:v>1.3936299999999999</c:v>
                </c:pt>
                <c:pt idx="393" formatCode="0">
                  <c:v>1.40083</c:v>
                </c:pt>
                <c:pt idx="394" formatCode="0">
                  <c:v>1.4353800000000001</c:v>
                </c:pt>
                <c:pt idx="395" formatCode="0">
                  <c:v>1.42052</c:v>
                </c:pt>
                <c:pt idx="396" formatCode="0">
                  <c:v>1.44208</c:v>
                </c:pt>
                <c:pt idx="397" formatCode="0">
                  <c:v>1.4101499999999998</c:v>
                </c:pt>
                <c:pt idx="398" formatCode="0">
                  <c:v>1.3948700000000001</c:v>
                </c:pt>
                <c:pt idx="399" formatCode="0">
                  <c:v>1.3454200000000001</c:v>
                </c:pt>
                <c:pt idx="400" formatCode="0">
                  <c:v>1.3794399999999998</c:v>
                </c:pt>
                <c:pt idx="401" formatCode="0">
                  <c:v>1.4203899999999998</c:v>
                </c:pt>
                <c:pt idx="402" formatCode="0">
                  <c:v>1.4088700000000001</c:v>
                </c:pt>
                <c:pt idx="403" formatCode="0">
                  <c:v>1.5141999999999998</c:v>
                </c:pt>
                <c:pt idx="404" formatCode="0">
                  <c:v>1.5204</c:v>
                </c:pt>
                <c:pt idx="405" formatCode="0">
                  <c:v>1.4617099999999998</c:v>
                </c:pt>
                <c:pt idx="406" formatCode="0">
                  <c:v>1.50278</c:v>
                </c:pt>
                <c:pt idx="407" formatCode="0">
                  <c:v>1.4694499999999999</c:v>
                </c:pt>
                <c:pt idx="408" formatCode="0">
                  <c:v>1.50404</c:v>
                </c:pt>
                <c:pt idx="409" formatCode="0">
                  <c:v>1.5262100000000001</c:v>
                </c:pt>
                <c:pt idx="410" formatCode="0">
                  <c:v>1.52077</c:v>
                </c:pt>
                <c:pt idx="411" formatCode="0">
                  <c:v>1.4754800000000001</c:v>
                </c:pt>
                <c:pt idx="412" formatCode="0">
                  <c:v>1.50701</c:v>
                </c:pt>
                <c:pt idx="413" formatCode="0">
                  <c:v>1.53531</c:v>
                </c:pt>
                <c:pt idx="414" formatCode="0">
                  <c:v>1.55633</c:v>
                </c:pt>
                <c:pt idx="415" formatCode="0">
                  <c:v>1.51454</c:v>
                </c:pt>
                <c:pt idx="416" formatCode="0">
                  <c:v>1.4618899999999999</c:v>
                </c:pt>
                <c:pt idx="417" formatCode="0">
                  <c:v>1.413</c:v>
                </c:pt>
                <c:pt idx="418" formatCode="0">
                  <c:v>1.3905099999999999</c:v>
                </c:pt>
                <c:pt idx="419" formatCode="0">
                  <c:v>1.3403800000000001</c:v>
                </c:pt>
                <c:pt idx="420" formatCode="0">
                  <c:v>1.37324</c:v>
                </c:pt>
                <c:pt idx="421" formatCode="0">
                  <c:v>1.3726499999999999</c:v>
                </c:pt>
                <c:pt idx="422" formatCode="0">
                  <c:v>1.39344</c:v>
                </c:pt>
                <c:pt idx="423" formatCode="0">
                  <c:v>1.44024</c:v>
                </c:pt>
                <c:pt idx="424" formatCode="0">
                  <c:v>1.4474500000000001</c:v>
                </c:pt>
                <c:pt idx="425" formatCode="0">
                  <c:v>1.42588</c:v>
                </c:pt>
                <c:pt idx="426" formatCode="0">
                  <c:v>1.4268000000000001</c:v>
                </c:pt>
                <c:pt idx="427" formatCode="0">
                  <c:v>1.3788499999999999</c:v>
                </c:pt>
                <c:pt idx="428" formatCode="0">
                  <c:v>1.44387</c:v>
                </c:pt>
                <c:pt idx="429" formatCode="0">
                  <c:v>1.4131299999999998</c:v>
                </c:pt>
                <c:pt idx="430" formatCode="0">
                  <c:v>1.37761</c:v>
                </c:pt>
                <c:pt idx="431" formatCode="0">
                  <c:v>1.35625</c:v>
                </c:pt>
                <c:pt idx="432" formatCode="0">
                  <c:v>1.3999100000000002</c:v>
                </c:pt>
                <c:pt idx="433" formatCode="0">
                  <c:v>1.3999100000000002</c:v>
                </c:pt>
                <c:pt idx="434" formatCode="0">
                  <c:v>1.42303</c:v>
                </c:pt>
                <c:pt idx="435" formatCode="0">
                  <c:v>1.3903100000000002</c:v>
                </c:pt>
                <c:pt idx="436" formatCode="0">
                  <c:v>1.3928100000000001</c:v>
                </c:pt>
                <c:pt idx="437" formatCode="0">
                  <c:v>1.38896</c:v>
                </c:pt>
                <c:pt idx="438" formatCode="0">
                  <c:v>1.37548</c:v>
                </c:pt>
                <c:pt idx="439" formatCode="0">
                  <c:v>1.33039</c:v>
                </c:pt>
                <c:pt idx="440" formatCode="0">
                  <c:v>1.3197700000000001</c:v>
                </c:pt>
                <c:pt idx="441" formatCode="0">
                  <c:v>1.3320400000000001</c:v>
                </c:pt>
                <c:pt idx="442" formatCode="0">
                  <c:v>1.31287</c:v>
                </c:pt>
                <c:pt idx="443" formatCode="0">
                  <c:v>1.3028999999999999</c:v>
                </c:pt>
                <c:pt idx="444" formatCode="0">
                  <c:v>1.3138999999999998</c:v>
                </c:pt>
                <c:pt idx="445" formatCode="0">
                  <c:v>1.31013</c:v>
                </c:pt>
                <c:pt idx="446" formatCode="0">
                  <c:v>1.2575499999999999</c:v>
                </c:pt>
                <c:pt idx="447" formatCode="0">
                  <c:v>1.2513399999999999</c:v>
                </c:pt>
                <c:pt idx="448" formatCode="0">
                  <c:v>1.3448599999999999</c:v>
                </c:pt>
                <c:pt idx="449" formatCode="0">
                  <c:v>1.30437</c:v>
                </c:pt>
                <c:pt idx="450" formatCode="0">
                  <c:v>1.3083099999999999</c:v>
                </c:pt>
                <c:pt idx="451" formatCode="0">
                  <c:v>1.20644</c:v>
                </c:pt>
                <c:pt idx="452" formatCode="0">
                  <c:v>1.2395799999999999</c:v>
                </c:pt>
                <c:pt idx="453" formatCode="0">
                  <c:v>1.2852299999999999</c:v>
                </c:pt>
                <c:pt idx="454" formatCode="0">
                  <c:v>1.3765700000000001</c:v>
                </c:pt>
                <c:pt idx="455" formatCode="0">
                  <c:v>1.40584</c:v>
                </c:pt>
                <c:pt idx="456" formatCode="0">
                  <c:v>1.4631399999999999</c:v>
                </c:pt>
                <c:pt idx="457" formatCode="0">
                  <c:v>1.6361000000000001</c:v>
                </c:pt>
                <c:pt idx="458" formatCode="0">
                  <c:v>1.6448199999999999</c:v>
                </c:pt>
                <c:pt idx="459" formatCode="0">
                  <c:v>1.55823</c:v>
                </c:pt>
                <c:pt idx="460" formatCode="0">
                  <c:v>1.5763199999999999</c:v>
                </c:pt>
                <c:pt idx="461" formatCode="0">
                  <c:v>1.5292400000000002</c:v>
                </c:pt>
                <c:pt idx="462" formatCode="0">
                  <c:v>1.4664200000000001</c:v>
                </c:pt>
                <c:pt idx="463" formatCode="0">
                  <c:v>1.51525</c:v>
                </c:pt>
                <c:pt idx="464" formatCode="0">
                  <c:v>1.5141499999999999</c:v>
                </c:pt>
                <c:pt idx="465" formatCode="0">
                  <c:v>1.48081</c:v>
                </c:pt>
                <c:pt idx="466" formatCode="0">
                  <c:v>1.45852</c:v>
                </c:pt>
                <c:pt idx="467" formatCode="0">
                  <c:v>1.3781600000000001</c:v>
                </c:pt>
                <c:pt idx="468" formatCode="0">
                  <c:v>1.3244499999999999</c:v>
                </c:pt>
                <c:pt idx="469" formatCode="0">
                  <c:v>1.3656299999999999</c:v>
                </c:pt>
                <c:pt idx="470" formatCode="0">
                  <c:v>1.3545500000000001</c:v>
                </c:pt>
                <c:pt idx="471" formatCode="0">
                  <c:v>0.80608999999999997</c:v>
                </c:pt>
                <c:pt idx="472" formatCode="0">
                  <c:v>1.32752</c:v>
                </c:pt>
                <c:pt idx="473" formatCode="0">
                  <c:v>1.3393100000000002</c:v>
                </c:pt>
                <c:pt idx="474" formatCode="0">
                  <c:v>1.3212200000000001</c:v>
                </c:pt>
                <c:pt idx="475" formatCode="0">
                  <c:v>1.34667</c:v>
                </c:pt>
                <c:pt idx="476" formatCode="0">
                  <c:v>0.93819999999999992</c:v>
                </c:pt>
                <c:pt idx="477" formatCode="0">
                  <c:v>1.34138</c:v>
                </c:pt>
                <c:pt idx="478" formatCode="0">
                  <c:v>1.5861699999999999</c:v>
                </c:pt>
                <c:pt idx="479" formatCode="0">
                  <c:v>1.6447700000000001</c:v>
                </c:pt>
                <c:pt idx="480" formatCode="0">
                  <c:v>1.6369100000000001</c:v>
                </c:pt>
                <c:pt idx="481" formatCode="0">
                  <c:v>1.7061000000000002</c:v>
                </c:pt>
                <c:pt idx="482" formatCode="0">
                  <c:v>1.7566900000000001</c:v>
                </c:pt>
                <c:pt idx="483" formatCode="0">
                  <c:v>1.7037500000000001</c:v>
                </c:pt>
                <c:pt idx="484" formatCode="0">
                  <c:v>1.7441499999999999</c:v>
                </c:pt>
                <c:pt idx="485" formatCode="0">
                  <c:v>1.7309000000000001</c:v>
                </c:pt>
                <c:pt idx="486" formatCode="0">
                  <c:v>1.7689300000000001</c:v>
                </c:pt>
                <c:pt idx="487" formatCode="0">
                  <c:v>1.67587</c:v>
                </c:pt>
                <c:pt idx="488" formatCode="0">
                  <c:v>1.75861</c:v>
                </c:pt>
                <c:pt idx="489" formatCode="0">
                  <c:v>1.7996700000000001</c:v>
                </c:pt>
                <c:pt idx="490" formatCode="0">
                  <c:v>1.7514699999999999</c:v>
                </c:pt>
                <c:pt idx="491" formatCode="0">
                  <c:v>1.8433600000000001</c:v>
                </c:pt>
                <c:pt idx="492" formatCode="0">
                  <c:v>1.81488</c:v>
                </c:pt>
                <c:pt idx="493" formatCode="0">
                  <c:v>1.7538</c:v>
                </c:pt>
                <c:pt idx="494" formatCode="0">
                  <c:v>1.8492199999999999</c:v>
                </c:pt>
                <c:pt idx="495" formatCode="0">
                  <c:v>1.8020699999999998</c:v>
                </c:pt>
                <c:pt idx="496" formatCode="0">
                  <c:v>1.8653599999999999</c:v>
                </c:pt>
                <c:pt idx="497" formatCode="0">
                  <c:v>2.06521</c:v>
                </c:pt>
                <c:pt idx="498" formatCode="0">
                  <c:v>2.0194300000000003</c:v>
                </c:pt>
                <c:pt idx="499" formatCode="0">
                  <c:v>2.0775000000000001</c:v>
                </c:pt>
                <c:pt idx="500" formatCode="0">
                  <c:v>2.10514</c:v>
                </c:pt>
                <c:pt idx="501" formatCode="0">
                  <c:v>2.0537399999999999</c:v>
                </c:pt>
                <c:pt idx="502" formatCode="0">
                  <c:v>2.1061899999999998</c:v>
                </c:pt>
                <c:pt idx="503" formatCode="0">
                  <c:v>2.0198900000000002</c:v>
                </c:pt>
                <c:pt idx="504" formatCode="0">
                  <c:v>1.98858</c:v>
                </c:pt>
                <c:pt idx="505" formatCode="0">
                  <c:v>1.99919</c:v>
                </c:pt>
                <c:pt idx="506" formatCode="0">
                  <c:v>2.0033000000000003</c:v>
                </c:pt>
                <c:pt idx="507" formatCode="0">
                  <c:v>1.9872900000000002</c:v>
                </c:pt>
                <c:pt idx="508" formatCode="0">
                  <c:v>1.9495800000000001</c:v>
                </c:pt>
                <c:pt idx="509" formatCode="0">
                  <c:v>1.9505699999999999</c:v>
                </c:pt>
                <c:pt idx="510" formatCode="0">
                  <c:v>1.8400100000000001</c:v>
                </c:pt>
                <c:pt idx="511" formatCode="0">
                  <c:v>1.83927</c:v>
                </c:pt>
                <c:pt idx="512" formatCode="0">
                  <c:v>1.8130099999999998</c:v>
                </c:pt>
                <c:pt idx="513" formatCode="0">
                  <c:v>1.8615899999999999</c:v>
                </c:pt>
                <c:pt idx="514" formatCode="0">
                  <c:v>1.7658799999999999</c:v>
                </c:pt>
                <c:pt idx="515" formatCode="0">
                  <c:v>1.78332</c:v>
                </c:pt>
                <c:pt idx="516" formatCode="0">
                  <c:v>1.77064</c:v>
                </c:pt>
                <c:pt idx="517" formatCode="0">
                  <c:v>1.7685499999999998</c:v>
                </c:pt>
                <c:pt idx="518" formatCode="0">
                  <c:v>1.7685499999999998</c:v>
                </c:pt>
                <c:pt idx="519" formatCode="0">
                  <c:v>1.7685499999999998</c:v>
                </c:pt>
                <c:pt idx="520" formatCode="0">
                  <c:v>1.69889</c:v>
                </c:pt>
                <c:pt idx="521" formatCode="0">
                  <c:v>1.7177199999999999</c:v>
                </c:pt>
                <c:pt idx="522" formatCode="0">
                  <c:v>1.74844</c:v>
                </c:pt>
                <c:pt idx="523" formatCode="0">
                  <c:v>1.74844</c:v>
                </c:pt>
                <c:pt idx="524" formatCode="0">
                  <c:v>1.6784399999999999</c:v>
                </c:pt>
                <c:pt idx="525" formatCode="0">
                  <c:v>1.6316300000000001</c:v>
                </c:pt>
                <c:pt idx="526" formatCode="0">
                  <c:v>1.66716</c:v>
                </c:pt>
                <c:pt idx="527" formatCode="0">
                  <c:v>1.6640799999999998</c:v>
                </c:pt>
                <c:pt idx="528" formatCode="0">
                  <c:v>1.61202</c:v>
                </c:pt>
                <c:pt idx="529" formatCode="0">
                  <c:v>1.62965</c:v>
                </c:pt>
                <c:pt idx="530" formatCode="0">
                  <c:v>1.6453</c:v>
                </c:pt>
                <c:pt idx="531" formatCode="0">
                  <c:v>1.71058</c:v>
                </c:pt>
                <c:pt idx="532" formatCode="0">
                  <c:v>1.6618799999999998</c:v>
                </c:pt>
                <c:pt idx="533" formatCode="0">
                  <c:v>1.6472399999999998</c:v>
                </c:pt>
                <c:pt idx="534" formatCode="0">
                  <c:v>1.6351900000000001</c:v>
                </c:pt>
                <c:pt idx="535" formatCode="0">
                  <c:v>1.70079</c:v>
                </c:pt>
                <c:pt idx="536" formatCode="0">
                  <c:v>1.7535800000000001</c:v>
                </c:pt>
                <c:pt idx="537" formatCode="0">
                  <c:v>1.7963399999999998</c:v>
                </c:pt>
                <c:pt idx="538" formatCode="0">
                  <c:v>2.0007700000000002</c:v>
                </c:pt>
                <c:pt idx="539" formatCode="0">
                  <c:v>2.0347499999999998</c:v>
                </c:pt>
                <c:pt idx="540" formatCode="0">
                  <c:v>1.9903200000000001</c:v>
                </c:pt>
                <c:pt idx="541" formatCode="0">
                  <c:v>1.9917500000000001</c:v>
                </c:pt>
                <c:pt idx="542" formatCode="0">
                  <c:v>1.9912299999999998</c:v>
                </c:pt>
                <c:pt idx="543" formatCode="0">
                  <c:v>1.9963399999999998</c:v>
                </c:pt>
                <c:pt idx="544" formatCode="0">
                  <c:v>2.0240100000000001</c:v>
                </c:pt>
                <c:pt idx="545" formatCode="0">
                  <c:v>1.98156</c:v>
                </c:pt>
                <c:pt idx="546" formatCode="0">
                  <c:v>1.9446100000000002</c:v>
                </c:pt>
                <c:pt idx="547" formatCode="0">
                  <c:v>1.8426800000000001</c:v>
                </c:pt>
                <c:pt idx="548" formatCode="0">
                  <c:v>1.9809700000000001</c:v>
                </c:pt>
                <c:pt idx="549" formatCode="0">
                  <c:v>1.9810699999999999</c:v>
                </c:pt>
                <c:pt idx="550" formatCode="0">
                  <c:v>1.96191</c:v>
                </c:pt>
                <c:pt idx="551" formatCode="0">
                  <c:v>1.8669</c:v>
                </c:pt>
                <c:pt idx="552" formatCode="0">
                  <c:v>1.94319</c:v>
                </c:pt>
                <c:pt idx="553" formatCode="0">
                  <c:v>2.02338</c:v>
                </c:pt>
                <c:pt idx="554" formatCode="0">
                  <c:v>2.0358700000000001</c:v>
                </c:pt>
                <c:pt idx="555" formatCode="0">
                  <c:v>1.9994399999999999</c:v>
                </c:pt>
                <c:pt idx="556" formatCode="0">
                  <c:v>2.0665</c:v>
                </c:pt>
                <c:pt idx="557" formatCode="0">
                  <c:v>2.2408600000000001</c:v>
                </c:pt>
                <c:pt idx="558" formatCode="0">
                  <c:v>2.1051299999999999</c:v>
                </c:pt>
                <c:pt idx="559" formatCode="0">
                  <c:v>2.1995500000000003</c:v>
                </c:pt>
                <c:pt idx="560" formatCode="0">
                  <c:v>2.2984599999999999</c:v>
                </c:pt>
                <c:pt idx="561" formatCode="0">
                  <c:v>2.3751099999999998</c:v>
                </c:pt>
                <c:pt idx="562" formatCode="0">
                  <c:v>3.1683600000000003</c:v>
                </c:pt>
                <c:pt idx="563" formatCode="0">
                  <c:v>3.7837599999999996</c:v>
                </c:pt>
                <c:pt idx="564" formatCode="0">
                  <c:v>5.1835299999999993</c:v>
                </c:pt>
                <c:pt idx="565" formatCode="0">
                  <c:v>5.3956899999999992</c:v>
                </c:pt>
                <c:pt idx="566" formatCode="0">
                  <c:v>5.3956899999999992</c:v>
                </c:pt>
                <c:pt idx="567" formatCode="0">
                  <c:v>6.0038599999999995</c:v>
                </c:pt>
                <c:pt idx="568" formatCode="0">
                  <c:v>6.0038599999999995</c:v>
                </c:pt>
                <c:pt idx="569" formatCode="0">
                  <c:v>6.3362699999999998</c:v>
                </c:pt>
                <c:pt idx="570" formatCode="0">
                  <c:v>6.6086800000000006</c:v>
                </c:pt>
                <c:pt idx="571" formatCode="0">
                  <c:v>6.5615200000000007</c:v>
                </c:pt>
                <c:pt idx="572" formatCode="0">
                  <c:v>6.3608799999999999</c:v>
                </c:pt>
                <c:pt idx="573" formatCode="0">
                  <c:v>6.4239899999999999</c:v>
                </c:pt>
                <c:pt idx="574" formatCode="0">
                  <c:v>6.3764799999999999</c:v>
                </c:pt>
                <c:pt idx="575" formatCode="0">
                  <c:v>6.1533699999999998</c:v>
                </c:pt>
                <c:pt idx="576" formatCode="0">
                  <c:v>5.6670199999999999</c:v>
                </c:pt>
                <c:pt idx="577" formatCode="0">
                  <c:v>5.5049300000000008</c:v>
                </c:pt>
                <c:pt idx="578" formatCode="0">
                  <c:v>5.3155700000000001</c:v>
                </c:pt>
                <c:pt idx="579" formatCode="0">
                  <c:v>5.3288000000000002</c:v>
                </c:pt>
                <c:pt idx="580" formatCode="0">
                  <c:v>5.2879800000000001</c:v>
                </c:pt>
                <c:pt idx="581" formatCode="0">
                  <c:v>5.1725300000000001</c:v>
                </c:pt>
                <c:pt idx="582" formatCode="0">
                  <c:v>4.9787499999999998</c:v>
                </c:pt>
                <c:pt idx="583" formatCode="0">
                  <c:v>4.9392200000000006</c:v>
                </c:pt>
                <c:pt idx="584" formatCode="0">
                  <c:v>4.82301</c:v>
                </c:pt>
                <c:pt idx="585" formatCode="0">
                  <c:v>4.6210899999999997</c:v>
                </c:pt>
                <c:pt idx="586" formatCode="0">
                  <c:v>4.4275000000000002</c:v>
                </c:pt>
                <c:pt idx="587" formatCode="0">
                  <c:v>4.2231899999999998</c:v>
                </c:pt>
                <c:pt idx="588" formatCode="0">
                  <c:v>4.2769700000000004</c:v>
                </c:pt>
                <c:pt idx="589" formatCode="0">
                  <c:v>4.1157000000000004</c:v>
                </c:pt>
                <c:pt idx="590" formatCode="0">
                  <c:v>4.1642099999999997</c:v>
                </c:pt>
                <c:pt idx="591" formatCode="0">
                  <c:v>4.12209</c:v>
                </c:pt>
                <c:pt idx="592" formatCode="0">
                  <c:v>3.8842500000000002</c:v>
                </c:pt>
                <c:pt idx="593" formatCode="0">
                  <c:v>3.9261900000000001</c:v>
                </c:pt>
                <c:pt idx="594" formatCode="0">
                  <c:v>4.0492099999999995</c:v>
                </c:pt>
                <c:pt idx="595" formatCode="0">
                  <c:v>4.0012299999999996</c:v>
                </c:pt>
                <c:pt idx="596" formatCode="0">
                  <c:v>3.8130799999999998</c:v>
                </c:pt>
                <c:pt idx="597" formatCode="0">
                  <c:v>3.8130799999999998</c:v>
                </c:pt>
                <c:pt idx="598" formatCode="0">
                  <c:v>3.8130799999999998</c:v>
                </c:pt>
                <c:pt idx="599" formatCode="0">
                  <c:v>3.88</c:v>
                </c:pt>
                <c:pt idx="600" formatCode="0">
                  <c:v>3.8993900000000004</c:v>
                </c:pt>
                <c:pt idx="601" formatCode="0">
                  <c:v>3.75318</c:v>
                </c:pt>
                <c:pt idx="602" formatCode="0">
                  <c:v>3.7759300000000002</c:v>
                </c:pt>
                <c:pt idx="603" formatCode="0">
                  <c:v>4.0694600000000003</c:v>
                </c:pt>
                <c:pt idx="604" formatCode="0">
                  <c:v>4.1142399999999997</c:v>
                </c:pt>
                <c:pt idx="605" formatCode="0">
                  <c:v>4.1931500000000002</c:v>
                </c:pt>
                <c:pt idx="606" formatCode="0">
                  <c:v>4.0343599999999995</c:v>
                </c:pt>
                <c:pt idx="607" formatCode="0">
                  <c:v>3.9946800000000002</c:v>
                </c:pt>
                <c:pt idx="608" formatCode="0">
                  <c:v>3.9946800000000002</c:v>
                </c:pt>
                <c:pt idx="609" formatCode="0">
                  <c:v>3.9894600000000002</c:v>
                </c:pt>
                <c:pt idx="610" formatCode="0">
                  <c:v>3.86754</c:v>
                </c:pt>
                <c:pt idx="611" formatCode="0">
                  <c:v>3.9674999999999998</c:v>
                </c:pt>
                <c:pt idx="612" formatCode="0">
                  <c:v>3.8436500000000002</c:v>
                </c:pt>
                <c:pt idx="613" formatCode="0">
                  <c:v>4.05504</c:v>
                </c:pt>
                <c:pt idx="614" formatCode="0">
                  <c:v>4.18452</c:v>
                </c:pt>
                <c:pt idx="615" formatCode="0">
                  <c:v>4.2347799999999998</c:v>
                </c:pt>
                <c:pt idx="616" formatCode="0">
                  <c:v>4.2013099999999994</c:v>
                </c:pt>
                <c:pt idx="617" formatCode="0">
                  <c:v>3.9546199999999998</c:v>
                </c:pt>
                <c:pt idx="618" formatCode="0">
                  <c:v>4.1125699999999998</c:v>
                </c:pt>
                <c:pt idx="619" formatCode="0">
                  <c:v>4.1365800000000004</c:v>
                </c:pt>
                <c:pt idx="620" formatCode="0">
                  <c:v>4.0295499999999995</c:v>
                </c:pt>
                <c:pt idx="621" formatCode="0">
                  <c:v>4.2888799999999998</c:v>
                </c:pt>
                <c:pt idx="622" formatCode="0">
                  <c:v>4.1868499999999997</c:v>
                </c:pt>
                <c:pt idx="623" formatCode="0">
                  <c:v>4.2046999999999999</c:v>
                </c:pt>
                <c:pt idx="624" formatCode="0">
                  <c:v>4.3782199999999998</c:v>
                </c:pt>
                <c:pt idx="625" formatCode="0">
                  <c:v>4.3791000000000002</c:v>
                </c:pt>
                <c:pt idx="626" formatCode="0">
                  <c:v>4.4344700000000001</c:v>
                </c:pt>
                <c:pt idx="627" formatCode="0">
                  <c:v>4.0808600000000004</c:v>
                </c:pt>
                <c:pt idx="628" formatCode="0">
                  <c:v>4.2387300000000003</c:v>
                </c:pt>
                <c:pt idx="629" formatCode="0">
                  <c:v>4.2524600000000001</c:v>
                </c:pt>
                <c:pt idx="630" formatCode="0">
                  <c:v>4.1852100000000005</c:v>
                </c:pt>
                <c:pt idx="631" formatCode="0">
                  <c:v>4.1852100000000005</c:v>
                </c:pt>
                <c:pt idx="632" formatCode="0">
                  <c:v>4.1852100000000005</c:v>
                </c:pt>
                <c:pt idx="633" formatCode="0">
                  <c:v>4.0886700000000005</c:v>
                </c:pt>
                <c:pt idx="634" formatCode="0">
                  <c:v>4.1673499999999999</c:v>
                </c:pt>
                <c:pt idx="635" formatCode="0">
                  <c:v>4.1376900000000001</c:v>
                </c:pt>
                <c:pt idx="636" formatCode="0">
                  <c:v>4.0980999999999996</c:v>
                </c:pt>
                <c:pt idx="637" formatCode="0">
                  <c:v>3.9352100000000001</c:v>
                </c:pt>
                <c:pt idx="638" formatCode="0">
                  <c:v>3.8361800000000001</c:v>
                </c:pt>
                <c:pt idx="639" formatCode="0">
                  <c:v>3.7362700000000002</c:v>
                </c:pt>
                <c:pt idx="640" formatCode="0">
                  <c:v>4.06175</c:v>
                </c:pt>
                <c:pt idx="641" formatCode="0">
                  <c:v>4.3725500000000004</c:v>
                </c:pt>
                <c:pt idx="642" formatCode="0">
                  <c:v>4.4745600000000003</c:v>
                </c:pt>
                <c:pt idx="643" formatCode="0">
                  <c:v>4.1977399999999996</c:v>
                </c:pt>
                <c:pt idx="644" formatCode="0">
                  <c:v>4.63788</c:v>
                </c:pt>
                <c:pt idx="645" formatCode="0">
                  <c:v>4.7890300000000003</c:v>
                </c:pt>
                <c:pt idx="646" formatCode="0">
                  <c:v>4.8412600000000001</c:v>
                </c:pt>
                <c:pt idx="647" formatCode="0">
                  <c:v>4.8078199999999995</c:v>
                </c:pt>
                <c:pt idx="648" formatCode="0">
                  <c:v>4.73855</c:v>
                </c:pt>
                <c:pt idx="649" formatCode="0">
                  <c:v>4.7855999999999996</c:v>
                </c:pt>
                <c:pt idx="650" formatCode="0">
                  <c:v>4.9527400000000004</c:v>
                </c:pt>
                <c:pt idx="651" formatCode="0">
                  <c:v>5.4088699999999994</c:v>
                </c:pt>
                <c:pt idx="652" formatCode="0">
                  <c:v>5.3898999999999999</c:v>
                </c:pt>
                <c:pt idx="653" formatCode="0">
                  <c:v>5.2365700000000004</c:v>
                </c:pt>
                <c:pt idx="654" formatCode="0">
                  <c:v>5.3180100000000001</c:v>
                </c:pt>
                <c:pt idx="655" formatCode="0">
                  <c:v>5.2132199999999997</c:v>
                </c:pt>
                <c:pt idx="656" formatCode="0">
                  <c:v>5.1463400000000004</c:v>
                </c:pt>
                <c:pt idx="657" formatCode="0">
                  <c:v>4.9389000000000003</c:v>
                </c:pt>
                <c:pt idx="658" formatCode="0">
                  <c:v>5.1148400000000001</c:v>
                </c:pt>
                <c:pt idx="659" formatCode="0">
                  <c:v>5.1189200000000001</c:v>
                </c:pt>
                <c:pt idx="660" formatCode="0">
                  <c:v>5.2837199999999998</c:v>
                </c:pt>
                <c:pt idx="661" formatCode="0">
                  <c:v>5.2995600000000005</c:v>
                </c:pt>
                <c:pt idx="662" formatCode="0">
                  <c:v>5.4538500000000001</c:v>
                </c:pt>
                <c:pt idx="663" formatCode="0">
                  <c:v>5.6324199999999998</c:v>
                </c:pt>
                <c:pt idx="664" formatCode="0">
                  <c:v>5.2377200000000004</c:v>
                </c:pt>
                <c:pt idx="665" formatCode="0">
                  <c:v>5.0782999999999996</c:v>
                </c:pt>
                <c:pt idx="666" formatCode="0">
                  <c:v>5.2457500000000001</c:v>
                </c:pt>
                <c:pt idx="667" formatCode="0">
                  <c:v>5.0895299999999999</c:v>
                </c:pt>
                <c:pt idx="668" formatCode="0">
                  <c:v>5.0949999999999998</c:v>
                </c:pt>
                <c:pt idx="669" formatCode="0">
                  <c:v>4.70451</c:v>
                </c:pt>
                <c:pt idx="670" formatCode="0">
                  <c:v>4.96882</c:v>
                </c:pt>
                <c:pt idx="671" formatCode="0">
                  <c:v>4.75725</c:v>
                </c:pt>
                <c:pt idx="672" formatCode="0">
                  <c:v>4.8079700000000001</c:v>
                </c:pt>
                <c:pt idx="673" formatCode="0">
                  <c:v>4.7795999999999994</c:v>
                </c:pt>
                <c:pt idx="674" formatCode="0">
                  <c:v>4.5970899999999997</c:v>
                </c:pt>
                <c:pt idx="675" formatCode="0">
                  <c:v>4.3731799999999996</c:v>
                </c:pt>
                <c:pt idx="676" formatCode="0">
                  <c:v>4.3946199999999997</c:v>
                </c:pt>
                <c:pt idx="677" formatCode="0">
                  <c:v>4.1852</c:v>
                </c:pt>
                <c:pt idx="678" formatCode="0">
                  <c:v>3.9567800000000002</c:v>
                </c:pt>
                <c:pt idx="679" formatCode="0">
                  <c:v>4.0672500000000005</c:v>
                </c:pt>
                <c:pt idx="680" formatCode="0">
                  <c:v>3.79819</c:v>
                </c:pt>
                <c:pt idx="681" formatCode="0">
                  <c:v>3.7847899999999997</c:v>
                </c:pt>
                <c:pt idx="682" formatCode="0">
                  <c:v>3.7833699999999997</c:v>
                </c:pt>
                <c:pt idx="683" formatCode="0">
                  <c:v>4.0354899999999994</c:v>
                </c:pt>
                <c:pt idx="684" formatCode="0">
                  <c:v>3.9374099999999999</c:v>
                </c:pt>
                <c:pt idx="685" formatCode="0">
                  <c:v>3.9226299999999998</c:v>
                </c:pt>
                <c:pt idx="686" formatCode="0">
                  <c:v>3.7184200000000001</c:v>
                </c:pt>
                <c:pt idx="687" formatCode="0">
                  <c:v>3.90978</c:v>
                </c:pt>
                <c:pt idx="688" formatCode="0">
                  <c:v>3.8184399999999998</c:v>
                </c:pt>
                <c:pt idx="689" formatCode="0">
                  <c:v>3.7583699999999998</c:v>
                </c:pt>
                <c:pt idx="690" formatCode="0">
                  <c:v>3.6977199999999999</c:v>
                </c:pt>
                <c:pt idx="691" formatCode="0">
                  <c:v>3.7601299999999998</c:v>
                </c:pt>
                <c:pt idx="692" formatCode="0">
                  <c:v>3.7218099999999996</c:v>
                </c:pt>
                <c:pt idx="693" formatCode="0">
                  <c:v>3.7218099999999996</c:v>
                </c:pt>
                <c:pt idx="694" formatCode="0">
                  <c:v>3.4706200000000003</c:v>
                </c:pt>
                <c:pt idx="695" formatCode="0">
                  <c:v>3.45044</c:v>
                </c:pt>
                <c:pt idx="696" formatCode="0">
                  <c:v>3.45106</c:v>
                </c:pt>
                <c:pt idx="697" formatCode="0">
                  <c:v>3.49878</c:v>
                </c:pt>
                <c:pt idx="698" formatCode="0">
                  <c:v>3.47885</c:v>
                </c:pt>
                <c:pt idx="699" formatCode="0">
                  <c:v>3.4102899999999998</c:v>
                </c:pt>
                <c:pt idx="700" formatCode="0">
                  <c:v>3.54149</c:v>
                </c:pt>
                <c:pt idx="701" formatCode="0">
                  <c:v>3.4414299999999995</c:v>
                </c:pt>
                <c:pt idx="702" formatCode="0">
                  <c:v>3.4404599999999999</c:v>
                </c:pt>
                <c:pt idx="703" formatCode="0">
                  <c:v>3.3342200000000002</c:v>
                </c:pt>
                <c:pt idx="704" formatCode="0">
                  <c:v>3.3930500000000001</c:v>
                </c:pt>
                <c:pt idx="705" formatCode="0">
                  <c:v>3.2556799999999999</c:v>
                </c:pt>
                <c:pt idx="706" formatCode="0">
                  <c:v>3.25339</c:v>
                </c:pt>
                <c:pt idx="707" formatCode="0">
                  <c:v>3.30118</c:v>
                </c:pt>
              </c:numCache>
            </c:numRef>
          </c:val>
          <c:smooth val="0"/>
          <c:extLst>
            <c:ext xmlns:c16="http://schemas.microsoft.com/office/drawing/2014/chart" uri="{C3380CC4-5D6E-409C-BE32-E72D297353CC}">
              <c16:uniqueId val="{00000005-F31E-4170-9322-6C48FF56580E}"/>
            </c:ext>
          </c:extLst>
        </c:ser>
        <c:dLbls>
          <c:showLegendKey val="0"/>
          <c:showVal val="0"/>
          <c:showCatName val="0"/>
          <c:showSerName val="0"/>
          <c:showPercent val="0"/>
          <c:showBubbleSize val="0"/>
        </c:dLbls>
        <c:marker val="1"/>
        <c:smooth val="0"/>
        <c:axId val="216963712"/>
        <c:axId val="216965504"/>
      </c:lineChart>
      <c:lineChart>
        <c:grouping val="standard"/>
        <c:varyColors val="0"/>
        <c:ser>
          <c:idx val="2"/>
          <c:order val="2"/>
          <c:tx>
            <c:strRef>
              <c:f>Sheet1!$D$1</c:f>
              <c:strCache>
                <c:ptCount val="1"/>
                <c:pt idx="0">
                  <c:v>Ռուսաստան (2029թ.), աջ առանցք</c:v>
                </c:pt>
              </c:strCache>
            </c:strRef>
          </c:tx>
          <c:spPr>
            <a:ln w="19050" cap="rnd">
              <a:solidFill>
                <a:srgbClr val="7030A0"/>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Sheet1!$D$2:$D$971</c:f>
              <c:numCache>
                <c:formatCode>0</c:formatCode>
                <c:ptCount val="709"/>
                <c:pt idx="0">
                  <c:v>1.3247399999999998</c:v>
                </c:pt>
                <c:pt idx="1">
                  <c:v>1.40144</c:v>
                </c:pt>
                <c:pt idx="2">
                  <c:v>1.50546</c:v>
                </c:pt>
                <c:pt idx="3">
                  <c:v>1.5353600000000001</c:v>
                </c:pt>
                <c:pt idx="4">
                  <c:v>1.5143799999999998</c:v>
                </c:pt>
                <c:pt idx="5">
                  <c:v>1.44008</c:v>
                </c:pt>
                <c:pt idx="6">
                  <c:v>1.4420200000000001</c:v>
                </c:pt>
                <c:pt idx="7">
                  <c:v>1.46929</c:v>
                </c:pt>
                <c:pt idx="8">
                  <c:v>1.43933</c:v>
                </c:pt>
                <c:pt idx="9">
                  <c:v>1.4438499999999999</c:v>
                </c:pt>
                <c:pt idx="10">
                  <c:v>1.44577</c:v>
                </c:pt>
                <c:pt idx="11">
                  <c:v>1.4306899999999998</c:v>
                </c:pt>
                <c:pt idx="12">
                  <c:v>1.42808</c:v>
                </c:pt>
                <c:pt idx="13">
                  <c:v>1.42808</c:v>
                </c:pt>
                <c:pt idx="14">
                  <c:v>1.4672100000000001</c:v>
                </c:pt>
                <c:pt idx="15">
                  <c:v>1.4660499999999999</c:v>
                </c:pt>
                <c:pt idx="16">
                  <c:v>1.49962</c:v>
                </c:pt>
                <c:pt idx="17">
                  <c:v>1.5279099999999999</c:v>
                </c:pt>
                <c:pt idx="18">
                  <c:v>1.61374</c:v>
                </c:pt>
                <c:pt idx="19">
                  <c:v>1.5315700000000001</c:v>
                </c:pt>
                <c:pt idx="20">
                  <c:v>1.56091</c:v>
                </c:pt>
                <c:pt idx="21">
                  <c:v>1.5565899999999999</c:v>
                </c:pt>
                <c:pt idx="22">
                  <c:v>1.5356200000000002</c:v>
                </c:pt>
                <c:pt idx="23">
                  <c:v>1.5149600000000001</c:v>
                </c:pt>
                <c:pt idx="24">
                  <c:v>1.4829599999999998</c:v>
                </c:pt>
                <c:pt idx="25">
                  <c:v>1.4473500000000001</c:v>
                </c:pt>
                <c:pt idx="26">
                  <c:v>1.43703</c:v>
                </c:pt>
                <c:pt idx="27">
                  <c:v>1.4956299999999998</c:v>
                </c:pt>
                <c:pt idx="28">
                  <c:v>1.48898</c:v>
                </c:pt>
                <c:pt idx="29">
                  <c:v>1.39662</c:v>
                </c:pt>
                <c:pt idx="30">
                  <c:v>1.3622399999999999</c:v>
                </c:pt>
                <c:pt idx="31">
                  <c:v>1.38208</c:v>
                </c:pt>
                <c:pt idx="32">
                  <c:v>1.39832</c:v>
                </c:pt>
                <c:pt idx="33">
                  <c:v>1.39832</c:v>
                </c:pt>
                <c:pt idx="34">
                  <c:v>1.4331499999999999</c:v>
                </c:pt>
                <c:pt idx="35">
                  <c:v>1.4141699999999999</c:v>
                </c:pt>
                <c:pt idx="36">
                  <c:v>1.43207</c:v>
                </c:pt>
                <c:pt idx="37">
                  <c:v>1.43954</c:v>
                </c:pt>
                <c:pt idx="38">
                  <c:v>1.50623</c:v>
                </c:pt>
                <c:pt idx="39">
                  <c:v>1.5752999999999999</c:v>
                </c:pt>
                <c:pt idx="40">
                  <c:v>1.6184499999999999</c:v>
                </c:pt>
                <c:pt idx="41">
                  <c:v>1.76857</c:v>
                </c:pt>
                <c:pt idx="42">
                  <c:v>2.0748599999999997</c:v>
                </c:pt>
                <c:pt idx="43">
                  <c:v>2.0376099999999999</c:v>
                </c:pt>
                <c:pt idx="44">
                  <c:v>1.9768600000000001</c:v>
                </c:pt>
                <c:pt idx="45">
                  <c:v>1.77579</c:v>
                </c:pt>
                <c:pt idx="46">
                  <c:v>1.8447100000000001</c:v>
                </c:pt>
                <c:pt idx="47">
                  <c:v>2.01193</c:v>
                </c:pt>
                <c:pt idx="48">
                  <c:v>2.7907700000000002</c:v>
                </c:pt>
                <c:pt idx="49">
                  <c:v>2.47505</c:v>
                </c:pt>
                <c:pt idx="50">
                  <c:v>2.4031500000000001</c:v>
                </c:pt>
                <c:pt idx="51">
                  <c:v>3.0551999999999997</c:v>
                </c:pt>
                <c:pt idx="52">
                  <c:v>2.9277899999999999</c:v>
                </c:pt>
                <c:pt idx="53">
                  <c:v>3.2992300000000001</c:v>
                </c:pt>
                <c:pt idx="54">
                  <c:v>3.1200700000000001</c:v>
                </c:pt>
                <c:pt idx="55">
                  <c:v>3.9554</c:v>
                </c:pt>
                <c:pt idx="56">
                  <c:v>3.7013799999999999</c:v>
                </c:pt>
                <c:pt idx="57">
                  <c:v>3.58263</c:v>
                </c:pt>
                <c:pt idx="58">
                  <c:v>3.4088600000000002</c:v>
                </c:pt>
                <c:pt idx="59">
                  <c:v>2.97885</c:v>
                </c:pt>
                <c:pt idx="60">
                  <c:v>2.7663500000000001</c:v>
                </c:pt>
                <c:pt idx="61">
                  <c:v>2.6994899999999999</c:v>
                </c:pt>
                <c:pt idx="62">
                  <c:v>2.9344900000000003</c:v>
                </c:pt>
                <c:pt idx="63">
                  <c:v>3.13266</c:v>
                </c:pt>
                <c:pt idx="64">
                  <c:v>2.99274</c:v>
                </c:pt>
                <c:pt idx="65">
                  <c:v>3.1303899999999998</c:v>
                </c:pt>
                <c:pt idx="66">
                  <c:v>2.94733</c:v>
                </c:pt>
                <c:pt idx="67">
                  <c:v>2.74376</c:v>
                </c:pt>
                <c:pt idx="68">
                  <c:v>2.5863400000000003</c:v>
                </c:pt>
                <c:pt idx="69">
                  <c:v>2.4793600000000002</c:v>
                </c:pt>
                <c:pt idx="70">
                  <c:v>2.5715499999999998</c:v>
                </c:pt>
                <c:pt idx="71">
                  <c:v>2.4576599999999997</c:v>
                </c:pt>
                <c:pt idx="72">
                  <c:v>2.4576599999999997</c:v>
                </c:pt>
                <c:pt idx="73">
                  <c:v>2.4511699999999998</c:v>
                </c:pt>
                <c:pt idx="74">
                  <c:v>2.4200299999999997</c:v>
                </c:pt>
                <c:pt idx="75">
                  <c:v>2.6402899999999998</c:v>
                </c:pt>
                <c:pt idx="76">
                  <c:v>2.6068700000000002</c:v>
                </c:pt>
                <c:pt idx="77">
                  <c:v>2.6244099999999997</c:v>
                </c:pt>
                <c:pt idx="78">
                  <c:v>2.7016100000000001</c:v>
                </c:pt>
                <c:pt idx="79">
                  <c:v>2.8557199999999998</c:v>
                </c:pt>
                <c:pt idx="80">
                  <c:v>2.7662200000000001</c:v>
                </c:pt>
                <c:pt idx="81">
                  <c:v>2.7085199999999996</c:v>
                </c:pt>
                <c:pt idx="82">
                  <c:v>2.7084100000000002</c:v>
                </c:pt>
                <c:pt idx="83">
                  <c:v>2.6855700000000002</c:v>
                </c:pt>
                <c:pt idx="84">
                  <c:v>2.75678</c:v>
                </c:pt>
                <c:pt idx="85">
                  <c:v>2.69225</c:v>
                </c:pt>
                <c:pt idx="86">
                  <c:v>2.68282</c:v>
                </c:pt>
                <c:pt idx="87">
                  <c:v>2.6942000000000004</c:v>
                </c:pt>
                <c:pt idx="88">
                  <c:v>2.7035899999999997</c:v>
                </c:pt>
                <c:pt idx="89">
                  <c:v>2.6272500000000001</c:v>
                </c:pt>
                <c:pt idx="90">
                  <c:v>2.6064499999999997</c:v>
                </c:pt>
                <c:pt idx="91">
                  <c:v>2.59355</c:v>
                </c:pt>
                <c:pt idx="92">
                  <c:v>2.593</c:v>
                </c:pt>
                <c:pt idx="93">
                  <c:v>2.5167099999999998</c:v>
                </c:pt>
                <c:pt idx="94">
                  <c:v>2.5040399999999998</c:v>
                </c:pt>
                <c:pt idx="95">
                  <c:v>2.5200399999999998</c:v>
                </c:pt>
                <c:pt idx="96">
                  <c:v>2.5570200000000001</c:v>
                </c:pt>
                <c:pt idx="97">
                  <c:v>2.4447000000000001</c:v>
                </c:pt>
                <c:pt idx="98">
                  <c:v>2.2584399999999998</c:v>
                </c:pt>
                <c:pt idx="99">
                  <c:v>2.1884000000000001</c:v>
                </c:pt>
                <c:pt idx="100">
                  <c:v>2.0825200000000001</c:v>
                </c:pt>
                <c:pt idx="101">
                  <c:v>2.0173700000000001</c:v>
                </c:pt>
                <c:pt idx="102">
                  <c:v>2.0758399999999999</c:v>
                </c:pt>
                <c:pt idx="103">
                  <c:v>2.0758399999999999</c:v>
                </c:pt>
                <c:pt idx="104">
                  <c:v>1.9949299999999999</c:v>
                </c:pt>
                <c:pt idx="105">
                  <c:v>2.0340500000000001</c:v>
                </c:pt>
                <c:pt idx="106">
                  <c:v>1.9878200000000001</c:v>
                </c:pt>
                <c:pt idx="107">
                  <c:v>2.0442</c:v>
                </c:pt>
                <c:pt idx="108">
                  <c:v>2.0224600000000001</c:v>
                </c:pt>
                <c:pt idx="109">
                  <c:v>1.98329</c:v>
                </c:pt>
                <c:pt idx="110">
                  <c:v>1.91553</c:v>
                </c:pt>
                <c:pt idx="111">
                  <c:v>1.9045799999999999</c:v>
                </c:pt>
                <c:pt idx="112">
                  <c:v>1.8913599999999999</c:v>
                </c:pt>
                <c:pt idx="113">
                  <c:v>1.9625999999999999</c:v>
                </c:pt>
                <c:pt idx="114">
                  <c:v>2.0119500000000001</c:v>
                </c:pt>
                <c:pt idx="115">
                  <c:v>2.08683</c:v>
                </c:pt>
                <c:pt idx="116">
                  <c:v>2.31793</c:v>
                </c:pt>
                <c:pt idx="117">
                  <c:v>2.2505299999999999</c:v>
                </c:pt>
                <c:pt idx="118">
                  <c:v>2.2153399999999999</c:v>
                </c:pt>
                <c:pt idx="119">
                  <c:v>2.0764900000000002</c:v>
                </c:pt>
                <c:pt idx="120">
                  <c:v>2.11104</c:v>
                </c:pt>
                <c:pt idx="121">
                  <c:v>2.1487400000000001</c:v>
                </c:pt>
                <c:pt idx="122">
                  <c:v>2.1382699999999999</c:v>
                </c:pt>
                <c:pt idx="123">
                  <c:v>2.10433</c:v>
                </c:pt>
                <c:pt idx="124">
                  <c:v>2.0664199999999999</c:v>
                </c:pt>
                <c:pt idx="125">
                  <c:v>2.12303</c:v>
                </c:pt>
                <c:pt idx="126">
                  <c:v>2.1618200000000001</c:v>
                </c:pt>
                <c:pt idx="127">
                  <c:v>2.1880099999999998</c:v>
                </c:pt>
                <c:pt idx="128">
                  <c:v>2.2537199999999999</c:v>
                </c:pt>
                <c:pt idx="129">
                  <c:v>2.28647</c:v>
                </c:pt>
                <c:pt idx="130">
                  <c:v>2.2131699999999999</c:v>
                </c:pt>
                <c:pt idx="131">
                  <c:v>2.1997900000000001</c:v>
                </c:pt>
                <c:pt idx="132">
                  <c:v>2.1997900000000001</c:v>
                </c:pt>
                <c:pt idx="133">
                  <c:v>2.2124299999999999</c:v>
                </c:pt>
                <c:pt idx="134">
                  <c:v>2.26389</c:v>
                </c:pt>
                <c:pt idx="135">
                  <c:v>2.2381000000000002</c:v>
                </c:pt>
                <c:pt idx="136">
                  <c:v>2.2364099999999998</c:v>
                </c:pt>
                <c:pt idx="137">
                  <c:v>2.2084000000000001</c:v>
                </c:pt>
                <c:pt idx="138">
                  <c:v>2.2086000000000001</c:v>
                </c:pt>
                <c:pt idx="139">
                  <c:v>2.2390600000000003</c:v>
                </c:pt>
                <c:pt idx="140">
                  <c:v>2.1969099999999999</c:v>
                </c:pt>
                <c:pt idx="141">
                  <c:v>2.20939</c:v>
                </c:pt>
                <c:pt idx="142">
                  <c:v>2.1715399999999998</c:v>
                </c:pt>
                <c:pt idx="143">
                  <c:v>2.2107900000000003</c:v>
                </c:pt>
                <c:pt idx="144">
                  <c:v>2.2041200000000001</c:v>
                </c:pt>
                <c:pt idx="145">
                  <c:v>2.20824</c:v>
                </c:pt>
                <c:pt idx="146">
                  <c:v>2.1807699999999999</c:v>
                </c:pt>
                <c:pt idx="147">
                  <c:v>2.2106399999999997</c:v>
                </c:pt>
                <c:pt idx="148">
                  <c:v>2.17693</c:v>
                </c:pt>
                <c:pt idx="149">
                  <c:v>2.2048199999999998</c:v>
                </c:pt>
                <c:pt idx="150">
                  <c:v>2.1784699999999999</c:v>
                </c:pt>
                <c:pt idx="151">
                  <c:v>2.23671</c:v>
                </c:pt>
                <c:pt idx="152">
                  <c:v>2.2338200000000001</c:v>
                </c:pt>
                <c:pt idx="153">
                  <c:v>2.1708400000000001</c:v>
                </c:pt>
                <c:pt idx="154">
                  <c:v>2.1478600000000001</c:v>
                </c:pt>
                <c:pt idx="155">
                  <c:v>2.0402</c:v>
                </c:pt>
                <c:pt idx="156">
                  <c:v>1.9876099999999999</c:v>
                </c:pt>
                <c:pt idx="157">
                  <c:v>1.9840100000000001</c:v>
                </c:pt>
                <c:pt idx="158">
                  <c:v>1.9269399999999999</c:v>
                </c:pt>
                <c:pt idx="159">
                  <c:v>1.84877</c:v>
                </c:pt>
                <c:pt idx="160">
                  <c:v>1.8714</c:v>
                </c:pt>
                <c:pt idx="161">
                  <c:v>1.85361</c:v>
                </c:pt>
                <c:pt idx="162">
                  <c:v>1.9384800000000002</c:v>
                </c:pt>
                <c:pt idx="163">
                  <c:v>2.0399700000000003</c:v>
                </c:pt>
                <c:pt idx="164">
                  <c:v>2.01898</c:v>
                </c:pt>
                <c:pt idx="165">
                  <c:v>2.01505</c:v>
                </c:pt>
                <c:pt idx="166">
                  <c:v>2.0614599999999998</c:v>
                </c:pt>
                <c:pt idx="167">
                  <c:v>2.0742500000000001</c:v>
                </c:pt>
                <c:pt idx="168">
                  <c:v>2.0559799999999999</c:v>
                </c:pt>
                <c:pt idx="169">
                  <c:v>2.01878</c:v>
                </c:pt>
                <c:pt idx="170">
                  <c:v>2.0402100000000001</c:v>
                </c:pt>
                <c:pt idx="171">
                  <c:v>1.96261</c:v>
                </c:pt>
                <c:pt idx="172">
                  <c:v>1.98078</c:v>
                </c:pt>
                <c:pt idx="173">
                  <c:v>1.99451</c:v>
                </c:pt>
                <c:pt idx="174">
                  <c:v>1.9737899999999999</c:v>
                </c:pt>
                <c:pt idx="175">
                  <c:v>1.9961099999999998</c:v>
                </c:pt>
                <c:pt idx="176">
                  <c:v>2.0407199999999999</c:v>
                </c:pt>
                <c:pt idx="177">
                  <c:v>2.0041700000000002</c:v>
                </c:pt>
                <c:pt idx="178">
                  <c:v>2.0041700000000002</c:v>
                </c:pt>
                <c:pt idx="179">
                  <c:v>2.0642300000000002</c:v>
                </c:pt>
                <c:pt idx="180">
                  <c:v>2.0187499999999998</c:v>
                </c:pt>
                <c:pt idx="181">
                  <c:v>2.0317599999999998</c:v>
                </c:pt>
                <c:pt idx="182">
                  <c:v>2.0192899999999998</c:v>
                </c:pt>
                <c:pt idx="183">
                  <c:v>2.0308000000000002</c:v>
                </c:pt>
                <c:pt idx="184">
                  <c:v>2.0043299999999999</c:v>
                </c:pt>
                <c:pt idx="185">
                  <c:v>1.9706000000000001</c:v>
                </c:pt>
                <c:pt idx="186">
                  <c:v>1.9903</c:v>
                </c:pt>
                <c:pt idx="187">
                  <c:v>1.9814699999999998</c:v>
                </c:pt>
                <c:pt idx="188">
                  <c:v>2.0707300000000002</c:v>
                </c:pt>
                <c:pt idx="189">
                  <c:v>2.0661</c:v>
                </c:pt>
                <c:pt idx="190">
                  <c:v>2.0547300000000002</c:v>
                </c:pt>
                <c:pt idx="191">
                  <c:v>2.0929099999999998</c:v>
                </c:pt>
                <c:pt idx="192">
                  <c:v>2.0826199999999999</c:v>
                </c:pt>
                <c:pt idx="193">
                  <c:v>2.0806999999999998</c:v>
                </c:pt>
                <c:pt idx="194">
                  <c:v>2.0755300000000001</c:v>
                </c:pt>
                <c:pt idx="195">
                  <c:v>2.0034899999999998</c:v>
                </c:pt>
                <c:pt idx="196">
                  <c:v>1.9554400000000001</c:v>
                </c:pt>
                <c:pt idx="197">
                  <c:v>1.95445</c:v>
                </c:pt>
                <c:pt idx="198">
                  <c:v>1.8916300000000001</c:v>
                </c:pt>
                <c:pt idx="199">
                  <c:v>1.9213900000000002</c:v>
                </c:pt>
                <c:pt idx="200">
                  <c:v>1.8979300000000001</c:v>
                </c:pt>
                <c:pt idx="201">
                  <c:v>1.8681000000000001</c:v>
                </c:pt>
                <c:pt idx="202">
                  <c:v>1.8281100000000001</c:v>
                </c:pt>
                <c:pt idx="203">
                  <c:v>1.8281100000000001</c:v>
                </c:pt>
                <c:pt idx="204">
                  <c:v>1.8578399999999999</c:v>
                </c:pt>
                <c:pt idx="205">
                  <c:v>1.8691300000000002</c:v>
                </c:pt>
                <c:pt idx="206">
                  <c:v>1.8526400000000001</c:v>
                </c:pt>
                <c:pt idx="207">
                  <c:v>1.8231600000000001</c:v>
                </c:pt>
                <c:pt idx="208">
                  <c:v>1.7922</c:v>
                </c:pt>
                <c:pt idx="209">
                  <c:v>1.8059700000000001</c:v>
                </c:pt>
                <c:pt idx="210">
                  <c:v>1.7870900000000001</c:v>
                </c:pt>
                <c:pt idx="211">
                  <c:v>1.7709000000000001</c:v>
                </c:pt>
                <c:pt idx="212">
                  <c:v>1.77817</c:v>
                </c:pt>
                <c:pt idx="213">
                  <c:v>1.83097</c:v>
                </c:pt>
                <c:pt idx="214">
                  <c:v>1.86833</c:v>
                </c:pt>
                <c:pt idx="215">
                  <c:v>1.9171500000000001</c:v>
                </c:pt>
                <c:pt idx="216">
                  <c:v>1.92201</c:v>
                </c:pt>
                <c:pt idx="217">
                  <c:v>1.9257599999999999</c:v>
                </c:pt>
                <c:pt idx="218">
                  <c:v>1.9764200000000001</c:v>
                </c:pt>
                <c:pt idx="219">
                  <c:v>1.9072800000000001</c:v>
                </c:pt>
                <c:pt idx="220">
                  <c:v>1.9178500000000001</c:v>
                </c:pt>
                <c:pt idx="221">
                  <c:v>1.8323700000000001</c:v>
                </c:pt>
                <c:pt idx="222">
                  <c:v>1.8064799999999999</c:v>
                </c:pt>
                <c:pt idx="223">
                  <c:v>1.6763699999999999</c:v>
                </c:pt>
                <c:pt idx="224">
                  <c:v>1.68357</c:v>
                </c:pt>
                <c:pt idx="225">
                  <c:v>1.68357</c:v>
                </c:pt>
                <c:pt idx="226">
                  <c:v>1.7498199999999999</c:v>
                </c:pt>
                <c:pt idx="227">
                  <c:v>1.7228700000000001</c:v>
                </c:pt>
                <c:pt idx="228">
                  <c:v>1.7077199999999999</c:v>
                </c:pt>
                <c:pt idx="229">
                  <c:v>1.74498</c:v>
                </c:pt>
                <c:pt idx="230">
                  <c:v>1.7219399999999998</c:v>
                </c:pt>
                <c:pt idx="231">
                  <c:v>1.76732</c:v>
                </c:pt>
                <c:pt idx="232">
                  <c:v>1.7758400000000001</c:v>
                </c:pt>
                <c:pt idx="233">
                  <c:v>1.75</c:v>
                </c:pt>
                <c:pt idx="234">
                  <c:v>1.7283999999999999</c:v>
                </c:pt>
                <c:pt idx="235">
                  <c:v>1.73078</c:v>
                </c:pt>
                <c:pt idx="236">
                  <c:v>1.73078</c:v>
                </c:pt>
                <c:pt idx="237">
                  <c:v>1.7551599999999998</c:v>
                </c:pt>
                <c:pt idx="238">
                  <c:v>1.7507400000000002</c:v>
                </c:pt>
                <c:pt idx="239">
                  <c:v>1.66689</c:v>
                </c:pt>
                <c:pt idx="240">
                  <c:v>1.67736</c:v>
                </c:pt>
                <c:pt idx="241">
                  <c:v>1.6849100000000001</c:v>
                </c:pt>
                <c:pt idx="242">
                  <c:v>1.64147</c:v>
                </c:pt>
                <c:pt idx="243">
                  <c:v>1.6657200000000001</c:v>
                </c:pt>
                <c:pt idx="244">
                  <c:v>1.6618600000000001</c:v>
                </c:pt>
                <c:pt idx="245">
                  <c:v>1.6368799999999999</c:v>
                </c:pt>
                <c:pt idx="246">
                  <c:v>1.6526799999999999</c:v>
                </c:pt>
                <c:pt idx="247">
                  <c:v>1.6472800000000001</c:v>
                </c:pt>
                <c:pt idx="248">
                  <c:v>1.6465700000000001</c:v>
                </c:pt>
                <c:pt idx="249">
                  <c:v>1.6063099999999999</c:v>
                </c:pt>
                <c:pt idx="250">
                  <c:v>1.5825200000000001</c:v>
                </c:pt>
                <c:pt idx="251">
                  <c:v>1.5449299999999999</c:v>
                </c:pt>
                <c:pt idx="252">
                  <c:v>1.5337499999999999</c:v>
                </c:pt>
                <c:pt idx="253">
                  <c:v>1.5483799999999999</c:v>
                </c:pt>
                <c:pt idx="254">
                  <c:v>1.5717300000000001</c:v>
                </c:pt>
                <c:pt idx="255">
                  <c:v>1.5571700000000002</c:v>
                </c:pt>
                <c:pt idx="256">
                  <c:v>1.5604199999999999</c:v>
                </c:pt>
                <c:pt idx="257">
                  <c:v>1.5604199999999999</c:v>
                </c:pt>
                <c:pt idx="258">
                  <c:v>1.5606800000000001</c:v>
                </c:pt>
                <c:pt idx="259">
                  <c:v>1.5461600000000002</c:v>
                </c:pt>
                <c:pt idx="260">
                  <c:v>1.5545599999999999</c:v>
                </c:pt>
                <c:pt idx="261">
                  <c:v>1.5704</c:v>
                </c:pt>
                <c:pt idx="262">
                  <c:v>1.5704</c:v>
                </c:pt>
                <c:pt idx="263">
                  <c:v>1.57775</c:v>
                </c:pt>
                <c:pt idx="264">
                  <c:v>1.5427000000000002</c:v>
                </c:pt>
                <c:pt idx="265">
                  <c:v>1.52275</c:v>
                </c:pt>
                <c:pt idx="266">
                  <c:v>1.52033</c:v>
                </c:pt>
                <c:pt idx="267">
                  <c:v>1.47475</c:v>
                </c:pt>
                <c:pt idx="268">
                  <c:v>1.44834</c:v>
                </c:pt>
                <c:pt idx="269">
                  <c:v>1.49393</c:v>
                </c:pt>
                <c:pt idx="270">
                  <c:v>1.5072099999999999</c:v>
                </c:pt>
                <c:pt idx="271">
                  <c:v>1.47333</c:v>
                </c:pt>
                <c:pt idx="272">
                  <c:v>1.5119300000000002</c:v>
                </c:pt>
                <c:pt idx="273">
                  <c:v>1.5119300000000002</c:v>
                </c:pt>
                <c:pt idx="274">
                  <c:v>1.50441</c:v>
                </c:pt>
                <c:pt idx="275">
                  <c:v>1.4999400000000001</c:v>
                </c:pt>
                <c:pt idx="276">
                  <c:v>1.52745</c:v>
                </c:pt>
                <c:pt idx="277">
                  <c:v>1.6343299999999998</c:v>
                </c:pt>
                <c:pt idx="278">
                  <c:v>1.6593199999999999</c:v>
                </c:pt>
                <c:pt idx="279">
                  <c:v>1.63537</c:v>
                </c:pt>
                <c:pt idx="280">
                  <c:v>1.63351</c:v>
                </c:pt>
                <c:pt idx="281">
                  <c:v>1.5980799999999999</c:v>
                </c:pt>
                <c:pt idx="282">
                  <c:v>1.56409</c:v>
                </c:pt>
                <c:pt idx="283">
                  <c:v>1.5402699999999998</c:v>
                </c:pt>
                <c:pt idx="284">
                  <c:v>1.51607</c:v>
                </c:pt>
                <c:pt idx="285">
                  <c:v>1.5063599999999999</c:v>
                </c:pt>
                <c:pt idx="286">
                  <c:v>1.4890600000000001</c:v>
                </c:pt>
                <c:pt idx="287">
                  <c:v>1.4672499999999999</c:v>
                </c:pt>
                <c:pt idx="288">
                  <c:v>1.4636600000000002</c:v>
                </c:pt>
                <c:pt idx="289">
                  <c:v>1.4684899999999999</c:v>
                </c:pt>
                <c:pt idx="290">
                  <c:v>1.4879</c:v>
                </c:pt>
                <c:pt idx="291">
                  <c:v>1.4524900000000001</c:v>
                </c:pt>
                <c:pt idx="292">
                  <c:v>1.4291</c:v>
                </c:pt>
                <c:pt idx="293">
                  <c:v>1.4291</c:v>
                </c:pt>
                <c:pt idx="294">
                  <c:v>1.3878999999999999</c:v>
                </c:pt>
                <c:pt idx="295">
                  <c:v>1.4252899999999999</c:v>
                </c:pt>
                <c:pt idx="296">
                  <c:v>1.3995</c:v>
                </c:pt>
                <c:pt idx="297">
                  <c:v>1.3574700000000002</c:v>
                </c:pt>
                <c:pt idx="298">
                  <c:v>1.3830199999999999</c:v>
                </c:pt>
                <c:pt idx="299">
                  <c:v>1.4208000000000001</c:v>
                </c:pt>
                <c:pt idx="300">
                  <c:v>1.41639</c:v>
                </c:pt>
                <c:pt idx="301">
                  <c:v>1.4009800000000001</c:v>
                </c:pt>
                <c:pt idx="302">
                  <c:v>1.4613800000000001</c:v>
                </c:pt>
                <c:pt idx="303">
                  <c:v>1.4351099999999999</c:v>
                </c:pt>
                <c:pt idx="304">
                  <c:v>1.49549</c:v>
                </c:pt>
                <c:pt idx="305">
                  <c:v>1.4585400000000002</c:v>
                </c:pt>
                <c:pt idx="306">
                  <c:v>1.3838599999999999</c:v>
                </c:pt>
                <c:pt idx="307">
                  <c:v>1.51742</c:v>
                </c:pt>
                <c:pt idx="308">
                  <c:v>1.6020599999999998</c:v>
                </c:pt>
                <c:pt idx="309">
                  <c:v>1.6284200000000002</c:v>
                </c:pt>
                <c:pt idx="310">
                  <c:v>1.63541</c:v>
                </c:pt>
                <c:pt idx="311">
                  <c:v>1.5646700000000002</c:v>
                </c:pt>
                <c:pt idx="312">
                  <c:v>1.56603</c:v>
                </c:pt>
                <c:pt idx="313">
                  <c:v>1.554</c:v>
                </c:pt>
                <c:pt idx="314">
                  <c:v>1.52569</c:v>
                </c:pt>
                <c:pt idx="315">
                  <c:v>1.6037999999999999</c:v>
                </c:pt>
                <c:pt idx="316">
                  <c:v>1.6123699999999999</c:v>
                </c:pt>
                <c:pt idx="317">
                  <c:v>1.5640799999999999</c:v>
                </c:pt>
                <c:pt idx="318">
                  <c:v>1.58518</c:v>
                </c:pt>
                <c:pt idx="319">
                  <c:v>1.71549</c:v>
                </c:pt>
                <c:pt idx="320">
                  <c:v>1.7296799999999999</c:v>
                </c:pt>
                <c:pt idx="321">
                  <c:v>1.7278200000000001</c:v>
                </c:pt>
                <c:pt idx="322">
                  <c:v>1.71329</c:v>
                </c:pt>
                <c:pt idx="323">
                  <c:v>1.6836600000000002</c:v>
                </c:pt>
                <c:pt idx="324">
                  <c:v>1.7421899999999999</c:v>
                </c:pt>
                <c:pt idx="325">
                  <c:v>1.6875</c:v>
                </c:pt>
                <c:pt idx="326">
                  <c:v>1.7315499999999999</c:v>
                </c:pt>
                <c:pt idx="327">
                  <c:v>1.7357900000000002</c:v>
                </c:pt>
                <c:pt idx="328">
                  <c:v>1.69095</c:v>
                </c:pt>
                <c:pt idx="329">
                  <c:v>1.7832699999999999</c:v>
                </c:pt>
                <c:pt idx="330">
                  <c:v>1.8034600000000001</c:v>
                </c:pt>
                <c:pt idx="331">
                  <c:v>1.7924799999999999</c:v>
                </c:pt>
                <c:pt idx="332">
                  <c:v>1.77186</c:v>
                </c:pt>
                <c:pt idx="333">
                  <c:v>1.7687899999999999</c:v>
                </c:pt>
                <c:pt idx="334">
                  <c:v>1.8213499999999998</c:v>
                </c:pt>
                <c:pt idx="335">
                  <c:v>1.7431299999999998</c:v>
                </c:pt>
                <c:pt idx="336">
                  <c:v>1.8027899999999999</c:v>
                </c:pt>
                <c:pt idx="337">
                  <c:v>1.6542400000000002</c:v>
                </c:pt>
                <c:pt idx="338">
                  <c:v>1.6408699999999998</c:v>
                </c:pt>
                <c:pt idx="339">
                  <c:v>1.7435</c:v>
                </c:pt>
                <c:pt idx="340">
                  <c:v>1.6930400000000001</c:v>
                </c:pt>
                <c:pt idx="341">
                  <c:v>1.57413</c:v>
                </c:pt>
                <c:pt idx="342">
                  <c:v>1.5563399999999998</c:v>
                </c:pt>
                <c:pt idx="343">
                  <c:v>1.5631999999999999</c:v>
                </c:pt>
                <c:pt idx="344">
                  <c:v>1.53382</c:v>
                </c:pt>
                <c:pt idx="345">
                  <c:v>1.5103</c:v>
                </c:pt>
                <c:pt idx="346">
                  <c:v>1.47153</c:v>
                </c:pt>
                <c:pt idx="347">
                  <c:v>1.47404</c:v>
                </c:pt>
                <c:pt idx="348">
                  <c:v>1.4964</c:v>
                </c:pt>
                <c:pt idx="349">
                  <c:v>1.5140799999999999</c:v>
                </c:pt>
                <c:pt idx="350">
                  <c:v>1.50983</c:v>
                </c:pt>
                <c:pt idx="351">
                  <c:v>1.4808600000000001</c:v>
                </c:pt>
                <c:pt idx="352">
                  <c:v>1.4900100000000001</c:v>
                </c:pt>
                <c:pt idx="353">
                  <c:v>1.49773</c:v>
                </c:pt>
                <c:pt idx="354">
                  <c:v>1.51911</c:v>
                </c:pt>
                <c:pt idx="355">
                  <c:v>1.49017</c:v>
                </c:pt>
                <c:pt idx="356">
                  <c:v>1.5426</c:v>
                </c:pt>
                <c:pt idx="357">
                  <c:v>1.5043700000000002</c:v>
                </c:pt>
                <c:pt idx="358">
                  <c:v>1.5013399999999999</c:v>
                </c:pt>
                <c:pt idx="359">
                  <c:v>1.51173</c:v>
                </c:pt>
                <c:pt idx="360">
                  <c:v>1.5115499999999999</c:v>
                </c:pt>
                <c:pt idx="361">
                  <c:v>1.5203100000000001</c:v>
                </c:pt>
                <c:pt idx="362">
                  <c:v>1.51396</c:v>
                </c:pt>
                <c:pt idx="363">
                  <c:v>1.5280199999999999</c:v>
                </c:pt>
                <c:pt idx="364">
                  <c:v>1.5603399999999998</c:v>
                </c:pt>
                <c:pt idx="365">
                  <c:v>1.5297000000000001</c:v>
                </c:pt>
                <c:pt idx="366">
                  <c:v>1.4770400000000001</c:v>
                </c:pt>
                <c:pt idx="367">
                  <c:v>1.47525</c:v>
                </c:pt>
                <c:pt idx="368">
                  <c:v>1.47525</c:v>
                </c:pt>
                <c:pt idx="369">
                  <c:v>1.4589500000000002</c:v>
                </c:pt>
                <c:pt idx="370">
                  <c:v>1.4725999999999999</c:v>
                </c:pt>
                <c:pt idx="371">
                  <c:v>1.4422200000000001</c:v>
                </c:pt>
                <c:pt idx="372">
                  <c:v>1.50349</c:v>
                </c:pt>
                <c:pt idx="373">
                  <c:v>1.46756</c:v>
                </c:pt>
                <c:pt idx="374">
                  <c:v>1.4811000000000001</c:v>
                </c:pt>
                <c:pt idx="375">
                  <c:v>1.4438800000000001</c:v>
                </c:pt>
                <c:pt idx="376">
                  <c:v>1.46732</c:v>
                </c:pt>
                <c:pt idx="377">
                  <c:v>1.4501400000000002</c:v>
                </c:pt>
                <c:pt idx="378">
                  <c:v>1.4246399999999999</c:v>
                </c:pt>
                <c:pt idx="379">
                  <c:v>1.4402900000000001</c:v>
                </c:pt>
                <c:pt idx="380">
                  <c:v>1.39045</c:v>
                </c:pt>
                <c:pt idx="381">
                  <c:v>1.4483699999999999</c:v>
                </c:pt>
                <c:pt idx="382">
                  <c:v>1.48451</c:v>
                </c:pt>
                <c:pt idx="383">
                  <c:v>1.4570799999999999</c:v>
                </c:pt>
                <c:pt idx="384">
                  <c:v>1.4803600000000001</c:v>
                </c:pt>
                <c:pt idx="385">
                  <c:v>1.4464900000000001</c:v>
                </c:pt>
                <c:pt idx="386">
                  <c:v>1.4716499999999999</c:v>
                </c:pt>
                <c:pt idx="387">
                  <c:v>1.4471499999999999</c:v>
                </c:pt>
                <c:pt idx="388">
                  <c:v>1.4866900000000001</c:v>
                </c:pt>
                <c:pt idx="389">
                  <c:v>1.48153</c:v>
                </c:pt>
                <c:pt idx="390">
                  <c:v>1.5049399999999999</c:v>
                </c:pt>
                <c:pt idx="391">
                  <c:v>1.4943299999999999</c:v>
                </c:pt>
                <c:pt idx="392">
                  <c:v>1.5293100000000002</c:v>
                </c:pt>
                <c:pt idx="393">
                  <c:v>1.5293100000000002</c:v>
                </c:pt>
                <c:pt idx="394">
                  <c:v>1.5996700000000001</c:v>
                </c:pt>
                <c:pt idx="395">
                  <c:v>1.6170599999999999</c:v>
                </c:pt>
                <c:pt idx="396">
                  <c:v>1.62965</c:v>
                </c:pt>
                <c:pt idx="397">
                  <c:v>1.5629599999999999</c:v>
                </c:pt>
                <c:pt idx="398">
                  <c:v>1.5537999999999998</c:v>
                </c:pt>
                <c:pt idx="399">
                  <c:v>1.5165700000000002</c:v>
                </c:pt>
                <c:pt idx="400">
                  <c:v>1.54809</c:v>
                </c:pt>
                <c:pt idx="401">
                  <c:v>1.5899000000000001</c:v>
                </c:pt>
                <c:pt idx="402">
                  <c:v>1.58165</c:v>
                </c:pt>
                <c:pt idx="403">
                  <c:v>1.6872</c:v>
                </c:pt>
                <c:pt idx="404">
                  <c:v>1.6249799999999999</c:v>
                </c:pt>
                <c:pt idx="405">
                  <c:v>1.5474100000000002</c:v>
                </c:pt>
                <c:pt idx="406">
                  <c:v>1.5451900000000001</c:v>
                </c:pt>
                <c:pt idx="407">
                  <c:v>1.5587</c:v>
                </c:pt>
                <c:pt idx="408">
                  <c:v>1.55202</c:v>
                </c:pt>
                <c:pt idx="409">
                  <c:v>1.5765799999999999</c:v>
                </c:pt>
                <c:pt idx="410">
                  <c:v>1.55087</c:v>
                </c:pt>
                <c:pt idx="411">
                  <c:v>1.5267299999999999</c:v>
                </c:pt>
                <c:pt idx="412">
                  <c:v>1.55891</c:v>
                </c:pt>
                <c:pt idx="413">
                  <c:v>1.5595500000000002</c:v>
                </c:pt>
                <c:pt idx="414">
                  <c:v>1.5522399999999998</c:v>
                </c:pt>
                <c:pt idx="415">
                  <c:v>1.4927699999999999</c:v>
                </c:pt>
                <c:pt idx="416">
                  <c:v>1.44662</c:v>
                </c:pt>
                <c:pt idx="417">
                  <c:v>1.4071</c:v>
                </c:pt>
                <c:pt idx="418">
                  <c:v>1.3780000000000001</c:v>
                </c:pt>
                <c:pt idx="419">
                  <c:v>1.33575</c:v>
                </c:pt>
                <c:pt idx="420">
                  <c:v>1.38809</c:v>
                </c:pt>
                <c:pt idx="421">
                  <c:v>1.3552500000000001</c:v>
                </c:pt>
                <c:pt idx="422">
                  <c:v>1.4059899999999999</c:v>
                </c:pt>
                <c:pt idx="423">
                  <c:v>1.41232</c:v>
                </c:pt>
                <c:pt idx="424">
                  <c:v>1.4078600000000001</c:v>
                </c:pt>
                <c:pt idx="425">
                  <c:v>1.3962700000000001</c:v>
                </c:pt>
                <c:pt idx="426">
                  <c:v>1.4147399999999999</c:v>
                </c:pt>
                <c:pt idx="427">
                  <c:v>1.39639</c:v>
                </c:pt>
                <c:pt idx="428">
                  <c:v>1.4097300000000001</c:v>
                </c:pt>
                <c:pt idx="429">
                  <c:v>1.3674700000000002</c:v>
                </c:pt>
                <c:pt idx="430">
                  <c:v>1.34077</c:v>
                </c:pt>
                <c:pt idx="431">
                  <c:v>1.33534</c:v>
                </c:pt>
                <c:pt idx="432">
                  <c:v>1.35826</c:v>
                </c:pt>
                <c:pt idx="433">
                  <c:v>1.3730000000000002</c:v>
                </c:pt>
                <c:pt idx="434">
                  <c:v>1.3620400000000001</c:v>
                </c:pt>
                <c:pt idx="435">
                  <c:v>1.3635499999999998</c:v>
                </c:pt>
                <c:pt idx="436">
                  <c:v>1.3577699999999999</c:v>
                </c:pt>
                <c:pt idx="437">
                  <c:v>1.33287</c:v>
                </c:pt>
                <c:pt idx="438">
                  <c:v>1.33287</c:v>
                </c:pt>
                <c:pt idx="439">
                  <c:v>1.2988599999999999</c:v>
                </c:pt>
                <c:pt idx="440">
                  <c:v>1.29653</c:v>
                </c:pt>
                <c:pt idx="441">
                  <c:v>1.3119100000000001</c:v>
                </c:pt>
                <c:pt idx="442">
                  <c:v>1.2716500000000002</c:v>
                </c:pt>
                <c:pt idx="443">
                  <c:v>1.27189</c:v>
                </c:pt>
                <c:pt idx="444">
                  <c:v>1.2758499999999999</c:v>
                </c:pt>
                <c:pt idx="445">
                  <c:v>1.24132</c:v>
                </c:pt>
                <c:pt idx="446">
                  <c:v>1.2259</c:v>
                </c:pt>
                <c:pt idx="447">
                  <c:v>1.2153</c:v>
                </c:pt>
                <c:pt idx="448">
                  <c:v>1.26936</c:v>
                </c:pt>
                <c:pt idx="449">
                  <c:v>1.2588299999999999</c:v>
                </c:pt>
                <c:pt idx="450">
                  <c:v>1.2582</c:v>
                </c:pt>
                <c:pt idx="451">
                  <c:v>1.19638</c:v>
                </c:pt>
                <c:pt idx="452">
                  <c:v>1.22343</c:v>
                </c:pt>
                <c:pt idx="453">
                  <c:v>1.23688</c:v>
                </c:pt>
                <c:pt idx="454">
                  <c:v>1.2734699999999999</c:v>
                </c:pt>
                <c:pt idx="455">
                  <c:v>1.2652700000000001</c:v>
                </c:pt>
                <c:pt idx="456">
                  <c:v>1.29694</c:v>
                </c:pt>
                <c:pt idx="457">
                  <c:v>1.3347200000000001</c:v>
                </c:pt>
                <c:pt idx="458">
                  <c:v>1.3669399999999998</c:v>
                </c:pt>
                <c:pt idx="459">
                  <c:v>1.3573500000000001</c:v>
                </c:pt>
                <c:pt idx="460">
                  <c:v>1.36436</c:v>
                </c:pt>
                <c:pt idx="461">
                  <c:v>1.2940100000000001</c:v>
                </c:pt>
                <c:pt idx="462">
                  <c:v>1.2567200000000001</c:v>
                </c:pt>
                <c:pt idx="463">
                  <c:v>1.2567200000000001</c:v>
                </c:pt>
                <c:pt idx="464">
                  <c:v>1.2646200000000001</c:v>
                </c:pt>
                <c:pt idx="465">
                  <c:v>1.2642800000000001</c:v>
                </c:pt>
                <c:pt idx="466">
                  <c:v>1.2705299999999999</c:v>
                </c:pt>
                <c:pt idx="467">
                  <c:v>1.2429300000000001</c:v>
                </c:pt>
                <c:pt idx="468">
                  <c:v>1.21682</c:v>
                </c:pt>
                <c:pt idx="469">
                  <c:v>1.21492</c:v>
                </c:pt>
                <c:pt idx="470">
                  <c:v>1.1950700000000001</c:v>
                </c:pt>
                <c:pt idx="471">
                  <c:v>1.16896</c:v>
                </c:pt>
                <c:pt idx="472">
                  <c:v>1.2071499999999999</c:v>
                </c:pt>
                <c:pt idx="473">
                  <c:v>1.2222299999999999</c:v>
                </c:pt>
                <c:pt idx="474">
                  <c:v>1.2177100000000001</c:v>
                </c:pt>
                <c:pt idx="475">
                  <c:v>1.2745</c:v>
                </c:pt>
                <c:pt idx="476">
                  <c:v>1.27779</c:v>
                </c:pt>
                <c:pt idx="477">
                  <c:v>1.2773999999999999</c:v>
                </c:pt>
                <c:pt idx="478">
                  <c:v>1.29043</c:v>
                </c:pt>
                <c:pt idx="479">
                  <c:v>1.2807400000000002</c:v>
                </c:pt>
                <c:pt idx="480">
                  <c:v>1.2381599999999999</c:v>
                </c:pt>
                <c:pt idx="481">
                  <c:v>1.27949</c:v>
                </c:pt>
                <c:pt idx="482">
                  <c:v>1.3022399999999998</c:v>
                </c:pt>
                <c:pt idx="483">
                  <c:v>1.2585</c:v>
                </c:pt>
                <c:pt idx="484">
                  <c:v>1.27321</c:v>
                </c:pt>
                <c:pt idx="485">
                  <c:v>1.18953</c:v>
                </c:pt>
                <c:pt idx="486">
                  <c:v>1.18953</c:v>
                </c:pt>
                <c:pt idx="487">
                  <c:v>1.21068</c:v>
                </c:pt>
                <c:pt idx="488">
                  <c:v>1.2643</c:v>
                </c:pt>
                <c:pt idx="489">
                  <c:v>1.2593399999999999</c:v>
                </c:pt>
                <c:pt idx="490">
                  <c:v>1.2918700000000001</c:v>
                </c:pt>
                <c:pt idx="491">
                  <c:v>1.3054599999999998</c:v>
                </c:pt>
                <c:pt idx="492">
                  <c:v>1.3629800000000001</c:v>
                </c:pt>
                <c:pt idx="493">
                  <c:v>1.3967599999999998</c:v>
                </c:pt>
                <c:pt idx="494">
                  <c:v>1.4699</c:v>
                </c:pt>
                <c:pt idx="495">
                  <c:v>1.4911500000000002</c:v>
                </c:pt>
                <c:pt idx="496">
                  <c:v>1.4911500000000002</c:v>
                </c:pt>
                <c:pt idx="497">
                  <c:v>1.6608699999999998</c:v>
                </c:pt>
                <c:pt idx="498">
                  <c:v>1.5893899999999999</c:v>
                </c:pt>
                <c:pt idx="499">
                  <c:v>1.52719</c:v>
                </c:pt>
                <c:pt idx="500">
                  <c:v>1.4960300000000002</c:v>
                </c:pt>
                <c:pt idx="501">
                  <c:v>1.4163300000000001</c:v>
                </c:pt>
                <c:pt idx="502">
                  <c:v>1.4584800000000002</c:v>
                </c:pt>
                <c:pt idx="503">
                  <c:v>1.39751</c:v>
                </c:pt>
                <c:pt idx="504">
                  <c:v>1.40537</c:v>
                </c:pt>
                <c:pt idx="505">
                  <c:v>1.37798</c:v>
                </c:pt>
                <c:pt idx="506">
                  <c:v>1.4124100000000002</c:v>
                </c:pt>
                <c:pt idx="507">
                  <c:v>1.4399100000000002</c:v>
                </c:pt>
                <c:pt idx="508">
                  <c:v>1.47763</c:v>
                </c:pt>
                <c:pt idx="509">
                  <c:v>1.4702999999999999</c:v>
                </c:pt>
                <c:pt idx="510">
                  <c:v>1.4891099999999999</c:v>
                </c:pt>
                <c:pt idx="511">
                  <c:v>1.5709899999999999</c:v>
                </c:pt>
                <c:pt idx="512">
                  <c:v>1.5992900000000001</c:v>
                </c:pt>
                <c:pt idx="513">
                  <c:v>1.6089099999999998</c:v>
                </c:pt>
                <c:pt idx="514">
                  <c:v>1.5732400000000002</c:v>
                </c:pt>
                <c:pt idx="515">
                  <c:v>1.5978600000000001</c:v>
                </c:pt>
                <c:pt idx="516">
                  <c:v>1.5697800000000002</c:v>
                </c:pt>
                <c:pt idx="517">
                  <c:v>1.5697800000000002</c:v>
                </c:pt>
                <c:pt idx="518">
                  <c:v>1.57823</c:v>
                </c:pt>
                <c:pt idx="519">
                  <c:v>1.5748900000000001</c:v>
                </c:pt>
                <c:pt idx="520">
                  <c:v>1.54802</c:v>
                </c:pt>
                <c:pt idx="521">
                  <c:v>1.5444399999999998</c:v>
                </c:pt>
                <c:pt idx="522">
                  <c:v>1.55732</c:v>
                </c:pt>
                <c:pt idx="523">
                  <c:v>1.4782300000000002</c:v>
                </c:pt>
                <c:pt idx="524">
                  <c:v>1.48299</c:v>
                </c:pt>
                <c:pt idx="525">
                  <c:v>1.4617800000000001</c:v>
                </c:pt>
                <c:pt idx="526">
                  <c:v>1.51203</c:v>
                </c:pt>
                <c:pt idx="527">
                  <c:v>1.5059</c:v>
                </c:pt>
                <c:pt idx="528">
                  <c:v>1.54654</c:v>
                </c:pt>
                <c:pt idx="529">
                  <c:v>1.57064</c:v>
                </c:pt>
                <c:pt idx="530">
                  <c:v>1.5987100000000001</c:v>
                </c:pt>
                <c:pt idx="531">
                  <c:v>1.8741300000000001</c:v>
                </c:pt>
                <c:pt idx="532">
                  <c:v>1.9750000000000001</c:v>
                </c:pt>
                <c:pt idx="533">
                  <c:v>1.9750000000000001</c:v>
                </c:pt>
                <c:pt idx="534">
                  <c:v>2.2095599999999997</c:v>
                </c:pt>
                <c:pt idx="535">
                  <c:v>2.1490299999999998</c:v>
                </c:pt>
                <c:pt idx="536">
                  <c:v>2.4245399999999999</c:v>
                </c:pt>
                <c:pt idx="537">
                  <c:v>2.3997200000000003</c:v>
                </c:pt>
                <c:pt idx="538">
                  <c:v>2.8786299999999998</c:v>
                </c:pt>
                <c:pt idx="539">
                  <c:v>2.8717899999999998</c:v>
                </c:pt>
                <c:pt idx="540">
                  <c:v>2.8089900000000001</c:v>
                </c:pt>
                <c:pt idx="541">
                  <c:v>2.6088799999999996</c:v>
                </c:pt>
                <c:pt idx="542">
                  <c:v>2.7577400000000001</c:v>
                </c:pt>
                <c:pt idx="543">
                  <c:v>2.8376900000000003</c:v>
                </c:pt>
                <c:pt idx="544">
                  <c:v>2.71469</c:v>
                </c:pt>
                <c:pt idx="545">
                  <c:v>2.4061400000000002</c:v>
                </c:pt>
                <c:pt idx="546">
                  <c:v>2.3709600000000002</c:v>
                </c:pt>
                <c:pt idx="547">
                  <c:v>2.3053499999999998</c:v>
                </c:pt>
                <c:pt idx="548">
                  <c:v>2.3210500000000001</c:v>
                </c:pt>
                <c:pt idx="549">
                  <c:v>2.2819500000000001</c:v>
                </c:pt>
                <c:pt idx="550">
                  <c:v>2.17652</c:v>
                </c:pt>
                <c:pt idx="551">
                  <c:v>2.1073500000000003</c:v>
                </c:pt>
                <c:pt idx="552">
                  <c:v>2.3452799999999998</c:v>
                </c:pt>
                <c:pt idx="553">
                  <c:v>2.6619999999999999</c:v>
                </c:pt>
                <c:pt idx="554">
                  <c:v>2.3808600000000002</c:v>
                </c:pt>
                <c:pt idx="555">
                  <c:v>2.28396</c:v>
                </c:pt>
                <c:pt idx="556">
                  <c:v>2.65882</c:v>
                </c:pt>
                <c:pt idx="557">
                  <c:v>2.8821099999999999</c:v>
                </c:pt>
                <c:pt idx="558">
                  <c:v>2.8821099999999999</c:v>
                </c:pt>
                <c:pt idx="559">
                  <c:v>3.7015800000000003</c:v>
                </c:pt>
                <c:pt idx="560">
                  <c:v>4.7587099999999998</c:v>
                </c:pt>
                <c:pt idx="561">
                  <c:v>14.798889999999998</c:v>
                </c:pt>
                <c:pt idx="562">
                  <c:v>7.14764</c:v>
                </c:pt>
                <c:pt idx="563">
                  <c:v>20.996640000000003</c:v>
                </c:pt>
                <c:pt idx="564">
                  <c:v>32.262830000000001</c:v>
                </c:pt>
                <c:pt idx="565">
                  <c:v>32.262830000000001</c:v>
                </c:pt>
                <c:pt idx="566">
                  <c:v>32.262830000000001</c:v>
                </c:pt>
                <c:pt idx="567">
                  <c:v>32.262830000000001</c:v>
                </c:pt>
                <c:pt idx="568">
                  <c:v>32.262830000000001</c:v>
                </c:pt>
                <c:pt idx="569">
                  <c:v>32.262830000000001</c:v>
                </c:pt>
                <c:pt idx="570">
                  <c:v>32.262830000000001</c:v>
                </c:pt>
                <c:pt idx="571">
                  <c:v>32.262830000000001</c:v>
                </c:pt>
                <c:pt idx="572">
                  <c:v>32.262830000000001</c:v>
                </c:pt>
                <c:pt idx="573">
                  <c:v>32.262830000000001</c:v>
                </c:pt>
                <c:pt idx="574">
                  <c:v>32.262830000000001</c:v>
                </c:pt>
                <c:pt idx="575">
                  <c:v>32.262830000000001</c:v>
                </c:pt>
                <c:pt idx="576">
                  <c:v>32.262830000000001</c:v>
                </c:pt>
                <c:pt idx="577">
                  <c:v>32.262830000000001</c:v>
                </c:pt>
                <c:pt idx="578">
                  <c:v>32.262830000000001</c:v>
                </c:pt>
                <c:pt idx="579">
                  <c:v>32.262830000000001</c:v>
                </c:pt>
                <c:pt idx="580">
                  <c:v>44.633950000000006</c:v>
                </c:pt>
                <c:pt idx="581">
                  <c:v>51.533180000000002</c:v>
                </c:pt>
                <c:pt idx="582">
                  <c:v>42.420609999999996</c:v>
                </c:pt>
                <c:pt idx="583">
                  <c:v>39.155909999999999</c:v>
                </c:pt>
                <c:pt idx="584">
                  <c:v>37.419499999999999</c:v>
                </c:pt>
                <c:pt idx="585">
                  <c:v>36.554169999999999</c:v>
                </c:pt>
                <c:pt idx="586">
                  <c:v>36.751619999999996</c:v>
                </c:pt>
                <c:pt idx="587">
                  <c:v>36.149630000000002</c:v>
                </c:pt>
                <c:pt idx="588">
                  <c:v>36.560830000000003</c:v>
                </c:pt>
                <c:pt idx="589">
                  <c:v>38.288890000000002</c:v>
                </c:pt>
                <c:pt idx="590">
                  <c:v>37.625869999999999</c:v>
                </c:pt>
                <c:pt idx="591">
                  <c:v>42.437539999999998</c:v>
                </c:pt>
                <c:pt idx="592">
                  <c:v>37.560270000000003</c:v>
                </c:pt>
                <c:pt idx="593">
                  <c:v>37.835639999999998</c:v>
                </c:pt>
                <c:pt idx="594">
                  <c:v>37.696739999999998</c:v>
                </c:pt>
                <c:pt idx="595">
                  <c:v>37.719619999999999</c:v>
                </c:pt>
                <c:pt idx="596">
                  <c:v>39.912040000000005</c:v>
                </c:pt>
                <c:pt idx="597">
                  <c:v>39.381060000000005</c:v>
                </c:pt>
                <c:pt idx="598">
                  <c:v>39.42165</c:v>
                </c:pt>
                <c:pt idx="599">
                  <c:v>39.559870000000004</c:v>
                </c:pt>
                <c:pt idx="600">
                  <c:v>39.600590000000004</c:v>
                </c:pt>
                <c:pt idx="601">
                  <c:v>38.558050000000001</c:v>
                </c:pt>
                <c:pt idx="602">
                  <c:v>40.798949999999998</c:v>
                </c:pt>
                <c:pt idx="603">
                  <c:v>39.058669999999999</c:v>
                </c:pt>
                <c:pt idx="604">
                  <c:v>41.060850000000002</c:v>
                </c:pt>
                <c:pt idx="605">
                  <c:v>42.250579999999999</c:v>
                </c:pt>
                <c:pt idx="606">
                  <c:v>41.235339999999994</c:v>
                </c:pt>
                <c:pt idx="607">
                  <c:v>37.402680000000004</c:v>
                </c:pt>
                <c:pt idx="608">
                  <c:v>37.148519999999998</c:v>
                </c:pt>
                <c:pt idx="609">
                  <c:v>38.39479</c:v>
                </c:pt>
                <c:pt idx="610">
                  <c:v>37.309950000000001</c:v>
                </c:pt>
                <c:pt idx="611">
                  <c:v>37.163499999999999</c:v>
                </c:pt>
                <c:pt idx="612">
                  <c:v>37.086860000000001</c:v>
                </c:pt>
                <c:pt idx="613">
                  <c:v>37.279820000000001</c:v>
                </c:pt>
                <c:pt idx="614">
                  <c:v>37.49335</c:v>
                </c:pt>
                <c:pt idx="615">
                  <c:v>37.545000000000002</c:v>
                </c:pt>
                <c:pt idx="616">
                  <c:v>38.52608</c:v>
                </c:pt>
                <c:pt idx="617">
                  <c:v>39.828870000000002</c:v>
                </c:pt>
                <c:pt idx="618">
                  <c:v>40.04495</c:v>
                </c:pt>
                <c:pt idx="619">
                  <c:v>40.047269999999997</c:v>
                </c:pt>
                <c:pt idx="620">
                  <c:v>48.844409999999996</c:v>
                </c:pt>
                <c:pt idx="621">
                  <c:v>45.607759999999999</c:v>
                </c:pt>
                <c:pt idx="622">
                  <c:v>44.913649999999997</c:v>
                </c:pt>
                <c:pt idx="623">
                  <c:v>43.54421</c:v>
                </c:pt>
                <c:pt idx="624">
                  <c:v>42.319830000000003</c:v>
                </c:pt>
                <c:pt idx="625">
                  <c:v>42.274309999999993</c:v>
                </c:pt>
                <c:pt idx="626">
                  <c:v>43.221000000000004</c:v>
                </c:pt>
                <c:pt idx="627">
                  <c:v>37.344229999999996</c:v>
                </c:pt>
                <c:pt idx="628">
                  <c:v>36.346179999999997</c:v>
                </c:pt>
                <c:pt idx="629">
                  <c:v>35.071799999999996</c:v>
                </c:pt>
                <c:pt idx="630">
                  <c:v>32.874569999999999</c:v>
                </c:pt>
                <c:pt idx="631">
                  <c:v>33.088830000000002</c:v>
                </c:pt>
                <c:pt idx="632">
                  <c:v>33.071210000000001</c:v>
                </c:pt>
                <c:pt idx="633">
                  <c:v>35.811109999999999</c:v>
                </c:pt>
                <c:pt idx="634">
                  <c:v>41.41601</c:v>
                </c:pt>
                <c:pt idx="635">
                  <c:v>41.601589999999995</c:v>
                </c:pt>
                <c:pt idx="636">
                  <c:v>42.522770000000001</c:v>
                </c:pt>
                <c:pt idx="637">
                  <c:v>42.325240000000001</c:v>
                </c:pt>
                <c:pt idx="638">
                  <c:v>42.0075</c:v>
                </c:pt>
                <c:pt idx="639">
                  <c:v>42.052259999999997</c:v>
                </c:pt>
                <c:pt idx="640">
                  <c:v>42.330119999999994</c:v>
                </c:pt>
                <c:pt idx="641">
                  <c:v>42.476099999999995</c:v>
                </c:pt>
                <c:pt idx="642">
                  <c:v>34.021509999999999</c:v>
                </c:pt>
                <c:pt idx="643">
                  <c:v>31.00094</c:v>
                </c:pt>
                <c:pt idx="644">
                  <c:v>33.238550000000004</c:v>
                </c:pt>
                <c:pt idx="645">
                  <c:v>36.239940000000004</c:v>
                </c:pt>
                <c:pt idx="646">
                  <c:v>35.848420000000004</c:v>
                </c:pt>
                <c:pt idx="647">
                  <c:v>35.684380000000004</c:v>
                </c:pt>
                <c:pt idx="648">
                  <c:v>35.519449999999999</c:v>
                </c:pt>
                <c:pt idx="649">
                  <c:v>34.7986</c:v>
                </c:pt>
                <c:pt idx="650">
                  <c:v>34.89087</c:v>
                </c:pt>
                <c:pt idx="651">
                  <c:v>30.343240000000002</c:v>
                </c:pt>
                <c:pt idx="652">
                  <c:v>30.491010000000003</c:v>
                </c:pt>
                <c:pt idx="653">
                  <c:v>29.880050000000001</c:v>
                </c:pt>
                <c:pt idx="654">
                  <c:v>30.516069999999999</c:v>
                </c:pt>
                <c:pt idx="655">
                  <c:v>29.38843</c:v>
                </c:pt>
                <c:pt idx="656">
                  <c:v>29.168780000000002</c:v>
                </c:pt>
                <c:pt idx="657">
                  <c:v>26.011260000000004</c:v>
                </c:pt>
                <c:pt idx="658">
                  <c:v>25.365410000000001</c:v>
                </c:pt>
                <c:pt idx="659">
                  <c:v>25.292260000000002</c:v>
                </c:pt>
                <c:pt idx="660">
                  <c:v>25.21819</c:v>
                </c:pt>
                <c:pt idx="661">
                  <c:v>24.657179999999997</c:v>
                </c:pt>
                <c:pt idx="662">
                  <c:v>24.677510000000002</c:v>
                </c:pt>
                <c:pt idx="663">
                  <c:v>23.620900000000002</c:v>
                </c:pt>
                <c:pt idx="664">
                  <c:v>23.38805</c:v>
                </c:pt>
                <c:pt idx="665">
                  <c:v>22.659420000000001</c:v>
                </c:pt>
                <c:pt idx="666">
                  <c:v>21.595030000000001</c:v>
                </c:pt>
                <c:pt idx="667">
                  <c:v>21.212289999999999</c:v>
                </c:pt>
                <c:pt idx="668">
                  <c:v>20.51304</c:v>
                </c:pt>
                <c:pt idx="669">
                  <c:v>19.581579999999999</c:v>
                </c:pt>
                <c:pt idx="670">
                  <c:v>19.257280000000002</c:v>
                </c:pt>
                <c:pt idx="671">
                  <c:v>18.805160000000001</c:v>
                </c:pt>
                <c:pt idx="672">
                  <c:v>19.269580000000001</c:v>
                </c:pt>
                <c:pt idx="673">
                  <c:v>18.58896</c:v>
                </c:pt>
                <c:pt idx="674">
                  <c:v>18.03098</c:v>
                </c:pt>
                <c:pt idx="675">
                  <c:v>18.208159999999999</c:v>
                </c:pt>
                <c:pt idx="676">
                  <c:v>17.29731</c:v>
                </c:pt>
                <c:pt idx="677">
                  <c:v>16.910070000000001</c:v>
                </c:pt>
                <c:pt idx="678">
                  <c:v>17.016639999999999</c:v>
                </c:pt>
                <c:pt idx="679">
                  <c:v>16.4953</c:v>
                </c:pt>
                <c:pt idx="680">
                  <c:v>16.334019999999999</c:v>
                </c:pt>
                <c:pt idx="681">
                  <c:v>16.78069</c:v>
                </c:pt>
                <c:pt idx="682">
                  <c:v>16.936360000000001</c:v>
                </c:pt>
                <c:pt idx="683">
                  <c:v>16.132000000000001</c:v>
                </c:pt>
                <c:pt idx="684">
                  <c:v>16.447970000000002</c:v>
                </c:pt>
                <c:pt idx="685">
                  <c:v>16.073640000000001</c:v>
                </c:pt>
                <c:pt idx="686">
                  <c:v>16.32704</c:v>
                </c:pt>
                <c:pt idx="687">
                  <c:v>16.286239999999999</c:v>
                </c:pt>
                <c:pt idx="688">
                  <c:v>16.180260000000001</c:v>
                </c:pt>
                <c:pt idx="689">
                  <c:v>16.134370000000001</c:v>
                </c:pt>
                <c:pt idx="690">
                  <c:v>16.252480000000002</c:v>
                </c:pt>
                <c:pt idx="691">
                  <c:v>16.448450000000001</c:v>
                </c:pt>
                <c:pt idx="692">
                  <c:v>16.43806</c:v>
                </c:pt>
                <c:pt idx="693">
                  <c:v>16.32283</c:v>
                </c:pt>
                <c:pt idx="694">
                  <c:v>16.722159999999999</c:v>
                </c:pt>
                <c:pt idx="695">
                  <c:v>16.612770000000001</c:v>
                </c:pt>
                <c:pt idx="696">
                  <c:v>16.640560000000001</c:v>
                </c:pt>
                <c:pt idx="697">
                  <c:v>16.765060000000002</c:v>
                </c:pt>
                <c:pt idx="698">
                  <c:v>16.75084</c:v>
                </c:pt>
                <c:pt idx="699">
                  <c:v>16.609960000000001</c:v>
                </c:pt>
                <c:pt idx="700">
                  <c:v>16.048970000000001</c:v>
                </c:pt>
                <c:pt idx="701">
                  <c:v>15.96003</c:v>
                </c:pt>
                <c:pt idx="702">
                  <c:v>16.545999999999999</c:v>
                </c:pt>
                <c:pt idx="703">
                  <c:v>16.085080000000001</c:v>
                </c:pt>
                <c:pt idx="704">
                  <c:v>16.00095</c:v>
                </c:pt>
                <c:pt idx="705">
                  <c:v>16.252089999999999</c:v>
                </c:pt>
                <c:pt idx="706">
                  <c:v>16.506270000000001</c:v>
                </c:pt>
                <c:pt idx="707">
                  <c:v>16.599450000000001</c:v>
                </c:pt>
              </c:numCache>
            </c:numRef>
          </c:val>
          <c:smooth val="0"/>
          <c:extLst>
            <c:ext xmlns:c16="http://schemas.microsoft.com/office/drawing/2014/chart" uri="{C3380CC4-5D6E-409C-BE32-E72D297353CC}">
              <c16:uniqueId val="{00000006-F31E-4170-9322-6C48FF56580E}"/>
            </c:ext>
          </c:extLst>
        </c:ser>
        <c:ser>
          <c:idx val="6"/>
          <c:order val="6"/>
          <c:tx>
            <c:strRef>
              <c:f>Sheet1!$H$1</c:f>
              <c:strCache>
                <c:ptCount val="1"/>
                <c:pt idx="0">
                  <c:v>Բելառուս (2031թ.), աջ առանցք</c:v>
                </c:pt>
              </c:strCache>
            </c:strRef>
          </c:tx>
          <c:spPr>
            <a:ln w="19050" cap="rnd">
              <a:solidFill>
                <a:schemeClr val="accent1">
                  <a:lumMod val="60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Sheet1!$H$2:$H$971</c:f>
              <c:numCache>
                <c:formatCode>General</c:formatCode>
                <c:ptCount val="709"/>
                <c:pt idx="123" formatCode="0">
                  <c:v>5.7911199999999994</c:v>
                </c:pt>
                <c:pt idx="124" formatCode="0">
                  <c:v>5.7933199999999996</c:v>
                </c:pt>
                <c:pt idx="125" formatCode="0">
                  <c:v>5.8886199999999995</c:v>
                </c:pt>
                <c:pt idx="126" formatCode="0">
                  <c:v>6.1676000000000002</c:v>
                </c:pt>
                <c:pt idx="127" formatCode="0">
                  <c:v>6.15822</c:v>
                </c:pt>
                <c:pt idx="128" formatCode="0">
                  <c:v>6.1721699999999995</c:v>
                </c:pt>
                <c:pt idx="129" formatCode="0">
                  <c:v>6.1311499999999999</c:v>
                </c:pt>
                <c:pt idx="130" formatCode="0">
                  <c:v>6.0888400000000003</c:v>
                </c:pt>
                <c:pt idx="131" formatCode="0">
                  <c:v>6.0370200000000001</c:v>
                </c:pt>
                <c:pt idx="132" formatCode="0">
                  <c:v>6.0098900000000004</c:v>
                </c:pt>
                <c:pt idx="133" formatCode="0">
                  <c:v>5.9989400000000002</c:v>
                </c:pt>
                <c:pt idx="134" formatCode="0">
                  <c:v>6.0920699999999997</c:v>
                </c:pt>
                <c:pt idx="135" formatCode="0">
                  <c:v>6.1114599999999992</c:v>
                </c:pt>
                <c:pt idx="136" formatCode="0">
                  <c:v>6.2154999999999996</c:v>
                </c:pt>
                <c:pt idx="137" formatCode="0">
                  <c:v>6.2531100000000004</c:v>
                </c:pt>
                <c:pt idx="138" formatCode="0">
                  <c:v>6.3123100000000001</c:v>
                </c:pt>
                <c:pt idx="139" formatCode="0">
                  <c:v>6.5488800000000005</c:v>
                </c:pt>
                <c:pt idx="140" formatCode="0">
                  <c:v>6.4997699999999998</c:v>
                </c:pt>
                <c:pt idx="141" formatCode="0">
                  <c:v>6.5520199999999997</c:v>
                </c:pt>
                <c:pt idx="142" formatCode="0">
                  <c:v>6.5865900000000002</c:v>
                </c:pt>
                <c:pt idx="143" formatCode="0">
                  <c:v>6.5936699999999995</c:v>
                </c:pt>
                <c:pt idx="144" formatCode="0">
                  <c:v>6.6473299999999993</c:v>
                </c:pt>
                <c:pt idx="145" formatCode="0">
                  <c:v>6.6594699999999998</c:v>
                </c:pt>
                <c:pt idx="146" formatCode="0">
                  <c:v>6.6749699999999992</c:v>
                </c:pt>
                <c:pt idx="147" formatCode="0">
                  <c:v>6.6683199999999996</c:v>
                </c:pt>
                <c:pt idx="148" formatCode="0">
                  <c:v>6.6172199999999997</c:v>
                </c:pt>
                <c:pt idx="149" formatCode="0">
                  <c:v>6.5430100000000007</c:v>
                </c:pt>
                <c:pt idx="150" formatCode="0">
                  <c:v>6.3382899999999998</c:v>
                </c:pt>
                <c:pt idx="151" formatCode="0">
                  <c:v>6.4215900000000001</c:v>
                </c:pt>
                <c:pt idx="152" formatCode="0">
                  <c:v>6.2316600000000006</c:v>
                </c:pt>
                <c:pt idx="153" formatCode="0">
                  <c:v>6.1628700000000007</c:v>
                </c:pt>
                <c:pt idx="154" formatCode="0">
                  <c:v>6.1222699999999994</c:v>
                </c:pt>
                <c:pt idx="155" formatCode="0">
                  <c:v>6.0443699999999998</c:v>
                </c:pt>
                <c:pt idx="156" formatCode="0">
                  <c:v>6.0818600000000007</c:v>
                </c:pt>
                <c:pt idx="157" formatCode="0">
                  <c:v>6.1533699999999998</c:v>
                </c:pt>
                <c:pt idx="158" formatCode="0">
                  <c:v>6.2499300000000009</c:v>
                </c:pt>
                <c:pt idx="159" formatCode="0">
                  <c:v>6.2365700000000004</c:v>
                </c:pt>
                <c:pt idx="160" formatCode="0">
                  <c:v>6.1988900000000005</c:v>
                </c:pt>
                <c:pt idx="161" formatCode="0">
                  <c:v>6.5377999999999998</c:v>
                </c:pt>
                <c:pt idx="162" formatCode="0">
                  <c:v>6.7490200000000007</c:v>
                </c:pt>
                <c:pt idx="163" formatCode="0">
                  <c:v>6.9719799999999994</c:v>
                </c:pt>
                <c:pt idx="164" formatCode="0">
                  <c:v>6.7603999999999997</c:v>
                </c:pt>
                <c:pt idx="165" formatCode="0">
                  <c:v>6.6781100000000002</c:v>
                </c:pt>
                <c:pt idx="166" formatCode="0">
                  <c:v>6.76004</c:v>
                </c:pt>
                <c:pt idx="167" formatCode="0">
                  <c:v>6.7371000000000008</c:v>
                </c:pt>
                <c:pt idx="168" formatCode="0">
                  <c:v>6.8751999999999995</c:v>
                </c:pt>
                <c:pt idx="169" formatCode="0">
                  <c:v>6.8418799999999997</c:v>
                </c:pt>
                <c:pt idx="170" formatCode="0">
                  <c:v>6.8509099999999998</c:v>
                </c:pt>
                <c:pt idx="171" formatCode="0">
                  <c:v>6.4626199999999994</c:v>
                </c:pt>
                <c:pt idx="172" formatCode="0">
                  <c:v>6.4603599999999997</c:v>
                </c:pt>
                <c:pt idx="173" formatCode="0">
                  <c:v>6.4603599999999997</c:v>
                </c:pt>
                <c:pt idx="174" formatCode="0">
                  <c:v>6.3467200000000004</c:v>
                </c:pt>
                <c:pt idx="175" formatCode="0">
                  <c:v>6.32376</c:v>
                </c:pt>
                <c:pt idx="176" formatCode="0">
                  <c:v>6.32477</c:v>
                </c:pt>
                <c:pt idx="177" formatCode="0">
                  <c:v>6.2167899999999996</c:v>
                </c:pt>
                <c:pt idx="178" formatCode="0">
                  <c:v>6.23895</c:v>
                </c:pt>
                <c:pt idx="179" formatCode="0">
                  <c:v>6.3394200000000005</c:v>
                </c:pt>
                <c:pt idx="180" formatCode="0">
                  <c:v>6.3900899999999998</c:v>
                </c:pt>
                <c:pt idx="181" formatCode="0">
                  <c:v>6.2991799999999998</c:v>
                </c:pt>
                <c:pt idx="182" formatCode="0">
                  <c:v>6.3959599999999996</c:v>
                </c:pt>
                <c:pt idx="183" formatCode="0">
                  <c:v>6.2878300000000005</c:v>
                </c:pt>
                <c:pt idx="184" formatCode="0">
                  <c:v>6.2592499999999998</c:v>
                </c:pt>
                <c:pt idx="185" formatCode="0">
                  <c:v>6.2731300000000001</c:v>
                </c:pt>
                <c:pt idx="186" formatCode="0">
                  <c:v>6.2703499999999996</c:v>
                </c:pt>
                <c:pt idx="187" formatCode="0">
                  <c:v>6.0674599999999996</c:v>
                </c:pt>
                <c:pt idx="188" formatCode="0">
                  <c:v>6.2721</c:v>
                </c:pt>
                <c:pt idx="189" formatCode="0">
                  <c:v>6.3087499999999999</c:v>
                </c:pt>
                <c:pt idx="190" formatCode="0">
                  <c:v>6.3599899999999998</c:v>
                </c:pt>
                <c:pt idx="191" formatCode="0">
                  <c:v>6.5511400000000002</c:v>
                </c:pt>
                <c:pt idx="192" formatCode="0">
                  <c:v>6.5670500000000001</c:v>
                </c:pt>
                <c:pt idx="193" formatCode="0">
                  <c:v>6.5134600000000002</c:v>
                </c:pt>
                <c:pt idx="194" formatCode="0">
                  <c:v>6.4980700000000002</c:v>
                </c:pt>
                <c:pt idx="195" formatCode="0">
                  <c:v>6.42448</c:v>
                </c:pt>
                <c:pt idx="196" formatCode="0">
                  <c:v>6.2960699999999994</c:v>
                </c:pt>
                <c:pt idx="197" formatCode="0">
                  <c:v>6.27182</c:v>
                </c:pt>
                <c:pt idx="198" formatCode="0">
                  <c:v>6.1711599999999995</c:v>
                </c:pt>
                <c:pt idx="199" formatCode="0">
                  <c:v>6.07585</c:v>
                </c:pt>
                <c:pt idx="200" formatCode="0">
                  <c:v>6.0220500000000001</c:v>
                </c:pt>
                <c:pt idx="201" formatCode="0">
                  <c:v>5.9705399999999997</c:v>
                </c:pt>
                <c:pt idx="202" formatCode="0">
                  <c:v>5.9243300000000003</c:v>
                </c:pt>
                <c:pt idx="203" formatCode="0">
                  <c:v>5.9494199999999999</c:v>
                </c:pt>
                <c:pt idx="204" formatCode="0">
                  <c:v>6.0502399999999996</c:v>
                </c:pt>
                <c:pt idx="205" formatCode="0">
                  <c:v>6.1841699999999999</c:v>
                </c:pt>
                <c:pt idx="206" formatCode="0">
                  <c:v>6.3334700000000002</c:v>
                </c:pt>
                <c:pt idx="207" formatCode="0">
                  <c:v>6.3072400000000002</c:v>
                </c:pt>
                <c:pt idx="208" formatCode="0">
                  <c:v>6.2454000000000001</c:v>
                </c:pt>
                <c:pt idx="209" formatCode="0">
                  <c:v>6.22715</c:v>
                </c:pt>
                <c:pt idx="210" formatCode="0">
                  <c:v>6.1960600000000001</c:v>
                </c:pt>
                <c:pt idx="211" formatCode="0">
                  <c:v>6.1910299999999996</c:v>
                </c:pt>
                <c:pt idx="212" formatCode="0">
                  <c:v>6.1564700000000006</c:v>
                </c:pt>
                <c:pt idx="213" formatCode="0">
                  <c:v>6.2302999999999997</c:v>
                </c:pt>
                <c:pt idx="214" formatCode="0">
                  <c:v>6.2528899999999998</c:v>
                </c:pt>
                <c:pt idx="215" formatCode="0">
                  <c:v>6.2757199999999997</c:v>
                </c:pt>
                <c:pt idx="216" formatCode="0">
                  <c:v>6.2465399999999995</c:v>
                </c:pt>
                <c:pt idx="217" formatCode="0">
                  <c:v>6.2134999999999998</c:v>
                </c:pt>
                <c:pt idx="218" formatCode="0">
                  <c:v>6.2846500000000001</c:v>
                </c:pt>
                <c:pt idx="219" formatCode="0">
                  <c:v>6.2332399999999994</c:v>
                </c:pt>
                <c:pt idx="220" formatCode="0">
                  <c:v>6.1816999999999993</c:v>
                </c:pt>
                <c:pt idx="221" formatCode="0">
                  <c:v>6.0821199999999997</c:v>
                </c:pt>
                <c:pt idx="222" formatCode="0">
                  <c:v>6.06114</c:v>
                </c:pt>
                <c:pt idx="223" formatCode="0">
                  <c:v>5.7415599999999998</c:v>
                </c:pt>
                <c:pt idx="224" formatCode="0">
                  <c:v>5.6982200000000001</c:v>
                </c:pt>
                <c:pt idx="225" formatCode="0">
                  <c:v>5.6464400000000001</c:v>
                </c:pt>
                <c:pt idx="226" formatCode="0">
                  <c:v>5.7695000000000007</c:v>
                </c:pt>
                <c:pt idx="227" formatCode="0">
                  <c:v>5.7735099999999999</c:v>
                </c:pt>
                <c:pt idx="228" formatCode="0">
                  <c:v>5.7953299999999999</c:v>
                </c:pt>
                <c:pt idx="229" formatCode="0">
                  <c:v>5.8904899999999998</c:v>
                </c:pt>
                <c:pt idx="230" formatCode="0">
                  <c:v>5.8554899999999996</c:v>
                </c:pt>
                <c:pt idx="231" formatCode="0">
                  <c:v>5.9340200000000003</c:v>
                </c:pt>
                <c:pt idx="232" formatCode="0">
                  <c:v>5.9200999999999997</c:v>
                </c:pt>
                <c:pt idx="233" formatCode="0">
                  <c:v>5.8678800000000004</c:v>
                </c:pt>
                <c:pt idx="234" formatCode="0">
                  <c:v>5.7869200000000003</c:v>
                </c:pt>
                <c:pt idx="235" formatCode="0">
                  <c:v>5.6790700000000003</c:v>
                </c:pt>
                <c:pt idx="236" formatCode="0">
                  <c:v>5.6643600000000003</c:v>
                </c:pt>
                <c:pt idx="237" formatCode="0">
                  <c:v>5.4353700000000007</c:v>
                </c:pt>
                <c:pt idx="238" formatCode="0">
                  <c:v>5.3710000000000004</c:v>
                </c:pt>
                <c:pt idx="239" formatCode="0">
                  <c:v>5.1890800000000006</c:v>
                </c:pt>
                <c:pt idx="240" formatCode="0">
                  <c:v>5.1559100000000004</c:v>
                </c:pt>
                <c:pt idx="241" formatCode="0">
                  <c:v>5.0428899999999999</c:v>
                </c:pt>
                <c:pt idx="242" formatCode="0">
                  <c:v>4.9340700000000002</c:v>
                </c:pt>
                <c:pt idx="243" formatCode="0">
                  <c:v>4.9991899999999996</c:v>
                </c:pt>
                <c:pt idx="244" formatCode="0">
                  <c:v>5.0077499999999997</c:v>
                </c:pt>
                <c:pt idx="245" formatCode="0">
                  <c:v>5.0509300000000001</c:v>
                </c:pt>
                <c:pt idx="246" formatCode="0">
                  <c:v>5.1342400000000001</c:v>
                </c:pt>
                <c:pt idx="247" formatCode="0">
                  <c:v>5.1434600000000001</c:v>
                </c:pt>
                <c:pt idx="248" formatCode="0">
                  <c:v>5.1357299999999997</c:v>
                </c:pt>
                <c:pt idx="249" formatCode="0">
                  <c:v>5.1310400000000005</c:v>
                </c:pt>
                <c:pt idx="250" formatCode="0">
                  <c:v>5.1454999999999993</c:v>
                </c:pt>
                <c:pt idx="251" formatCode="0">
                  <c:v>5.11158</c:v>
                </c:pt>
                <c:pt idx="252" formatCode="0">
                  <c:v>5.1039700000000003</c:v>
                </c:pt>
                <c:pt idx="253" formatCode="0">
                  <c:v>5.1124000000000001</c:v>
                </c:pt>
                <c:pt idx="254" formatCode="0">
                  <c:v>5.1729899999999995</c:v>
                </c:pt>
                <c:pt idx="255" formatCode="0">
                  <c:v>5.1736900000000006</c:v>
                </c:pt>
                <c:pt idx="256" formatCode="0">
                  <c:v>5.1873500000000003</c:v>
                </c:pt>
                <c:pt idx="257" formatCode="0">
                  <c:v>5.1873500000000003</c:v>
                </c:pt>
                <c:pt idx="258" formatCode="0">
                  <c:v>5.1873500000000003</c:v>
                </c:pt>
                <c:pt idx="259" formatCode="0">
                  <c:v>5.1575999999999995</c:v>
                </c:pt>
                <c:pt idx="260" formatCode="0">
                  <c:v>5.1443399999999997</c:v>
                </c:pt>
                <c:pt idx="261" formatCode="0">
                  <c:v>5.1274699999999998</c:v>
                </c:pt>
                <c:pt idx="262" formatCode="0">
                  <c:v>5.1274699999999998</c:v>
                </c:pt>
                <c:pt idx="263" formatCode="0">
                  <c:v>5.11998</c:v>
                </c:pt>
                <c:pt idx="264" formatCode="0">
                  <c:v>5.1170800000000005</c:v>
                </c:pt>
                <c:pt idx="265" formatCode="0">
                  <c:v>5.0369900000000003</c:v>
                </c:pt>
                <c:pt idx="266" formatCode="0">
                  <c:v>5.0317800000000004</c:v>
                </c:pt>
                <c:pt idx="267" formatCode="0">
                  <c:v>4.9873899999999995</c:v>
                </c:pt>
                <c:pt idx="268" formatCode="0">
                  <c:v>4.9784500000000005</c:v>
                </c:pt>
                <c:pt idx="269" formatCode="0">
                  <c:v>5.0394199999999998</c:v>
                </c:pt>
                <c:pt idx="270" formatCode="0">
                  <c:v>5.0480599999999995</c:v>
                </c:pt>
                <c:pt idx="271" formatCode="0">
                  <c:v>4.9955099999999995</c:v>
                </c:pt>
                <c:pt idx="272" formatCode="0">
                  <c:v>4.9954799999999997</c:v>
                </c:pt>
                <c:pt idx="273" formatCode="0">
                  <c:v>5.0154700000000005</c:v>
                </c:pt>
                <c:pt idx="274" formatCode="0">
                  <c:v>5.0045800000000007</c:v>
                </c:pt>
                <c:pt idx="275" formatCode="0">
                  <c:v>4.9923099999999998</c:v>
                </c:pt>
                <c:pt idx="276" formatCode="0">
                  <c:v>4.9795100000000003</c:v>
                </c:pt>
                <c:pt idx="277" formatCode="0">
                  <c:v>5.13645</c:v>
                </c:pt>
                <c:pt idx="278" formatCode="0">
                  <c:v>5.1333399999999996</c:v>
                </c:pt>
                <c:pt idx="279" formatCode="0">
                  <c:v>5.1306899999999995</c:v>
                </c:pt>
                <c:pt idx="280" formatCode="0">
                  <c:v>5.10466</c:v>
                </c:pt>
                <c:pt idx="281" formatCode="0">
                  <c:v>5.02597</c:v>
                </c:pt>
                <c:pt idx="282" formatCode="0">
                  <c:v>4.9904299999999999</c:v>
                </c:pt>
                <c:pt idx="283" formatCode="0">
                  <c:v>4.9750199999999998</c:v>
                </c:pt>
                <c:pt idx="284" formatCode="0">
                  <c:v>4.8908199999999997</c:v>
                </c:pt>
                <c:pt idx="285" formatCode="0">
                  <c:v>4.8819999999999997</c:v>
                </c:pt>
                <c:pt idx="286" formatCode="0">
                  <c:v>4.9012900000000004</c:v>
                </c:pt>
                <c:pt idx="287" formatCode="0">
                  <c:v>4.8860299999999999</c:v>
                </c:pt>
                <c:pt idx="288" formatCode="0">
                  <c:v>4.9484599999999999</c:v>
                </c:pt>
                <c:pt idx="289" formatCode="0">
                  <c:v>5.0767300000000004</c:v>
                </c:pt>
                <c:pt idx="290" formatCode="0">
                  <c:v>5.12263</c:v>
                </c:pt>
                <c:pt idx="291" formatCode="0">
                  <c:v>5.1072899999999999</c:v>
                </c:pt>
                <c:pt idx="292" formatCode="0">
                  <c:v>5.0808100000000005</c:v>
                </c:pt>
                <c:pt idx="293" formatCode="0">
                  <c:v>5.0401999999999996</c:v>
                </c:pt>
                <c:pt idx="294" formatCode="0">
                  <c:v>5.0199699999999998</c:v>
                </c:pt>
                <c:pt idx="295" formatCode="0">
                  <c:v>5.0485899999999999</c:v>
                </c:pt>
                <c:pt idx="296" formatCode="0">
                  <c:v>5.0210299999999997</c:v>
                </c:pt>
                <c:pt idx="297" formatCode="0">
                  <c:v>4.9380800000000002</c:v>
                </c:pt>
                <c:pt idx="298" formatCode="0">
                  <c:v>5.0240100000000005</c:v>
                </c:pt>
                <c:pt idx="299" formatCode="0">
                  <c:v>5.0327000000000002</c:v>
                </c:pt>
                <c:pt idx="300" formatCode="0">
                  <c:v>5.0154000000000005</c:v>
                </c:pt>
                <c:pt idx="301" formatCode="0">
                  <c:v>5.0133900000000002</c:v>
                </c:pt>
                <c:pt idx="302" formatCode="0">
                  <c:v>5.0781200000000002</c:v>
                </c:pt>
                <c:pt idx="303" formatCode="0">
                  <c:v>5.0415200000000002</c:v>
                </c:pt>
                <c:pt idx="304" formatCode="0">
                  <c:v>5.1736900000000006</c:v>
                </c:pt>
                <c:pt idx="305" formatCode="0">
                  <c:v>5.1934400000000007</c:v>
                </c:pt>
                <c:pt idx="306" formatCode="0">
                  <c:v>5.1505600000000005</c:v>
                </c:pt>
                <c:pt idx="307" formatCode="0">
                  <c:v>5.3702800000000002</c:v>
                </c:pt>
                <c:pt idx="308" formatCode="0">
                  <c:v>5.4845799999999993</c:v>
                </c:pt>
                <c:pt idx="309" formatCode="0">
                  <c:v>5.4359099999999998</c:v>
                </c:pt>
                <c:pt idx="310" formatCode="0">
                  <c:v>5.46394</c:v>
                </c:pt>
                <c:pt idx="311" formatCode="0">
                  <c:v>5.5166300000000001</c:v>
                </c:pt>
                <c:pt idx="312" formatCode="0">
                  <c:v>5.82768</c:v>
                </c:pt>
                <c:pt idx="313" formatCode="0">
                  <c:v>5.7614000000000001</c:v>
                </c:pt>
                <c:pt idx="314" formatCode="0">
                  <c:v>5.5973699999999997</c:v>
                </c:pt>
                <c:pt idx="315" formatCode="0">
                  <c:v>5.6426199999999991</c:v>
                </c:pt>
                <c:pt idx="316" formatCode="0">
                  <c:v>5.5928999999999993</c:v>
                </c:pt>
                <c:pt idx="317" formatCode="0">
                  <c:v>5.4029100000000003</c:v>
                </c:pt>
                <c:pt idx="318" formatCode="0">
                  <c:v>5.4459</c:v>
                </c:pt>
                <c:pt idx="319" formatCode="0">
                  <c:v>5.4984000000000002</c:v>
                </c:pt>
                <c:pt idx="320" formatCode="0">
                  <c:v>5.5724300000000007</c:v>
                </c:pt>
                <c:pt idx="321" formatCode="0">
                  <c:v>5.5813800000000002</c:v>
                </c:pt>
                <c:pt idx="322" formatCode="0">
                  <c:v>5.5662199999999995</c:v>
                </c:pt>
                <c:pt idx="323" formatCode="0">
                  <c:v>5.5136199999999995</c:v>
                </c:pt>
                <c:pt idx="324" formatCode="0">
                  <c:v>5.6571600000000002</c:v>
                </c:pt>
                <c:pt idx="325" formatCode="0">
                  <c:v>5.60067</c:v>
                </c:pt>
                <c:pt idx="326" formatCode="0">
                  <c:v>5.6905100000000006</c:v>
                </c:pt>
                <c:pt idx="327" formatCode="0">
                  <c:v>5.6905100000000006</c:v>
                </c:pt>
                <c:pt idx="328" formatCode="0">
                  <c:v>5.6905100000000006</c:v>
                </c:pt>
                <c:pt idx="329" formatCode="0">
                  <c:v>5.7697599999999998</c:v>
                </c:pt>
                <c:pt idx="330" formatCode="0">
                  <c:v>5.7962400000000001</c:v>
                </c:pt>
                <c:pt idx="331" formatCode="0">
                  <c:v>5.81996</c:v>
                </c:pt>
                <c:pt idx="332" formatCode="0">
                  <c:v>5.8606199999999999</c:v>
                </c:pt>
                <c:pt idx="333" formatCode="0">
                  <c:v>5.8399800000000006</c:v>
                </c:pt>
                <c:pt idx="334" formatCode="0">
                  <c:v>5.9047900000000002</c:v>
                </c:pt>
                <c:pt idx="335" formatCode="0">
                  <c:v>5.8659699999999999</c:v>
                </c:pt>
                <c:pt idx="336" formatCode="0">
                  <c:v>5.9606300000000001</c:v>
                </c:pt>
                <c:pt idx="337" formatCode="0">
                  <c:v>5.8339999999999996</c:v>
                </c:pt>
                <c:pt idx="338" formatCode="0">
                  <c:v>5.7788500000000003</c:v>
                </c:pt>
                <c:pt idx="339" formatCode="0">
                  <c:v>5.7398699999999998</c:v>
                </c:pt>
                <c:pt idx="340" formatCode="0">
                  <c:v>5.4947799999999996</c:v>
                </c:pt>
                <c:pt idx="341" formatCode="0">
                  <c:v>5.4615599999999995</c:v>
                </c:pt>
                <c:pt idx="342" formatCode="0">
                  <c:v>5.3589599999999997</c:v>
                </c:pt>
                <c:pt idx="343" formatCode="0">
                  <c:v>5.3680899999999996</c:v>
                </c:pt>
                <c:pt idx="344" formatCode="0">
                  <c:v>5.3869899999999999</c:v>
                </c:pt>
                <c:pt idx="345" formatCode="0">
                  <c:v>5.3600599999999998</c:v>
                </c:pt>
                <c:pt idx="346" formatCode="0">
                  <c:v>5.3553300000000004</c:v>
                </c:pt>
                <c:pt idx="347" formatCode="0">
                  <c:v>5.3553999999999995</c:v>
                </c:pt>
                <c:pt idx="348" formatCode="0">
                  <c:v>5.3553999999999995</c:v>
                </c:pt>
                <c:pt idx="349" formatCode="0">
                  <c:v>5.4738699999999998</c:v>
                </c:pt>
                <c:pt idx="350" formatCode="0">
                  <c:v>5.4756799999999997</c:v>
                </c:pt>
                <c:pt idx="351" formatCode="0">
                  <c:v>5.5022199999999994</c:v>
                </c:pt>
                <c:pt idx="352" formatCode="0">
                  <c:v>5.4903999999999993</c:v>
                </c:pt>
                <c:pt idx="353" formatCode="0">
                  <c:v>5.4822799999999994</c:v>
                </c:pt>
                <c:pt idx="354" formatCode="0">
                  <c:v>5.4924099999999996</c:v>
                </c:pt>
                <c:pt idx="355" formatCode="0">
                  <c:v>5.4293700000000005</c:v>
                </c:pt>
                <c:pt idx="356" formatCode="0">
                  <c:v>5.6046900000000006</c:v>
                </c:pt>
                <c:pt idx="357" formatCode="0">
                  <c:v>5.5878499999999995</c:v>
                </c:pt>
                <c:pt idx="358" formatCode="0">
                  <c:v>5.5678999999999998</c:v>
                </c:pt>
                <c:pt idx="359" formatCode="0">
                  <c:v>5.5664700000000007</c:v>
                </c:pt>
                <c:pt idx="360" formatCode="0">
                  <c:v>5.5766400000000003</c:v>
                </c:pt>
                <c:pt idx="361" formatCode="0">
                  <c:v>5.6946300000000001</c:v>
                </c:pt>
                <c:pt idx="362" formatCode="0">
                  <c:v>5.6036400000000004</c:v>
                </c:pt>
                <c:pt idx="363" formatCode="0">
                  <c:v>5.9732000000000003</c:v>
                </c:pt>
                <c:pt idx="364" formatCode="0">
                  <c:v>6.1041300000000005</c:v>
                </c:pt>
                <c:pt idx="365" formatCode="0">
                  <c:v>6.2470600000000003</c:v>
                </c:pt>
                <c:pt idx="366" formatCode="0">
                  <c:v>6.2370399999999995</c:v>
                </c:pt>
                <c:pt idx="367" formatCode="0">
                  <c:v>6.1999699999999995</c:v>
                </c:pt>
                <c:pt idx="368" formatCode="0">
                  <c:v>6.1999699999999995</c:v>
                </c:pt>
                <c:pt idx="369" formatCode="0">
                  <c:v>6.0654499999999993</c:v>
                </c:pt>
                <c:pt idx="370" formatCode="0">
                  <c:v>6.0352700000000006</c:v>
                </c:pt>
                <c:pt idx="371" formatCode="0">
                  <c:v>6.0026299999999999</c:v>
                </c:pt>
                <c:pt idx="372" formatCode="0">
                  <c:v>6.0470899999999999</c:v>
                </c:pt>
                <c:pt idx="373" formatCode="0">
                  <c:v>6.0391700000000004</c:v>
                </c:pt>
                <c:pt idx="374" formatCode="0">
                  <c:v>6.0575699999999992</c:v>
                </c:pt>
                <c:pt idx="375" formatCode="0">
                  <c:v>5.9362500000000002</c:v>
                </c:pt>
                <c:pt idx="376" formatCode="0">
                  <c:v>5.9783500000000007</c:v>
                </c:pt>
                <c:pt idx="377" formatCode="0">
                  <c:v>6.0303599999999991</c:v>
                </c:pt>
                <c:pt idx="378" formatCode="0">
                  <c:v>6.0092299999999996</c:v>
                </c:pt>
                <c:pt idx="379" formatCode="0">
                  <c:v>6.1172799999999992</c:v>
                </c:pt>
                <c:pt idx="380" formatCode="0">
                  <c:v>6.1358900000000007</c:v>
                </c:pt>
                <c:pt idx="381" formatCode="0">
                  <c:v>6.1646400000000003</c:v>
                </c:pt>
                <c:pt idx="382" formatCode="0">
                  <c:v>6.2714800000000004</c:v>
                </c:pt>
                <c:pt idx="383" formatCode="0">
                  <c:v>6.7567899999999996</c:v>
                </c:pt>
                <c:pt idx="384" formatCode="0">
                  <c:v>6.8512500000000003</c:v>
                </c:pt>
                <c:pt idx="385" formatCode="0">
                  <c:v>6.9166499999999997</c:v>
                </c:pt>
                <c:pt idx="386" formatCode="0">
                  <c:v>6.9438199999999997</c:v>
                </c:pt>
                <c:pt idx="387" formatCode="0">
                  <c:v>6.8172900000000007</c:v>
                </c:pt>
                <c:pt idx="388" formatCode="0">
                  <c:v>6.9306200000000002</c:v>
                </c:pt>
                <c:pt idx="389" formatCode="0">
                  <c:v>6.9610000000000003</c:v>
                </c:pt>
                <c:pt idx="390" formatCode="0">
                  <c:v>6.9969399999999995</c:v>
                </c:pt>
                <c:pt idx="391" formatCode="0">
                  <c:v>6.9565400000000004</c:v>
                </c:pt>
                <c:pt idx="392" formatCode="0">
                  <c:v>7.01586</c:v>
                </c:pt>
                <c:pt idx="393" formatCode="0">
                  <c:v>6.9533799999999992</c:v>
                </c:pt>
                <c:pt idx="394" formatCode="0">
                  <c:v>7.0697400000000004</c:v>
                </c:pt>
                <c:pt idx="395" formatCode="0">
                  <c:v>7.0987599999999995</c:v>
                </c:pt>
                <c:pt idx="396" formatCode="0">
                  <c:v>7.0717600000000003</c:v>
                </c:pt>
                <c:pt idx="397" formatCode="0">
                  <c:v>7.0453200000000002</c:v>
                </c:pt>
                <c:pt idx="398" formatCode="0">
                  <c:v>7.0537400000000003</c:v>
                </c:pt>
                <c:pt idx="399" formatCode="0">
                  <c:v>7.0261000000000005</c:v>
                </c:pt>
                <c:pt idx="400" formatCode="0">
                  <c:v>7.0785200000000001</c:v>
                </c:pt>
                <c:pt idx="401" formatCode="0">
                  <c:v>7.1425599999999996</c:v>
                </c:pt>
                <c:pt idx="402" formatCode="0">
                  <c:v>7.14886</c:v>
                </c:pt>
                <c:pt idx="403" formatCode="0">
                  <c:v>7.2923599999999995</c:v>
                </c:pt>
                <c:pt idx="404" formatCode="0">
                  <c:v>7.23081</c:v>
                </c:pt>
                <c:pt idx="405" formatCode="0">
                  <c:v>7.1429399999999994</c:v>
                </c:pt>
                <c:pt idx="406" formatCode="0">
                  <c:v>7.1325199999999995</c:v>
                </c:pt>
                <c:pt idx="407" formatCode="0">
                  <c:v>7.1006399999999994</c:v>
                </c:pt>
                <c:pt idx="408" formatCode="0">
                  <c:v>7.0980499999999997</c:v>
                </c:pt>
                <c:pt idx="409" formatCode="0">
                  <c:v>7.0971599999999997</c:v>
                </c:pt>
                <c:pt idx="410" formatCode="0">
                  <c:v>7.0297000000000001</c:v>
                </c:pt>
                <c:pt idx="411" formatCode="0">
                  <c:v>6.9742700000000006</c:v>
                </c:pt>
                <c:pt idx="412" formatCode="0">
                  <c:v>6.929829999999999</c:v>
                </c:pt>
                <c:pt idx="413" formatCode="0">
                  <c:v>6.88591</c:v>
                </c:pt>
                <c:pt idx="414" formatCode="0">
                  <c:v>6.9191499999999992</c:v>
                </c:pt>
                <c:pt idx="415" formatCode="0">
                  <c:v>6.9093600000000004</c:v>
                </c:pt>
                <c:pt idx="416" formatCode="0">
                  <c:v>6.8719799999999998</c:v>
                </c:pt>
                <c:pt idx="417" formatCode="0">
                  <c:v>6.8351599999999992</c:v>
                </c:pt>
                <c:pt idx="418" formatCode="0">
                  <c:v>6.8551299999999999</c:v>
                </c:pt>
                <c:pt idx="419" formatCode="0">
                  <c:v>6.9391499999999997</c:v>
                </c:pt>
                <c:pt idx="420" formatCode="0">
                  <c:v>6.9702999999999999</c:v>
                </c:pt>
                <c:pt idx="421" formatCode="0">
                  <c:v>6.9048499999999997</c:v>
                </c:pt>
                <c:pt idx="422" formatCode="0">
                  <c:v>6.9829999999999997</c:v>
                </c:pt>
                <c:pt idx="423" formatCode="0">
                  <c:v>7.0267600000000003</c:v>
                </c:pt>
                <c:pt idx="424" formatCode="0">
                  <c:v>7.0099199999999993</c:v>
                </c:pt>
                <c:pt idx="425" formatCode="0">
                  <c:v>7.0050400000000002</c:v>
                </c:pt>
                <c:pt idx="426" formatCode="0">
                  <c:v>7.0711900000000005</c:v>
                </c:pt>
                <c:pt idx="427" formatCode="0">
                  <c:v>7.0310199999999998</c:v>
                </c:pt>
                <c:pt idx="428" formatCode="0">
                  <c:v>7.1151300000000006</c:v>
                </c:pt>
                <c:pt idx="429" formatCode="0">
                  <c:v>7.0041700000000002</c:v>
                </c:pt>
                <c:pt idx="430" formatCode="0">
                  <c:v>6.93703</c:v>
                </c:pt>
                <c:pt idx="431" formatCode="0">
                  <c:v>6.9841600000000001</c:v>
                </c:pt>
                <c:pt idx="432" formatCode="0">
                  <c:v>7.0054999999999996</c:v>
                </c:pt>
                <c:pt idx="433" formatCode="0">
                  <c:v>7.0054999999999996</c:v>
                </c:pt>
                <c:pt idx="434" formatCode="0">
                  <c:v>6.9836800000000006</c:v>
                </c:pt>
                <c:pt idx="435" formatCode="0">
                  <c:v>6.8184299999999993</c:v>
                </c:pt>
                <c:pt idx="436" formatCode="0">
                  <c:v>6.7896900000000002</c:v>
                </c:pt>
                <c:pt idx="437" formatCode="0">
                  <c:v>6.6677</c:v>
                </c:pt>
                <c:pt idx="438" formatCode="0">
                  <c:v>6.6396100000000002</c:v>
                </c:pt>
                <c:pt idx="439" formatCode="0">
                  <c:v>6.5781100000000006</c:v>
                </c:pt>
                <c:pt idx="440" formatCode="0">
                  <c:v>6.4785699999999995</c:v>
                </c:pt>
                <c:pt idx="441" formatCode="0">
                  <c:v>6.5368300000000001</c:v>
                </c:pt>
                <c:pt idx="442" formatCode="0">
                  <c:v>6.4610900000000004</c:v>
                </c:pt>
                <c:pt idx="443" formatCode="0">
                  <c:v>6.4726499999999998</c:v>
                </c:pt>
                <c:pt idx="444" formatCode="0">
                  <c:v>6.5451199999999998</c:v>
                </c:pt>
                <c:pt idx="445" formatCode="0">
                  <c:v>6.4700800000000003</c:v>
                </c:pt>
                <c:pt idx="446" formatCode="0">
                  <c:v>6.4504100000000006</c:v>
                </c:pt>
                <c:pt idx="447" formatCode="0">
                  <c:v>6.3914599999999995</c:v>
                </c:pt>
                <c:pt idx="448" formatCode="0">
                  <c:v>6.5011400000000004</c:v>
                </c:pt>
                <c:pt idx="449" formatCode="0">
                  <c:v>6.4949300000000001</c:v>
                </c:pt>
                <c:pt idx="450" formatCode="0">
                  <c:v>6.4934500000000002</c:v>
                </c:pt>
                <c:pt idx="451" formatCode="0">
                  <c:v>6.4413999999999998</c:v>
                </c:pt>
                <c:pt idx="452" formatCode="0">
                  <c:v>6.4611800000000006</c:v>
                </c:pt>
                <c:pt idx="453" formatCode="0">
                  <c:v>6.5404499999999999</c:v>
                </c:pt>
                <c:pt idx="454" formatCode="0">
                  <c:v>6.6064300000000005</c:v>
                </c:pt>
                <c:pt idx="455" formatCode="0">
                  <c:v>6.6152999999999995</c:v>
                </c:pt>
                <c:pt idx="456" formatCode="0">
                  <c:v>6.7094800000000001</c:v>
                </c:pt>
                <c:pt idx="457" formatCode="0">
                  <c:v>6.8312199999999992</c:v>
                </c:pt>
                <c:pt idx="458" formatCode="0">
                  <c:v>6.8631100000000007</c:v>
                </c:pt>
                <c:pt idx="459" formatCode="0">
                  <c:v>6.8683500000000004</c:v>
                </c:pt>
                <c:pt idx="460" formatCode="0">
                  <c:v>6.8746600000000004</c:v>
                </c:pt>
                <c:pt idx="461" formatCode="0">
                  <c:v>6.8202599999999993</c:v>
                </c:pt>
                <c:pt idx="462" formatCode="0">
                  <c:v>6.8320799999999995</c:v>
                </c:pt>
                <c:pt idx="463" formatCode="0">
                  <c:v>6.7857899999999995</c:v>
                </c:pt>
                <c:pt idx="464" formatCode="0">
                  <c:v>6.8530499999999996</c:v>
                </c:pt>
                <c:pt idx="465" formatCode="0">
                  <c:v>6.90679</c:v>
                </c:pt>
                <c:pt idx="466" formatCode="0">
                  <c:v>6.8725699999999996</c:v>
                </c:pt>
                <c:pt idx="467" formatCode="0">
                  <c:v>6.8194799999999995</c:v>
                </c:pt>
                <c:pt idx="468" formatCode="0">
                  <c:v>6.8019600000000002</c:v>
                </c:pt>
                <c:pt idx="469" formatCode="0">
                  <c:v>6.7551800000000002</c:v>
                </c:pt>
                <c:pt idx="470" formatCode="0">
                  <c:v>6.8070300000000001</c:v>
                </c:pt>
                <c:pt idx="471" formatCode="0">
                  <c:v>6.7600999999999996</c:v>
                </c:pt>
                <c:pt idx="472" formatCode="0">
                  <c:v>6.7646600000000001</c:v>
                </c:pt>
                <c:pt idx="473" formatCode="0">
                  <c:v>6.7847200000000001</c:v>
                </c:pt>
                <c:pt idx="474" formatCode="0">
                  <c:v>6.7776399999999999</c:v>
                </c:pt>
                <c:pt idx="475" formatCode="0">
                  <c:v>6.8342899999999993</c:v>
                </c:pt>
                <c:pt idx="476" formatCode="0">
                  <c:v>6.8387199999999995</c:v>
                </c:pt>
                <c:pt idx="477" formatCode="0">
                  <c:v>6.8579400000000001</c:v>
                </c:pt>
                <c:pt idx="478" formatCode="0">
                  <c:v>7.1789399999999999</c:v>
                </c:pt>
                <c:pt idx="479" formatCode="0">
                  <c:v>7.1670500000000006</c:v>
                </c:pt>
                <c:pt idx="480" formatCode="0">
                  <c:v>7.1073599999999999</c:v>
                </c:pt>
                <c:pt idx="481" formatCode="0">
                  <c:v>7.1758600000000001</c:v>
                </c:pt>
                <c:pt idx="482" formatCode="0">
                  <c:v>7.2352099999999995</c:v>
                </c:pt>
                <c:pt idx="483" formatCode="0">
                  <c:v>7.1920299999999999</c:v>
                </c:pt>
                <c:pt idx="484" formatCode="0">
                  <c:v>7.3262</c:v>
                </c:pt>
                <c:pt idx="485" formatCode="0">
                  <c:v>7.2250199999999998</c:v>
                </c:pt>
                <c:pt idx="486" formatCode="0">
                  <c:v>7.5507000000000009</c:v>
                </c:pt>
                <c:pt idx="487" formatCode="0">
                  <c:v>7.5911499999999998</c:v>
                </c:pt>
                <c:pt idx="488" formatCode="0">
                  <c:v>7.6309699999999996</c:v>
                </c:pt>
                <c:pt idx="489" formatCode="0">
                  <c:v>8.0203500000000005</c:v>
                </c:pt>
                <c:pt idx="490" formatCode="0">
                  <c:v>8.0399799999999999</c:v>
                </c:pt>
                <c:pt idx="491" formatCode="0">
                  <c:v>7.9812599999999998</c:v>
                </c:pt>
                <c:pt idx="492" formatCode="0">
                  <c:v>7.9740099999999998</c:v>
                </c:pt>
                <c:pt idx="493" formatCode="0">
                  <c:v>7.8980300000000003</c:v>
                </c:pt>
                <c:pt idx="494" formatCode="0">
                  <c:v>7.8456799999999998</c:v>
                </c:pt>
                <c:pt idx="495" formatCode="0">
                  <c:v>7.7952700000000004</c:v>
                </c:pt>
                <c:pt idx="496" formatCode="0">
                  <c:v>7.8109000000000002</c:v>
                </c:pt>
                <c:pt idx="497" formatCode="0">
                  <c:v>8.0671299999999988</c:v>
                </c:pt>
                <c:pt idx="498" formatCode="0">
                  <c:v>7.9866899999999994</c:v>
                </c:pt>
                <c:pt idx="499" formatCode="0">
                  <c:v>8.1087500000000006</c:v>
                </c:pt>
                <c:pt idx="500" formatCode="0">
                  <c:v>8.0866399999999992</c:v>
                </c:pt>
                <c:pt idx="501" formatCode="0">
                  <c:v>8.1243600000000011</c:v>
                </c:pt>
                <c:pt idx="502" formatCode="0">
                  <c:v>8.2578300000000002</c:v>
                </c:pt>
                <c:pt idx="503" formatCode="0">
                  <c:v>8.2379700000000007</c:v>
                </c:pt>
                <c:pt idx="504" formatCode="0">
                  <c:v>8.3440399999999997</c:v>
                </c:pt>
                <c:pt idx="505" formatCode="0">
                  <c:v>8.3648100000000003</c:v>
                </c:pt>
                <c:pt idx="506" formatCode="0">
                  <c:v>8.5032600000000009</c:v>
                </c:pt>
                <c:pt idx="507" formatCode="0">
                  <c:v>8.590679999999999</c:v>
                </c:pt>
                <c:pt idx="508" formatCode="0">
                  <c:v>8.6232500000000005</c:v>
                </c:pt>
                <c:pt idx="509" formatCode="0">
                  <c:v>8.6593300000000006</c:v>
                </c:pt>
                <c:pt idx="510" formatCode="0">
                  <c:v>8.6795100000000005</c:v>
                </c:pt>
                <c:pt idx="511" formatCode="0">
                  <c:v>8.70885</c:v>
                </c:pt>
                <c:pt idx="512" formatCode="0">
                  <c:v>8.7247199999999996</c:v>
                </c:pt>
                <c:pt idx="513" formatCode="0">
                  <c:v>8.7189200000000007</c:v>
                </c:pt>
                <c:pt idx="514" formatCode="0">
                  <c:v>8.6558399999999995</c:v>
                </c:pt>
                <c:pt idx="515" formatCode="0">
                  <c:v>8.6918299999999995</c:v>
                </c:pt>
                <c:pt idx="516" formatCode="0">
                  <c:v>8.6339900000000007</c:v>
                </c:pt>
                <c:pt idx="517" formatCode="0">
                  <c:v>8.6369000000000007</c:v>
                </c:pt>
                <c:pt idx="518" formatCode="0">
                  <c:v>8.6369000000000007</c:v>
                </c:pt>
                <c:pt idx="519" formatCode="0">
                  <c:v>8.6369000000000007</c:v>
                </c:pt>
                <c:pt idx="520" formatCode="0">
                  <c:v>8.4100800000000007</c:v>
                </c:pt>
                <c:pt idx="521" formatCode="0">
                  <c:v>8.4093400000000003</c:v>
                </c:pt>
                <c:pt idx="522" formatCode="0">
                  <c:v>8.4319399999999991</c:v>
                </c:pt>
                <c:pt idx="523" formatCode="0">
                  <c:v>8.4319399999999991</c:v>
                </c:pt>
                <c:pt idx="524" formatCode="0">
                  <c:v>8.2548999999999992</c:v>
                </c:pt>
                <c:pt idx="525" formatCode="0">
                  <c:v>8.2335700000000003</c:v>
                </c:pt>
                <c:pt idx="526" formatCode="0">
                  <c:v>8.2297700000000003</c:v>
                </c:pt>
                <c:pt idx="527" formatCode="0">
                  <c:v>8.2256999999999998</c:v>
                </c:pt>
                <c:pt idx="528" formatCode="0">
                  <c:v>8.1940999999999988</c:v>
                </c:pt>
                <c:pt idx="529" formatCode="0">
                  <c:v>8.2454099999999997</c:v>
                </c:pt>
                <c:pt idx="530" formatCode="0">
                  <c:v>8.1866500000000002</c:v>
                </c:pt>
                <c:pt idx="531" formatCode="0">
                  <c:v>8.2197899999999997</c:v>
                </c:pt>
                <c:pt idx="532" formatCode="0">
                  <c:v>8.2403899999999997</c:v>
                </c:pt>
                <c:pt idx="533" formatCode="0">
                  <c:v>8.3396400000000011</c:v>
                </c:pt>
                <c:pt idx="534" formatCode="0">
                  <c:v>8.3783799999999999</c:v>
                </c:pt>
                <c:pt idx="535" formatCode="0">
                  <c:v>8.4636099999999992</c:v>
                </c:pt>
                <c:pt idx="536" formatCode="0">
                  <c:v>8.5357399999999988</c:v>
                </c:pt>
                <c:pt idx="537" formatCode="0">
                  <c:v>8.8365999999999989</c:v>
                </c:pt>
                <c:pt idx="538" formatCode="0">
                  <c:v>8.9568499999999993</c:v>
                </c:pt>
                <c:pt idx="539" formatCode="0">
                  <c:v>8.9568499999999993</c:v>
                </c:pt>
                <c:pt idx="540" formatCode="0">
                  <c:v>9.3783300000000001</c:v>
                </c:pt>
                <c:pt idx="541" formatCode="0">
                  <c:v>9.3517899999999994</c:v>
                </c:pt>
                <c:pt idx="542" formatCode="0">
                  <c:v>9.3388100000000005</c:v>
                </c:pt>
                <c:pt idx="543" formatCode="0">
                  <c:v>9.4002200000000009</c:v>
                </c:pt>
                <c:pt idx="544" formatCode="0">
                  <c:v>9.3892299999999995</c:v>
                </c:pt>
                <c:pt idx="545" formatCode="0">
                  <c:v>8.9755199999999995</c:v>
                </c:pt>
                <c:pt idx="546" formatCode="0">
                  <c:v>8.8632299999999997</c:v>
                </c:pt>
                <c:pt idx="547" formatCode="0">
                  <c:v>8.7717399999999994</c:v>
                </c:pt>
                <c:pt idx="548" formatCode="0">
                  <c:v>8.7880500000000001</c:v>
                </c:pt>
                <c:pt idx="549" formatCode="0">
                  <c:v>8.8709000000000007</c:v>
                </c:pt>
                <c:pt idx="550" formatCode="0">
                  <c:v>8.8450199999999999</c:v>
                </c:pt>
                <c:pt idx="551" formatCode="0">
                  <c:v>8.6883499999999998</c:v>
                </c:pt>
                <c:pt idx="552" formatCode="0">
                  <c:v>8.7874999999999996</c:v>
                </c:pt>
                <c:pt idx="553" formatCode="0">
                  <c:v>8.8197500000000009</c:v>
                </c:pt>
                <c:pt idx="554" formatCode="0">
                  <c:v>8.6758000000000006</c:v>
                </c:pt>
                <c:pt idx="555" formatCode="0">
                  <c:v>8.6778899999999997</c:v>
                </c:pt>
                <c:pt idx="556" formatCode="0">
                  <c:v>8.8165999999999993</c:v>
                </c:pt>
                <c:pt idx="557" formatCode="0">
                  <c:v>8.8556100000000004</c:v>
                </c:pt>
                <c:pt idx="558" formatCode="0">
                  <c:v>8.8266999999999989</c:v>
                </c:pt>
                <c:pt idx="559" formatCode="0">
                  <c:v>9.17563</c:v>
                </c:pt>
                <c:pt idx="560" formatCode="0">
                  <c:v>9.6981400000000004</c:v>
                </c:pt>
                <c:pt idx="561" formatCode="0">
                  <c:v>9.6981400000000004</c:v>
                </c:pt>
                <c:pt idx="562" formatCode="0">
                  <c:v>9.6981400000000004</c:v>
                </c:pt>
                <c:pt idx="563" formatCode="0">
                  <c:v>9.6981400000000004</c:v>
                </c:pt>
                <c:pt idx="564" formatCode="0">
                  <c:v>9.6981400000000004</c:v>
                </c:pt>
                <c:pt idx="565" formatCode="0">
                  <c:v>9.6981400000000004</c:v>
                </c:pt>
                <c:pt idx="566" formatCode="0">
                  <c:v>9.6981400000000004</c:v>
                </c:pt>
                <c:pt idx="567" formatCode="0">
                  <c:v>9.6981400000000004</c:v>
                </c:pt>
                <c:pt idx="568" formatCode="0">
                  <c:v>9.6981400000000004</c:v>
                </c:pt>
                <c:pt idx="569" formatCode="0">
                  <c:v>94.40428</c:v>
                </c:pt>
                <c:pt idx="570" formatCode="0">
                  <c:v>94.323400000000007</c:v>
                </c:pt>
                <c:pt idx="571" formatCode="0">
                  <c:v>94.323400000000007</c:v>
                </c:pt>
                <c:pt idx="572" formatCode="0">
                  <c:v>94.323400000000007</c:v>
                </c:pt>
                <c:pt idx="573" formatCode="0">
                  <c:v>81.097449999999995</c:v>
                </c:pt>
                <c:pt idx="574" formatCode="0">
                  <c:v>79.875630000000001</c:v>
                </c:pt>
                <c:pt idx="575" formatCode="0">
                  <c:v>72.824190000000002</c:v>
                </c:pt>
                <c:pt idx="576" formatCode="0">
                  <c:v>55.432049999999997</c:v>
                </c:pt>
                <c:pt idx="577" formatCode="0">
                  <c:v>55.432049999999997</c:v>
                </c:pt>
                <c:pt idx="578" formatCode="0">
                  <c:v>55.432049999999997</c:v>
                </c:pt>
                <c:pt idx="579" formatCode="0">
                  <c:v>50.273630000000004</c:v>
                </c:pt>
                <c:pt idx="580" formatCode="0">
                  <c:v>50.16722</c:v>
                </c:pt>
                <c:pt idx="581" formatCode="0">
                  <c:v>50.107569999999996</c:v>
                </c:pt>
                <c:pt idx="582" formatCode="0">
                  <c:v>50.107569999999996</c:v>
                </c:pt>
                <c:pt idx="583" formatCode="0">
                  <c:v>57.408149999999999</c:v>
                </c:pt>
                <c:pt idx="584" formatCode="0">
                  <c:v>57.381319999999995</c:v>
                </c:pt>
                <c:pt idx="585" formatCode="0">
                  <c:v>57.381319999999995</c:v>
                </c:pt>
                <c:pt idx="586" formatCode="0">
                  <c:v>57.381319999999995</c:v>
                </c:pt>
                <c:pt idx="587" formatCode="0">
                  <c:v>57.381319999999995</c:v>
                </c:pt>
                <c:pt idx="588" formatCode="0">
                  <c:v>57.381319999999995</c:v>
                </c:pt>
                <c:pt idx="589" formatCode="0">
                  <c:v>57.381319999999995</c:v>
                </c:pt>
                <c:pt idx="590" formatCode="0">
                  <c:v>46.592160000000007</c:v>
                </c:pt>
                <c:pt idx="591" formatCode="0">
                  <c:v>45.503630000000001</c:v>
                </c:pt>
                <c:pt idx="592" formatCode="0">
                  <c:v>46.493419999999993</c:v>
                </c:pt>
                <c:pt idx="593" formatCode="0">
                  <c:v>46.506610000000002</c:v>
                </c:pt>
                <c:pt idx="594" formatCode="0">
                  <c:v>46.620849999999997</c:v>
                </c:pt>
                <c:pt idx="595" formatCode="0">
                  <c:v>46.67474</c:v>
                </c:pt>
                <c:pt idx="596" formatCode="0">
                  <c:v>47.234570000000005</c:v>
                </c:pt>
                <c:pt idx="597" formatCode="0">
                  <c:v>47.234570000000005</c:v>
                </c:pt>
                <c:pt idx="598" formatCode="0">
                  <c:v>47.234570000000005</c:v>
                </c:pt>
                <c:pt idx="599" formatCode="0">
                  <c:v>48.344759999999994</c:v>
                </c:pt>
                <c:pt idx="600" formatCode="0">
                  <c:v>48.344759999999994</c:v>
                </c:pt>
                <c:pt idx="601" formatCode="0">
                  <c:v>46.694949999999999</c:v>
                </c:pt>
                <c:pt idx="602" formatCode="0">
                  <c:v>46.694949999999999</c:v>
                </c:pt>
                <c:pt idx="603" formatCode="0">
                  <c:v>46.592150000000004</c:v>
                </c:pt>
                <c:pt idx="604" formatCode="0">
                  <c:v>46.605020000000003</c:v>
                </c:pt>
                <c:pt idx="605" formatCode="0">
                  <c:v>47.174930000000003</c:v>
                </c:pt>
                <c:pt idx="606" formatCode="0">
                  <c:v>47.0899</c:v>
                </c:pt>
                <c:pt idx="607" formatCode="0">
                  <c:v>47.050290000000004</c:v>
                </c:pt>
                <c:pt idx="608" formatCode="0">
                  <c:v>47.050290000000004</c:v>
                </c:pt>
                <c:pt idx="609" formatCode="0">
                  <c:v>47.034770000000002</c:v>
                </c:pt>
                <c:pt idx="610" formatCode="0">
                  <c:v>48.642499999999998</c:v>
                </c:pt>
                <c:pt idx="611" formatCode="0">
                  <c:v>49.716340000000002</c:v>
                </c:pt>
                <c:pt idx="612" formatCode="0">
                  <c:v>50.116329999999998</c:v>
                </c:pt>
                <c:pt idx="613" formatCode="0">
                  <c:v>50.116329999999998</c:v>
                </c:pt>
                <c:pt idx="614" formatCode="0">
                  <c:v>48.505919999999996</c:v>
                </c:pt>
                <c:pt idx="615" formatCode="0">
                  <c:v>48.304899999999996</c:v>
                </c:pt>
                <c:pt idx="616" formatCode="0">
                  <c:v>47.617969999999993</c:v>
                </c:pt>
                <c:pt idx="617" formatCode="0">
                  <c:v>47.763480000000001</c:v>
                </c:pt>
                <c:pt idx="618" formatCode="0">
                  <c:v>47.513419999999996</c:v>
                </c:pt>
                <c:pt idx="619" formatCode="0">
                  <c:v>47.513419999999996</c:v>
                </c:pt>
                <c:pt idx="620" formatCode="0">
                  <c:v>49.344160000000002</c:v>
                </c:pt>
                <c:pt idx="621" formatCode="0">
                  <c:v>50.400959999999998</c:v>
                </c:pt>
                <c:pt idx="622" formatCode="0">
                  <c:v>50.089179999999999</c:v>
                </c:pt>
                <c:pt idx="623" formatCode="0">
                  <c:v>46.458909999999996</c:v>
                </c:pt>
                <c:pt idx="624" formatCode="0">
                  <c:v>46.726130000000005</c:v>
                </c:pt>
                <c:pt idx="625" formatCode="0">
                  <c:v>46.721379999999996</c:v>
                </c:pt>
                <c:pt idx="626" formatCode="0">
                  <c:v>46.635759999999998</c:v>
                </c:pt>
                <c:pt idx="627" formatCode="0">
                  <c:v>45.733800000000002</c:v>
                </c:pt>
                <c:pt idx="628" formatCode="0">
                  <c:v>45.129489999999997</c:v>
                </c:pt>
                <c:pt idx="629" formatCode="0">
                  <c:v>45.129489999999997</c:v>
                </c:pt>
                <c:pt idx="630" formatCode="0">
                  <c:v>45.476790000000001</c:v>
                </c:pt>
                <c:pt idx="631" formatCode="0">
                  <c:v>45.476790000000001</c:v>
                </c:pt>
                <c:pt idx="632" formatCode="0">
                  <c:v>45.476790000000001</c:v>
                </c:pt>
                <c:pt idx="633" formatCode="0">
                  <c:v>43.82244</c:v>
                </c:pt>
                <c:pt idx="634" formatCode="0">
                  <c:v>43.775439999999996</c:v>
                </c:pt>
                <c:pt idx="635" formatCode="0">
                  <c:v>43.760290000000005</c:v>
                </c:pt>
                <c:pt idx="636" formatCode="0">
                  <c:v>44.173220000000001</c:v>
                </c:pt>
                <c:pt idx="637" formatCode="0">
                  <c:v>44.902320000000003</c:v>
                </c:pt>
                <c:pt idx="638" formatCode="0">
                  <c:v>45.092290000000006</c:v>
                </c:pt>
                <c:pt idx="639" formatCode="0">
                  <c:v>45.985559999999992</c:v>
                </c:pt>
                <c:pt idx="640" formatCode="0">
                  <c:v>45.561239999999998</c:v>
                </c:pt>
                <c:pt idx="641" formatCode="0">
                  <c:v>45.625079999999997</c:v>
                </c:pt>
                <c:pt idx="642" formatCode="0">
                  <c:v>45.226970000000001</c:v>
                </c:pt>
                <c:pt idx="643" formatCode="0">
                  <c:v>45.252229999999997</c:v>
                </c:pt>
                <c:pt idx="644" formatCode="0">
                  <c:v>45.052600000000005</c:v>
                </c:pt>
                <c:pt idx="645" formatCode="0">
                  <c:v>45.189019999999999</c:v>
                </c:pt>
                <c:pt idx="646" formatCode="0">
                  <c:v>45.37265</c:v>
                </c:pt>
                <c:pt idx="647" formatCode="0">
                  <c:v>44.897449999999999</c:v>
                </c:pt>
                <c:pt idx="648" formatCode="0">
                  <c:v>44.826149999999998</c:v>
                </c:pt>
                <c:pt idx="649" formatCode="0">
                  <c:v>44.839790000000001</c:v>
                </c:pt>
                <c:pt idx="650" formatCode="0">
                  <c:v>43.297929999999994</c:v>
                </c:pt>
                <c:pt idx="651" formatCode="0">
                  <c:v>43.622929999999997</c:v>
                </c:pt>
                <c:pt idx="652" formatCode="0">
                  <c:v>43.737859999999998</c:v>
                </c:pt>
                <c:pt idx="653" formatCode="0">
                  <c:v>43.737859999999998</c:v>
                </c:pt>
                <c:pt idx="654" formatCode="0">
                  <c:v>43.737859999999998</c:v>
                </c:pt>
                <c:pt idx="655" formatCode="0">
                  <c:v>43.737859999999998</c:v>
                </c:pt>
                <c:pt idx="656" formatCode="0">
                  <c:v>45.449309999999997</c:v>
                </c:pt>
                <c:pt idx="657" formatCode="0">
                  <c:v>45.369799999999998</c:v>
                </c:pt>
                <c:pt idx="658" formatCode="0">
                  <c:v>45.369799999999998</c:v>
                </c:pt>
                <c:pt idx="659" formatCode="0">
                  <c:v>45.369799999999998</c:v>
                </c:pt>
                <c:pt idx="660" formatCode="0">
                  <c:v>44.54813</c:v>
                </c:pt>
                <c:pt idx="661" formatCode="0">
                  <c:v>45.54186</c:v>
                </c:pt>
                <c:pt idx="662" formatCode="0">
                  <c:v>45.839190000000002</c:v>
                </c:pt>
                <c:pt idx="663" formatCode="0">
                  <c:v>45.619769999999995</c:v>
                </c:pt>
                <c:pt idx="664" formatCode="0">
                  <c:v>45.41901</c:v>
                </c:pt>
                <c:pt idx="665" formatCode="0">
                  <c:v>47.317869999999999</c:v>
                </c:pt>
                <c:pt idx="666" formatCode="0">
                  <c:v>47.078280000000007</c:v>
                </c:pt>
                <c:pt idx="667" formatCode="0">
                  <c:v>50.829909999999998</c:v>
                </c:pt>
                <c:pt idx="668" formatCode="0">
                  <c:v>55.022460000000002</c:v>
                </c:pt>
                <c:pt idx="669" formatCode="0">
                  <c:v>55.022460000000002</c:v>
                </c:pt>
                <c:pt idx="670" formatCode="0">
                  <c:v>55.022460000000002</c:v>
                </c:pt>
                <c:pt idx="671" formatCode="0">
                  <c:v>54.424390000000002</c:v>
                </c:pt>
                <c:pt idx="672" formatCode="0">
                  <c:v>54.058329999999998</c:v>
                </c:pt>
                <c:pt idx="673" formatCode="0">
                  <c:v>54.058329999999998</c:v>
                </c:pt>
                <c:pt idx="674" formatCode="0">
                  <c:v>54.116409999999995</c:v>
                </c:pt>
                <c:pt idx="675" formatCode="0">
                  <c:v>54.116409999999995</c:v>
                </c:pt>
                <c:pt idx="676" formatCode="0">
                  <c:v>54.116409999999995</c:v>
                </c:pt>
                <c:pt idx="677" formatCode="0">
                  <c:v>54.116409999999995</c:v>
                </c:pt>
                <c:pt idx="678" formatCode="0">
                  <c:v>54.116409999999995</c:v>
                </c:pt>
                <c:pt idx="679" formatCode="0">
                  <c:v>54.116409999999995</c:v>
                </c:pt>
                <c:pt idx="680" formatCode="0">
                  <c:v>54.116409999999995</c:v>
                </c:pt>
                <c:pt idx="681" formatCode="0">
                  <c:v>54.116409999999995</c:v>
                </c:pt>
                <c:pt idx="682" formatCode="0">
                  <c:v>49.511159999999997</c:v>
                </c:pt>
                <c:pt idx="683" formatCode="0">
                  <c:v>48.698299999999996</c:v>
                </c:pt>
                <c:pt idx="684" formatCode="0">
                  <c:v>46.0122</c:v>
                </c:pt>
                <c:pt idx="685" formatCode="0">
                  <c:v>45.720339999999993</c:v>
                </c:pt>
                <c:pt idx="686" formatCode="0">
                  <c:v>45.461580000000005</c:v>
                </c:pt>
                <c:pt idx="687" formatCode="0">
                  <c:v>45.416559999999997</c:v>
                </c:pt>
                <c:pt idx="688" formatCode="0">
                  <c:v>43.595510000000004</c:v>
                </c:pt>
                <c:pt idx="689" formatCode="0">
                  <c:v>38.886200000000002</c:v>
                </c:pt>
                <c:pt idx="690" formatCode="0">
                  <c:v>38.605690000000003</c:v>
                </c:pt>
                <c:pt idx="691" formatCode="0">
                  <c:v>38.605690000000003</c:v>
                </c:pt>
                <c:pt idx="692" formatCode="0">
                  <c:v>38.605690000000003</c:v>
                </c:pt>
                <c:pt idx="693" formatCode="0">
                  <c:v>38.605690000000003</c:v>
                </c:pt>
                <c:pt idx="694" formatCode="0">
                  <c:v>38.605690000000003</c:v>
                </c:pt>
                <c:pt idx="695" formatCode="0">
                  <c:v>38.605690000000003</c:v>
                </c:pt>
                <c:pt idx="696" formatCode="0">
                  <c:v>38.605690000000003</c:v>
                </c:pt>
                <c:pt idx="697" formatCode="0">
                  <c:v>38.605690000000003</c:v>
                </c:pt>
                <c:pt idx="698" formatCode="0">
                  <c:v>38.605690000000003</c:v>
                </c:pt>
                <c:pt idx="699" formatCode="0">
                  <c:v>38.605690000000003</c:v>
                </c:pt>
                <c:pt idx="700" formatCode="0">
                  <c:v>32.539929999999998</c:v>
                </c:pt>
                <c:pt idx="701" formatCode="0">
                  <c:v>32.420360000000002</c:v>
                </c:pt>
                <c:pt idx="702" formatCode="0">
                  <c:v>32.420360000000002</c:v>
                </c:pt>
                <c:pt idx="703" formatCode="0">
                  <c:v>31.300830000000001</c:v>
                </c:pt>
                <c:pt idx="704" formatCode="0">
                  <c:v>29.747519999999998</c:v>
                </c:pt>
                <c:pt idx="705" formatCode="0">
                  <c:v>29.99897</c:v>
                </c:pt>
                <c:pt idx="706" formatCode="0">
                  <c:v>29.994980000000002</c:v>
                </c:pt>
                <c:pt idx="707" formatCode="0">
                  <c:v>29.939720000000001</c:v>
                </c:pt>
              </c:numCache>
            </c:numRef>
          </c:val>
          <c:smooth val="0"/>
          <c:extLst>
            <c:ext xmlns:c16="http://schemas.microsoft.com/office/drawing/2014/chart" uri="{C3380CC4-5D6E-409C-BE32-E72D297353CC}">
              <c16:uniqueId val="{00000007-F31E-4170-9322-6C48FF56580E}"/>
            </c:ext>
          </c:extLst>
        </c:ser>
        <c:ser>
          <c:idx val="8"/>
          <c:order val="8"/>
          <c:tx>
            <c:strRef>
              <c:f>Sheet1!$J$1</c:f>
              <c:strCache>
                <c:ptCount val="1"/>
                <c:pt idx="0">
                  <c:v>Ուկրաինա ( 2033 թ.), աջ առանցք</c:v>
                </c:pt>
              </c:strCache>
            </c:strRef>
          </c:tx>
          <c:spPr>
            <a:ln w="19050" cap="rnd">
              <a:solidFill>
                <a:schemeClr val="accent3">
                  <a:lumMod val="60000"/>
                </a:schemeClr>
              </a:solidFill>
              <a:round/>
            </a:ln>
            <a:effectLst/>
          </c:spPr>
          <c:marker>
            <c:symbol val="none"/>
          </c:marker>
          <c:cat>
            <c:numRef>
              <c:f>Sheet1!$A$2:$A$971</c:f>
              <c:numCache>
                <c:formatCode>m\/d\/yyyy</c:formatCode>
                <c:ptCount val="709"/>
                <c:pt idx="0">
                  <c:v>43831</c:v>
                </c:pt>
                <c:pt idx="1">
                  <c:v>43832</c:v>
                </c:pt>
                <c:pt idx="2">
                  <c:v>43833</c:v>
                </c:pt>
                <c:pt idx="3">
                  <c:v>43836</c:v>
                </c:pt>
                <c:pt idx="4">
                  <c:v>43837</c:v>
                </c:pt>
                <c:pt idx="5">
                  <c:v>43838</c:v>
                </c:pt>
                <c:pt idx="6">
                  <c:v>43839</c:v>
                </c:pt>
                <c:pt idx="7">
                  <c:v>43840</c:v>
                </c:pt>
                <c:pt idx="8">
                  <c:v>43843</c:v>
                </c:pt>
                <c:pt idx="9">
                  <c:v>43844</c:v>
                </c:pt>
                <c:pt idx="10">
                  <c:v>43845</c:v>
                </c:pt>
                <c:pt idx="11">
                  <c:v>43846</c:v>
                </c:pt>
                <c:pt idx="12">
                  <c:v>43847</c:v>
                </c:pt>
                <c:pt idx="13">
                  <c:v>43850</c:v>
                </c:pt>
                <c:pt idx="14">
                  <c:v>43851</c:v>
                </c:pt>
                <c:pt idx="15">
                  <c:v>43852</c:v>
                </c:pt>
                <c:pt idx="16">
                  <c:v>43853</c:v>
                </c:pt>
                <c:pt idx="17">
                  <c:v>43854</c:v>
                </c:pt>
                <c:pt idx="18">
                  <c:v>43857</c:v>
                </c:pt>
                <c:pt idx="19">
                  <c:v>43858</c:v>
                </c:pt>
                <c:pt idx="20">
                  <c:v>43859</c:v>
                </c:pt>
                <c:pt idx="21">
                  <c:v>43860</c:v>
                </c:pt>
                <c:pt idx="22">
                  <c:v>43861</c:v>
                </c:pt>
                <c:pt idx="23">
                  <c:v>43864</c:v>
                </c:pt>
                <c:pt idx="24">
                  <c:v>43865</c:v>
                </c:pt>
                <c:pt idx="25">
                  <c:v>43866</c:v>
                </c:pt>
                <c:pt idx="26">
                  <c:v>43867</c:v>
                </c:pt>
                <c:pt idx="27">
                  <c:v>43868</c:v>
                </c:pt>
                <c:pt idx="28">
                  <c:v>43871</c:v>
                </c:pt>
                <c:pt idx="29">
                  <c:v>43872</c:v>
                </c:pt>
                <c:pt idx="30">
                  <c:v>43873</c:v>
                </c:pt>
                <c:pt idx="31">
                  <c:v>43874</c:v>
                </c:pt>
                <c:pt idx="32">
                  <c:v>43875</c:v>
                </c:pt>
                <c:pt idx="33">
                  <c:v>43878</c:v>
                </c:pt>
                <c:pt idx="34">
                  <c:v>43879</c:v>
                </c:pt>
                <c:pt idx="35">
                  <c:v>43880</c:v>
                </c:pt>
                <c:pt idx="36">
                  <c:v>43881</c:v>
                </c:pt>
                <c:pt idx="37">
                  <c:v>43882</c:v>
                </c:pt>
                <c:pt idx="38">
                  <c:v>43885</c:v>
                </c:pt>
                <c:pt idx="39">
                  <c:v>43886</c:v>
                </c:pt>
                <c:pt idx="40">
                  <c:v>43887</c:v>
                </c:pt>
                <c:pt idx="41">
                  <c:v>43888</c:v>
                </c:pt>
                <c:pt idx="42">
                  <c:v>43889</c:v>
                </c:pt>
                <c:pt idx="43">
                  <c:v>43892</c:v>
                </c:pt>
                <c:pt idx="44">
                  <c:v>43893</c:v>
                </c:pt>
                <c:pt idx="45">
                  <c:v>43894</c:v>
                </c:pt>
                <c:pt idx="46">
                  <c:v>43895</c:v>
                </c:pt>
                <c:pt idx="47">
                  <c:v>43896</c:v>
                </c:pt>
                <c:pt idx="48">
                  <c:v>43899</c:v>
                </c:pt>
                <c:pt idx="49">
                  <c:v>43900</c:v>
                </c:pt>
                <c:pt idx="50">
                  <c:v>43901</c:v>
                </c:pt>
                <c:pt idx="51">
                  <c:v>43902</c:v>
                </c:pt>
                <c:pt idx="52">
                  <c:v>43903</c:v>
                </c:pt>
                <c:pt idx="53">
                  <c:v>43906</c:v>
                </c:pt>
                <c:pt idx="54">
                  <c:v>43907</c:v>
                </c:pt>
                <c:pt idx="55">
                  <c:v>43908</c:v>
                </c:pt>
                <c:pt idx="56">
                  <c:v>43909</c:v>
                </c:pt>
                <c:pt idx="57">
                  <c:v>43910</c:v>
                </c:pt>
                <c:pt idx="58">
                  <c:v>43913</c:v>
                </c:pt>
                <c:pt idx="59">
                  <c:v>43914</c:v>
                </c:pt>
                <c:pt idx="60">
                  <c:v>43915</c:v>
                </c:pt>
                <c:pt idx="61">
                  <c:v>43916</c:v>
                </c:pt>
                <c:pt idx="62">
                  <c:v>43917</c:v>
                </c:pt>
                <c:pt idx="63">
                  <c:v>43920</c:v>
                </c:pt>
                <c:pt idx="64">
                  <c:v>43921</c:v>
                </c:pt>
                <c:pt idx="65">
                  <c:v>43922</c:v>
                </c:pt>
                <c:pt idx="66">
                  <c:v>43923</c:v>
                </c:pt>
                <c:pt idx="67">
                  <c:v>43924</c:v>
                </c:pt>
                <c:pt idx="68">
                  <c:v>43927</c:v>
                </c:pt>
                <c:pt idx="69">
                  <c:v>43928</c:v>
                </c:pt>
                <c:pt idx="70">
                  <c:v>43929</c:v>
                </c:pt>
                <c:pt idx="71">
                  <c:v>43930</c:v>
                </c:pt>
                <c:pt idx="72">
                  <c:v>43931</c:v>
                </c:pt>
                <c:pt idx="73">
                  <c:v>43934</c:v>
                </c:pt>
                <c:pt idx="74">
                  <c:v>43935</c:v>
                </c:pt>
                <c:pt idx="75">
                  <c:v>43936</c:v>
                </c:pt>
                <c:pt idx="76">
                  <c:v>43937</c:v>
                </c:pt>
                <c:pt idx="77">
                  <c:v>43938</c:v>
                </c:pt>
                <c:pt idx="78">
                  <c:v>43941</c:v>
                </c:pt>
                <c:pt idx="79">
                  <c:v>43942</c:v>
                </c:pt>
                <c:pt idx="80">
                  <c:v>43943</c:v>
                </c:pt>
                <c:pt idx="81">
                  <c:v>43944</c:v>
                </c:pt>
                <c:pt idx="82">
                  <c:v>43945</c:v>
                </c:pt>
                <c:pt idx="83">
                  <c:v>43948</c:v>
                </c:pt>
                <c:pt idx="84">
                  <c:v>43949</c:v>
                </c:pt>
                <c:pt idx="85">
                  <c:v>43950</c:v>
                </c:pt>
                <c:pt idx="86">
                  <c:v>43951</c:v>
                </c:pt>
                <c:pt idx="87">
                  <c:v>43952</c:v>
                </c:pt>
                <c:pt idx="88">
                  <c:v>43955</c:v>
                </c:pt>
                <c:pt idx="89">
                  <c:v>43956</c:v>
                </c:pt>
                <c:pt idx="90">
                  <c:v>43957</c:v>
                </c:pt>
                <c:pt idx="91">
                  <c:v>43958</c:v>
                </c:pt>
                <c:pt idx="92">
                  <c:v>43959</c:v>
                </c:pt>
                <c:pt idx="93">
                  <c:v>43962</c:v>
                </c:pt>
                <c:pt idx="94">
                  <c:v>43963</c:v>
                </c:pt>
                <c:pt idx="95">
                  <c:v>43964</c:v>
                </c:pt>
                <c:pt idx="96">
                  <c:v>43965</c:v>
                </c:pt>
                <c:pt idx="97">
                  <c:v>43966</c:v>
                </c:pt>
                <c:pt idx="98">
                  <c:v>43969</c:v>
                </c:pt>
                <c:pt idx="99">
                  <c:v>43970</c:v>
                </c:pt>
                <c:pt idx="100">
                  <c:v>43971</c:v>
                </c:pt>
                <c:pt idx="101">
                  <c:v>43972</c:v>
                </c:pt>
                <c:pt idx="102">
                  <c:v>43973</c:v>
                </c:pt>
                <c:pt idx="103">
                  <c:v>43976</c:v>
                </c:pt>
                <c:pt idx="104">
                  <c:v>43977</c:v>
                </c:pt>
                <c:pt idx="105">
                  <c:v>43978</c:v>
                </c:pt>
                <c:pt idx="106">
                  <c:v>43979</c:v>
                </c:pt>
                <c:pt idx="107">
                  <c:v>43980</c:v>
                </c:pt>
                <c:pt idx="108">
                  <c:v>43983</c:v>
                </c:pt>
                <c:pt idx="109">
                  <c:v>43984</c:v>
                </c:pt>
                <c:pt idx="110">
                  <c:v>43985</c:v>
                </c:pt>
                <c:pt idx="111">
                  <c:v>43986</c:v>
                </c:pt>
                <c:pt idx="112">
                  <c:v>43987</c:v>
                </c:pt>
                <c:pt idx="113">
                  <c:v>43990</c:v>
                </c:pt>
                <c:pt idx="114">
                  <c:v>43991</c:v>
                </c:pt>
                <c:pt idx="115">
                  <c:v>43992</c:v>
                </c:pt>
                <c:pt idx="116">
                  <c:v>43993</c:v>
                </c:pt>
                <c:pt idx="117">
                  <c:v>43994</c:v>
                </c:pt>
                <c:pt idx="118">
                  <c:v>43997</c:v>
                </c:pt>
                <c:pt idx="119">
                  <c:v>43998</c:v>
                </c:pt>
                <c:pt idx="120">
                  <c:v>43999</c:v>
                </c:pt>
                <c:pt idx="121">
                  <c:v>44000</c:v>
                </c:pt>
                <c:pt idx="122">
                  <c:v>44001</c:v>
                </c:pt>
                <c:pt idx="123">
                  <c:v>44004</c:v>
                </c:pt>
                <c:pt idx="124">
                  <c:v>44005</c:v>
                </c:pt>
                <c:pt idx="125">
                  <c:v>44006</c:v>
                </c:pt>
                <c:pt idx="126">
                  <c:v>44007</c:v>
                </c:pt>
                <c:pt idx="127">
                  <c:v>44008</c:v>
                </c:pt>
                <c:pt idx="128">
                  <c:v>44011</c:v>
                </c:pt>
                <c:pt idx="129">
                  <c:v>44012</c:v>
                </c:pt>
                <c:pt idx="130">
                  <c:v>44013</c:v>
                </c:pt>
                <c:pt idx="131">
                  <c:v>44014</c:v>
                </c:pt>
                <c:pt idx="132">
                  <c:v>44015</c:v>
                </c:pt>
                <c:pt idx="133">
                  <c:v>44018</c:v>
                </c:pt>
                <c:pt idx="134">
                  <c:v>44019</c:v>
                </c:pt>
                <c:pt idx="135">
                  <c:v>44020</c:v>
                </c:pt>
                <c:pt idx="136">
                  <c:v>44021</c:v>
                </c:pt>
                <c:pt idx="137">
                  <c:v>44022</c:v>
                </c:pt>
                <c:pt idx="138">
                  <c:v>44025</c:v>
                </c:pt>
                <c:pt idx="139">
                  <c:v>44026</c:v>
                </c:pt>
                <c:pt idx="140">
                  <c:v>44027</c:v>
                </c:pt>
                <c:pt idx="141">
                  <c:v>44028</c:v>
                </c:pt>
                <c:pt idx="142">
                  <c:v>44029</c:v>
                </c:pt>
                <c:pt idx="143">
                  <c:v>44032</c:v>
                </c:pt>
                <c:pt idx="144">
                  <c:v>44033</c:v>
                </c:pt>
                <c:pt idx="145">
                  <c:v>44034</c:v>
                </c:pt>
                <c:pt idx="146">
                  <c:v>44035</c:v>
                </c:pt>
                <c:pt idx="147">
                  <c:v>44036</c:v>
                </c:pt>
                <c:pt idx="148">
                  <c:v>44039</c:v>
                </c:pt>
                <c:pt idx="149">
                  <c:v>44040</c:v>
                </c:pt>
                <c:pt idx="150">
                  <c:v>44041</c:v>
                </c:pt>
                <c:pt idx="151">
                  <c:v>44042</c:v>
                </c:pt>
                <c:pt idx="152">
                  <c:v>44043</c:v>
                </c:pt>
                <c:pt idx="153">
                  <c:v>44046</c:v>
                </c:pt>
                <c:pt idx="154">
                  <c:v>44047</c:v>
                </c:pt>
                <c:pt idx="155">
                  <c:v>44048</c:v>
                </c:pt>
                <c:pt idx="156">
                  <c:v>44049</c:v>
                </c:pt>
                <c:pt idx="157">
                  <c:v>44050</c:v>
                </c:pt>
                <c:pt idx="158">
                  <c:v>44053</c:v>
                </c:pt>
                <c:pt idx="159">
                  <c:v>44054</c:v>
                </c:pt>
                <c:pt idx="160">
                  <c:v>44055</c:v>
                </c:pt>
                <c:pt idx="161">
                  <c:v>44056</c:v>
                </c:pt>
                <c:pt idx="162">
                  <c:v>44057</c:v>
                </c:pt>
                <c:pt idx="163">
                  <c:v>44060</c:v>
                </c:pt>
                <c:pt idx="164">
                  <c:v>44061</c:v>
                </c:pt>
                <c:pt idx="165">
                  <c:v>44062</c:v>
                </c:pt>
                <c:pt idx="166">
                  <c:v>44063</c:v>
                </c:pt>
                <c:pt idx="167">
                  <c:v>44064</c:v>
                </c:pt>
                <c:pt idx="168">
                  <c:v>44067</c:v>
                </c:pt>
                <c:pt idx="169">
                  <c:v>44068</c:v>
                </c:pt>
                <c:pt idx="170">
                  <c:v>44069</c:v>
                </c:pt>
                <c:pt idx="171">
                  <c:v>44070</c:v>
                </c:pt>
                <c:pt idx="172">
                  <c:v>44071</c:v>
                </c:pt>
                <c:pt idx="173">
                  <c:v>44074</c:v>
                </c:pt>
                <c:pt idx="174">
                  <c:v>44075</c:v>
                </c:pt>
                <c:pt idx="175">
                  <c:v>44076</c:v>
                </c:pt>
                <c:pt idx="176">
                  <c:v>44077</c:v>
                </c:pt>
                <c:pt idx="177">
                  <c:v>44078</c:v>
                </c:pt>
                <c:pt idx="178">
                  <c:v>44081</c:v>
                </c:pt>
                <c:pt idx="179">
                  <c:v>44082</c:v>
                </c:pt>
                <c:pt idx="180">
                  <c:v>44083</c:v>
                </c:pt>
                <c:pt idx="181">
                  <c:v>44084</c:v>
                </c:pt>
                <c:pt idx="182">
                  <c:v>44085</c:v>
                </c:pt>
                <c:pt idx="183">
                  <c:v>44088</c:v>
                </c:pt>
                <c:pt idx="184">
                  <c:v>44089</c:v>
                </c:pt>
                <c:pt idx="185">
                  <c:v>44090</c:v>
                </c:pt>
                <c:pt idx="186">
                  <c:v>44091</c:v>
                </c:pt>
                <c:pt idx="187">
                  <c:v>44092</c:v>
                </c:pt>
                <c:pt idx="188">
                  <c:v>44095</c:v>
                </c:pt>
                <c:pt idx="189">
                  <c:v>44096</c:v>
                </c:pt>
                <c:pt idx="190">
                  <c:v>44097</c:v>
                </c:pt>
                <c:pt idx="191">
                  <c:v>44098</c:v>
                </c:pt>
                <c:pt idx="192">
                  <c:v>44099</c:v>
                </c:pt>
                <c:pt idx="193">
                  <c:v>44102</c:v>
                </c:pt>
                <c:pt idx="194">
                  <c:v>44103</c:v>
                </c:pt>
                <c:pt idx="195">
                  <c:v>44104</c:v>
                </c:pt>
                <c:pt idx="196">
                  <c:v>44105</c:v>
                </c:pt>
                <c:pt idx="197">
                  <c:v>44106</c:v>
                </c:pt>
                <c:pt idx="198">
                  <c:v>44109</c:v>
                </c:pt>
                <c:pt idx="199">
                  <c:v>44110</c:v>
                </c:pt>
                <c:pt idx="200">
                  <c:v>44111</c:v>
                </c:pt>
                <c:pt idx="201">
                  <c:v>44112</c:v>
                </c:pt>
                <c:pt idx="202">
                  <c:v>44113</c:v>
                </c:pt>
                <c:pt idx="203">
                  <c:v>44116</c:v>
                </c:pt>
                <c:pt idx="204">
                  <c:v>44117</c:v>
                </c:pt>
                <c:pt idx="205">
                  <c:v>44118</c:v>
                </c:pt>
                <c:pt idx="206">
                  <c:v>44119</c:v>
                </c:pt>
                <c:pt idx="207">
                  <c:v>44120</c:v>
                </c:pt>
                <c:pt idx="208">
                  <c:v>44123</c:v>
                </c:pt>
                <c:pt idx="209">
                  <c:v>44124</c:v>
                </c:pt>
                <c:pt idx="210">
                  <c:v>44125</c:v>
                </c:pt>
                <c:pt idx="211">
                  <c:v>44126</c:v>
                </c:pt>
                <c:pt idx="212">
                  <c:v>44127</c:v>
                </c:pt>
                <c:pt idx="213">
                  <c:v>44130</c:v>
                </c:pt>
                <c:pt idx="214">
                  <c:v>44131</c:v>
                </c:pt>
                <c:pt idx="215">
                  <c:v>44132</c:v>
                </c:pt>
                <c:pt idx="216">
                  <c:v>44133</c:v>
                </c:pt>
                <c:pt idx="217">
                  <c:v>44134</c:v>
                </c:pt>
                <c:pt idx="218">
                  <c:v>44137</c:v>
                </c:pt>
                <c:pt idx="219">
                  <c:v>44138</c:v>
                </c:pt>
                <c:pt idx="220">
                  <c:v>44139</c:v>
                </c:pt>
                <c:pt idx="221">
                  <c:v>44140</c:v>
                </c:pt>
                <c:pt idx="222">
                  <c:v>44141</c:v>
                </c:pt>
                <c:pt idx="223">
                  <c:v>44144</c:v>
                </c:pt>
                <c:pt idx="224">
                  <c:v>44145</c:v>
                </c:pt>
                <c:pt idx="225">
                  <c:v>44146</c:v>
                </c:pt>
                <c:pt idx="226">
                  <c:v>44147</c:v>
                </c:pt>
                <c:pt idx="227">
                  <c:v>44148</c:v>
                </c:pt>
                <c:pt idx="228">
                  <c:v>44151</c:v>
                </c:pt>
                <c:pt idx="229">
                  <c:v>44152</c:v>
                </c:pt>
                <c:pt idx="230">
                  <c:v>44153</c:v>
                </c:pt>
                <c:pt idx="231">
                  <c:v>44154</c:v>
                </c:pt>
                <c:pt idx="232">
                  <c:v>44155</c:v>
                </c:pt>
                <c:pt idx="233">
                  <c:v>44158</c:v>
                </c:pt>
                <c:pt idx="234">
                  <c:v>44159</c:v>
                </c:pt>
                <c:pt idx="235">
                  <c:v>44160</c:v>
                </c:pt>
                <c:pt idx="236">
                  <c:v>44161</c:v>
                </c:pt>
                <c:pt idx="237">
                  <c:v>44162</c:v>
                </c:pt>
                <c:pt idx="238">
                  <c:v>44165</c:v>
                </c:pt>
                <c:pt idx="239">
                  <c:v>44166</c:v>
                </c:pt>
                <c:pt idx="240">
                  <c:v>44167</c:v>
                </c:pt>
                <c:pt idx="241">
                  <c:v>44168</c:v>
                </c:pt>
                <c:pt idx="242">
                  <c:v>44169</c:v>
                </c:pt>
                <c:pt idx="243">
                  <c:v>44172</c:v>
                </c:pt>
                <c:pt idx="244">
                  <c:v>44173</c:v>
                </c:pt>
                <c:pt idx="245">
                  <c:v>44174</c:v>
                </c:pt>
                <c:pt idx="246">
                  <c:v>44175</c:v>
                </c:pt>
                <c:pt idx="247">
                  <c:v>44176</c:v>
                </c:pt>
                <c:pt idx="248">
                  <c:v>44179</c:v>
                </c:pt>
                <c:pt idx="249">
                  <c:v>44180</c:v>
                </c:pt>
                <c:pt idx="250">
                  <c:v>44181</c:v>
                </c:pt>
                <c:pt idx="251">
                  <c:v>44182</c:v>
                </c:pt>
                <c:pt idx="252">
                  <c:v>44183</c:v>
                </c:pt>
                <c:pt idx="253">
                  <c:v>44186</c:v>
                </c:pt>
                <c:pt idx="254">
                  <c:v>44187</c:v>
                </c:pt>
                <c:pt idx="255">
                  <c:v>44188</c:v>
                </c:pt>
                <c:pt idx="256">
                  <c:v>44189</c:v>
                </c:pt>
                <c:pt idx="257">
                  <c:v>44190</c:v>
                </c:pt>
                <c:pt idx="258">
                  <c:v>44193</c:v>
                </c:pt>
                <c:pt idx="259">
                  <c:v>44194</c:v>
                </c:pt>
                <c:pt idx="260">
                  <c:v>44195</c:v>
                </c:pt>
                <c:pt idx="261">
                  <c:v>44196</c:v>
                </c:pt>
                <c:pt idx="262">
                  <c:v>44197</c:v>
                </c:pt>
                <c:pt idx="263">
                  <c:v>44200</c:v>
                </c:pt>
                <c:pt idx="264">
                  <c:v>44201</c:v>
                </c:pt>
                <c:pt idx="265">
                  <c:v>44202</c:v>
                </c:pt>
                <c:pt idx="266">
                  <c:v>44203</c:v>
                </c:pt>
                <c:pt idx="267">
                  <c:v>44204</c:v>
                </c:pt>
                <c:pt idx="268">
                  <c:v>44207</c:v>
                </c:pt>
                <c:pt idx="269">
                  <c:v>44208</c:v>
                </c:pt>
                <c:pt idx="270">
                  <c:v>44209</c:v>
                </c:pt>
                <c:pt idx="271">
                  <c:v>44210</c:v>
                </c:pt>
                <c:pt idx="272">
                  <c:v>44211</c:v>
                </c:pt>
                <c:pt idx="273">
                  <c:v>44214</c:v>
                </c:pt>
                <c:pt idx="274">
                  <c:v>44215</c:v>
                </c:pt>
                <c:pt idx="275">
                  <c:v>44216</c:v>
                </c:pt>
                <c:pt idx="276">
                  <c:v>44217</c:v>
                </c:pt>
                <c:pt idx="277">
                  <c:v>44218</c:v>
                </c:pt>
                <c:pt idx="278">
                  <c:v>44221</c:v>
                </c:pt>
                <c:pt idx="279">
                  <c:v>44222</c:v>
                </c:pt>
                <c:pt idx="280">
                  <c:v>44223</c:v>
                </c:pt>
                <c:pt idx="281">
                  <c:v>44224</c:v>
                </c:pt>
                <c:pt idx="282">
                  <c:v>44225</c:v>
                </c:pt>
                <c:pt idx="283">
                  <c:v>44228</c:v>
                </c:pt>
                <c:pt idx="284">
                  <c:v>44229</c:v>
                </c:pt>
                <c:pt idx="285">
                  <c:v>44230</c:v>
                </c:pt>
                <c:pt idx="286">
                  <c:v>44231</c:v>
                </c:pt>
                <c:pt idx="287">
                  <c:v>44232</c:v>
                </c:pt>
                <c:pt idx="288">
                  <c:v>44235</c:v>
                </c:pt>
                <c:pt idx="289">
                  <c:v>44236</c:v>
                </c:pt>
                <c:pt idx="290">
                  <c:v>44237</c:v>
                </c:pt>
                <c:pt idx="291">
                  <c:v>44238</c:v>
                </c:pt>
                <c:pt idx="292">
                  <c:v>44239</c:v>
                </c:pt>
                <c:pt idx="293">
                  <c:v>44242</c:v>
                </c:pt>
                <c:pt idx="294">
                  <c:v>44243</c:v>
                </c:pt>
                <c:pt idx="295">
                  <c:v>44244</c:v>
                </c:pt>
                <c:pt idx="296">
                  <c:v>44245</c:v>
                </c:pt>
                <c:pt idx="297">
                  <c:v>44246</c:v>
                </c:pt>
                <c:pt idx="298">
                  <c:v>44249</c:v>
                </c:pt>
                <c:pt idx="299">
                  <c:v>44250</c:v>
                </c:pt>
                <c:pt idx="300">
                  <c:v>44251</c:v>
                </c:pt>
                <c:pt idx="301">
                  <c:v>44252</c:v>
                </c:pt>
                <c:pt idx="302">
                  <c:v>44253</c:v>
                </c:pt>
                <c:pt idx="303">
                  <c:v>44256</c:v>
                </c:pt>
                <c:pt idx="304">
                  <c:v>44257</c:v>
                </c:pt>
                <c:pt idx="305">
                  <c:v>44258</c:v>
                </c:pt>
                <c:pt idx="306">
                  <c:v>44259</c:v>
                </c:pt>
                <c:pt idx="307">
                  <c:v>44260</c:v>
                </c:pt>
                <c:pt idx="308">
                  <c:v>44263</c:v>
                </c:pt>
                <c:pt idx="309">
                  <c:v>44264</c:v>
                </c:pt>
                <c:pt idx="310">
                  <c:v>44265</c:v>
                </c:pt>
                <c:pt idx="311">
                  <c:v>44266</c:v>
                </c:pt>
                <c:pt idx="312">
                  <c:v>44267</c:v>
                </c:pt>
                <c:pt idx="313">
                  <c:v>44270</c:v>
                </c:pt>
                <c:pt idx="314">
                  <c:v>44271</c:v>
                </c:pt>
                <c:pt idx="315">
                  <c:v>44272</c:v>
                </c:pt>
                <c:pt idx="316">
                  <c:v>44273</c:v>
                </c:pt>
                <c:pt idx="317">
                  <c:v>44274</c:v>
                </c:pt>
                <c:pt idx="318">
                  <c:v>44277</c:v>
                </c:pt>
                <c:pt idx="319">
                  <c:v>44278</c:v>
                </c:pt>
                <c:pt idx="320">
                  <c:v>44279</c:v>
                </c:pt>
                <c:pt idx="321">
                  <c:v>44280</c:v>
                </c:pt>
                <c:pt idx="322">
                  <c:v>44281</c:v>
                </c:pt>
                <c:pt idx="323">
                  <c:v>44284</c:v>
                </c:pt>
                <c:pt idx="324">
                  <c:v>44285</c:v>
                </c:pt>
                <c:pt idx="325">
                  <c:v>44286</c:v>
                </c:pt>
                <c:pt idx="326">
                  <c:v>44287</c:v>
                </c:pt>
                <c:pt idx="327">
                  <c:v>44288</c:v>
                </c:pt>
                <c:pt idx="328">
                  <c:v>44291</c:v>
                </c:pt>
                <c:pt idx="329">
                  <c:v>44292</c:v>
                </c:pt>
                <c:pt idx="330">
                  <c:v>44293</c:v>
                </c:pt>
                <c:pt idx="331">
                  <c:v>44294</c:v>
                </c:pt>
                <c:pt idx="332">
                  <c:v>44295</c:v>
                </c:pt>
                <c:pt idx="333">
                  <c:v>44298</c:v>
                </c:pt>
                <c:pt idx="334">
                  <c:v>44299</c:v>
                </c:pt>
                <c:pt idx="335">
                  <c:v>44300</c:v>
                </c:pt>
                <c:pt idx="336">
                  <c:v>44301</c:v>
                </c:pt>
                <c:pt idx="337">
                  <c:v>44302</c:v>
                </c:pt>
                <c:pt idx="338">
                  <c:v>44305</c:v>
                </c:pt>
                <c:pt idx="339">
                  <c:v>44306</c:v>
                </c:pt>
                <c:pt idx="340">
                  <c:v>44307</c:v>
                </c:pt>
                <c:pt idx="341">
                  <c:v>44308</c:v>
                </c:pt>
                <c:pt idx="342">
                  <c:v>44309</c:v>
                </c:pt>
                <c:pt idx="343">
                  <c:v>44312</c:v>
                </c:pt>
                <c:pt idx="344">
                  <c:v>44313</c:v>
                </c:pt>
                <c:pt idx="345">
                  <c:v>44314</c:v>
                </c:pt>
                <c:pt idx="346">
                  <c:v>44315</c:v>
                </c:pt>
                <c:pt idx="347">
                  <c:v>44316</c:v>
                </c:pt>
                <c:pt idx="348">
                  <c:v>44319</c:v>
                </c:pt>
                <c:pt idx="349">
                  <c:v>44320</c:v>
                </c:pt>
                <c:pt idx="350">
                  <c:v>44321</c:v>
                </c:pt>
                <c:pt idx="351">
                  <c:v>44322</c:v>
                </c:pt>
                <c:pt idx="352">
                  <c:v>44323</c:v>
                </c:pt>
                <c:pt idx="353">
                  <c:v>44326</c:v>
                </c:pt>
                <c:pt idx="354">
                  <c:v>44327</c:v>
                </c:pt>
                <c:pt idx="355">
                  <c:v>44328</c:v>
                </c:pt>
                <c:pt idx="356">
                  <c:v>44329</c:v>
                </c:pt>
                <c:pt idx="357">
                  <c:v>44330</c:v>
                </c:pt>
                <c:pt idx="358">
                  <c:v>44333</c:v>
                </c:pt>
                <c:pt idx="359">
                  <c:v>44334</c:v>
                </c:pt>
                <c:pt idx="360">
                  <c:v>44335</c:v>
                </c:pt>
                <c:pt idx="361">
                  <c:v>44336</c:v>
                </c:pt>
                <c:pt idx="362">
                  <c:v>44337</c:v>
                </c:pt>
                <c:pt idx="363">
                  <c:v>44340</c:v>
                </c:pt>
                <c:pt idx="364">
                  <c:v>44341</c:v>
                </c:pt>
                <c:pt idx="365">
                  <c:v>44342</c:v>
                </c:pt>
                <c:pt idx="366">
                  <c:v>44343</c:v>
                </c:pt>
                <c:pt idx="367">
                  <c:v>44344</c:v>
                </c:pt>
                <c:pt idx="368">
                  <c:v>44347</c:v>
                </c:pt>
                <c:pt idx="369">
                  <c:v>44348</c:v>
                </c:pt>
                <c:pt idx="370">
                  <c:v>44349</c:v>
                </c:pt>
                <c:pt idx="371">
                  <c:v>44350</c:v>
                </c:pt>
                <c:pt idx="372">
                  <c:v>44351</c:v>
                </c:pt>
                <c:pt idx="373">
                  <c:v>44354</c:v>
                </c:pt>
                <c:pt idx="374">
                  <c:v>44355</c:v>
                </c:pt>
                <c:pt idx="375">
                  <c:v>44356</c:v>
                </c:pt>
                <c:pt idx="376">
                  <c:v>44357</c:v>
                </c:pt>
                <c:pt idx="377">
                  <c:v>44358</c:v>
                </c:pt>
                <c:pt idx="378">
                  <c:v>44361</c:v>
                </c:pt>
                <c:pt idx="379">
                  <c:v>44362</c:v>
                </c:pt>
                <c:pt idx="380">
                  <c:v>44363</c:v>
                </c:pt>
                <c:pt idx="381">
                  <c:v>44364</c:v>
                </c:pt>
                <c:pt idx="382">
                  <c:v>44365</c:v>
                </c:pt>
                <c:pt idx="383">
                  <c:v>44368</c:v>
                </c:pt>
                <c:pt idx="384">
                  <c:v>44369</c:v>
                </c:pt>
                <c:pt idx="385">
                  <c:v>44370</c:v>
                </c:pt>
                <c:pt idx="386">
                  <c:v>44371</c:v>
                </c:pt>
                <c:pt idx="387">
                  <c:v>44372</c:v>
                </c:pt>
                <c:pt idx="388">
                  <c:v>44375</c:v>
                </c:pt>
                <c:pt idx="389">
                  <c:v>44376</c:v>
                </c:pt>
                <c:pt idx="390">
                  <c:v>44377</c:v>
                </c:pt>
                <c:pt idx="391">
                  <c:v>44378</c:v>
                </c:pt>
                <c:pt idx="392">
                  <c:v>44379</c:v>
                </c:pt>
                <c:pt idx="393">
                  <c:v>44382</c:v>
                </c:pt>
                <c:pt idx="394">
                  <c:v>44383</c:v>
                </c:pt>
                <c:pt idx="395">
                  <c:v>44384</c:v>
                </c:pt>
                <c:pt idx="396">
                  <c:v>44385</c:v>
                </c:pt>
                <c:pt idx="397">
                  <c:v>44386</c:v>
                </c:pt>
                <c:pt idx="398">
                  <c:v>44389</c:v>
                </c:pt>
                <c:pt idx="399">
                  <c:v>44390</c:v>
                </c:pt>
                <c:pt idx="400">
                  <c:v>44391</c:v>
                </c:pt>
                <c:pt idx="401">
                  <c:v>44392</c:v>
                </c:pt>
                <c:pt idx="402">
                  <c:v>44393</c:v>
                </c:pt>
                <c:pt idx="403">
                  <c:v>44396</c:v>
                </c:pt>
                <c:pt idx="404">
                  <c:v>44397</c:v>
                </c:pt>
                <c:pt idx="405">
                  <c:v>44398</c:v>
                </c:pt>
                <c:pt idx="406">
                  <c:v>44399</c:v>
                </c:pt>
                <c:pt idx="407">
                  <c:v>44400</c:v>
                </c:pt>
                <c:pt idx="408">
                  <c:v>44403</c:v>
                </c:pt>
                <c:pt idx="409">
                  <c:v>44404</c:v>
                </c:pt>
                <c:pt idx="410">
                  <c:v>44405</c:v>
                </c:pt>
                <c:pt idx="411">
                  <c:v>44406</c:v>
                </c:pt>
                <c:pt idx="412">
                  <c:v>44407</c:v>
                </c:pt>
                <c:pt idx="413">
                  <c:v>44410</c:v>
                </c:pt>
                <c:pt idx="414">
                  <c:v>44411</c:v>
                </c:pt>
                <c:pt idx="415">
                  <c:v>44412</c:v>
                </c:pt>
                <c:pt idx="416">
                  <c:v>44413</c:v>
                </c:pt>
                <c:pt idx="417">
                  <c:v>44414</c:v>
                </c:pt>
                <c:pt idx="418">
                  <c:v>44417</c:v>
                </c:pt>
                <c:pt idx="419">
                  <c:v>44418</c:v>
                </c:pt>
                <c:pt idx="420">
                  <c:v>44419</c:v>
                </c:pt>
                <c:pt idx="421">
                  <c:v>44420</c:v>
                </c:pt>
                <c:pt idx="422">
                  <c:v>44421</c:v>
                </c:pt>
                <c:pt idx="423">
                  <c:v>44424</c:v>
                </c:pt>
                <c:pt idx="424">
                  <c:v>44425</c:v>
                </c:pt>
                <c:pt idx="425">
                  <c:v>44426</c:v>
                </c:pt>
                <c:pt idx="426">
                  <c:v>44427</c:v>
                </c:pt>
                <c:pt idx="427">
                  <c:v>44428</c:v>
                </c:pt>
                <c:pt idx="428">
                  <c:v>44431</c:v>
                </c:pt>
                <c:pt idx="429">
                  <c:v>44432</c:v>
                </c:pt>
                <c:pt idx="430">
                  <c:v>44433</c:v>
                </c:pt>
                <c:pt idx="431">
                  <c:v>44434</c:v>
                </c:pt>
                <c:pt idx="432">
                  <c:v>44435</c:v>
                </c:pt>
                <c:pt idx="433">
                  <c:v>44438</c:v>
                </c:pt>
                <c:pt idx="434">
                  <c:v>44439</c:v>
                </c:pt>
                <c:pt idx="435">
                  <c:v>44440</c:v>
                </c:pt>
                <c:pt idx="436">
                  <c:v>44441</c:v>
                </c:pt>
                <c:pt idx="437">
                  <c:v>44442</c:v>
                </c:pt>
                <c:pt idx="438">
                  <c:v>44445</c:v>
                </c:pt>
                <c:pt idx="439">
                  <c:v>44446</c:v>
                </c:pt>
                <c:pt idx="440">
                  <c:v>44447</c:v>
                </c:pt>
                <c:pt idx="441">
                  <c:v>44448</c:v>
                </c:pt>
                <c:pt idx="442">
                  <c:v>44449</c:v>
                </c:pt>
                <c:pt idx="443">
                  <c:v>44452</c:v>
                </c:pt>
                <c:pt idx="444">
                  <c:v>44453</c:v>
                </c:pt>
                <c:pt idx="445">
                  <c:v>44454</c:v>
                </c:pt>
                <c:pt idx="446">
                  <c:v>44455</c:v>
                </c:pt>
                <c:pt idx="447">
                  <c:v>44456</c:v>
                </c:pt>
                <c:pt idx="448">
                  <c:v>44459</c:v>
                </c:pt>
                <c:pt idx="449">
                  <c:v>44460</c:v>
                </c:pt>
                <c:pt idx="450">
                  <c:v>44461</c:v>
                </c:pt>
                <c:pt idx="451">
                  <c:v>44462</c:v>
                </c:pt>
                <c:pt idx="452">
                  <c:v>44463</c:v>
                </c:pt>
                <c:pt idx="453">
                  <c:v>44466</c:v>
                </c:pt>
                <c:pt idx="454">
                  <c:v>44467</c:v>
                </c:pt>
                <c:pt idx="455">
                  <c:v>44468</c:v>
                </c:pt>
                <c:pt idx="456">
                  <c:v>44469</c:v>
                </c:pt>
                <c:pt idx="457">
                  <c:v>44470</c:v>
                </c:pt>
                <c:pt idx="458">
                  <c:v>44473</c:v>
                </c:pt>
                <c:pt idx="459">
                  <c:v>44474</c:v>
                </c:pt>
                <c:pt idx="460">
                  <c:v>44475</c:v>
                </c:pt>
                <c:pt idx="461">
                  <c:v>44476</c:v>
                </c:pt>
                <c:pt idx="462">
                  <c:v>44477</c:v>
                </c:pt>
                <c:pt idx="463">
                  <c:v>44480</c:v>
                </c:pt>
                <c:pt idx="464">
                  <c:v>44481</c:v>
                </c:pt>
                <c:pt idx="465">
                  <c:v>44482</c:v>
                </c:pt>
                <c:pt idx="466">
                  <c:v>44483</c:v>
                </c:pt>
                <c:pt idx="467">
                  <c:v>44484</c:v>
                </c:pt>
                <c:pt idx="468">
                  <c:v>44487</c:v>
                </c:pt>
                <c:pt idx="469">
                  <c:v>44488</c:v>
                </c:pt>
                <c:pt idx="470">
                  <c:v>44489</c:v>
                </c:pt>
                <c:pt idx="471">
                  <c:v>44490</c:v>
                </c:pt>
                <c:pt idx="472">
                  <c:v>44491</c:v>
                </c:pt>
                <c:pt idx="473">
                  <c:v>44494</c:v>
                </c:pt>
                <c:pt idx="474">
                  <c:v>44495</c:v>
                </c:pt>
                <c:pt idx="475">
                  <c:v>44496</c:v>
                </c:pt>
                <c:pt idx="476">
                  <c:v>44497</c:v>
                </c:pt>
                <c:pt idx="477">
                  <c:v>44498</c:v>
                </c:pt>
                <c:pt idx="478">
                  <c:v>44501</c:v>
                </c:pt>
                <c:pt idx="479">
                  <c:v>44502</c:v>
                </c:pt>
                <c:pt idx="480">
                  <c:v>44503</c:v>
                </c:pt>
                <c:pt idx="481">
                  <c:v>44504</c:v>
                </c:pt>
                <c:pt idx="482">
                  <c:v>44505</c:v>
                </c:pt>
                <c:pt idx="483">
                  <c:v>44508</c:v>
                </c:pt>
                <c:pt idx="484">
                  <c:v>44509</c:v>
                </c:pt>
                <c:pt idx="485">
                  <c:v>44510</c:v>
                </c:pt>
                <c:pt idx="486">
                  <c:v>44511</c:v>
                </c:pt>
                <c:pt idx="487">
                  <c:v>44512</c:v>
                </c:pt>
                <c:pt idx="488">
                  <c:v>44515</c:v>
                </c:pt>
                <c:pt idx="489">
                  <c:v>44516</c:v>
                </c:pt>
                <c:pt idx="490">
                  <c:v>44517</c:v>
                </c:pt>
                <c:pt idx="491">
                  <c:v>44518</c:v>
                </c:pt>
                <c:pt idx="492">
                  <c:v>44519</c:v>
                </c:pt>
                <c:pt idx="493">
                  <c:v>44522</c:v>
                </c:pt>
                <c:pt idx="494">
                  <c:v>44523</c:v>
                </c:pt>
                <c:pt idx="495">
                  <c:v>44524</c:v>
                </c:pt>
                <c:pt idx="496">
                  <c:v>44525</c:v>
                </c:pt>
                <c:pt idx="497">
                  <c:v>44526</c:v>
                </c:pt>
                <c:pt idx="498">
                  <c:v>44529</c:v>
                </c:pt>
                <c:pt idx="499">
                  <c:v>44530</c:v>
                </c:pt>
                <c:pt idx="500">
                  <c:v>44531</c:v>
                </c:pt>
                <c:pt idx="501">
                  <c:v>44532</c:v>
                </c:pt>
                <c:pt idx="502">
                  <c:v>44533</c:v>
                </c:pt>
                <c:pt idx="503">
                  <c:v>44536</c:v>
                </c:pt>
                <c:pt idx="504">
                  <c:v>44537</c:v>
                </c:pt>
                <c:pt idx="505">
                  <c:v>44538</c:v>
                </c:pt>
                <c:pt idx="506">
                  <c:v>44539</c:v>
                </c:pt>
                <c:pt idx="507">
                  <c:v>44540</c:v>
                </c:pt>
                <c:pt idx="508">
                  <c:v>44543</c:v>
                </c:pt>
                <c:pt idx="509">
                  <c:v>44544</c:v>
                </c:pt>
                <c:pt idx="510">
                  <c:v>44545</c:v>
                </c:pt>
                <c:pt idx="511">
                  <c:v>44546</c:v>
                </c:pt>
                <c:pt idx="512">
                  <c:v>44547</c:v>
                </c:pt>
                <c:pt idx="513">
                  <c:v>44550</c:v>
                </c:pt>
                <c:pt idx="514">
                  <c:v>44551</c:v>
                </c:pt>
                <c:pt idx="515">
                  <c:v>44552</c:v>
                </c:pt>
                <c:pt idx="516">
                  <c:v>44553</c:v>
                </c:pt>
                <c:pt idx="517">
                  <c:v>44554</c:v>
                </c:pt>
                <c:pt idx="518">
                  <c:v>44557</c:v>
                </c:pt>
                <c:pt idx="519">
                  <c:v>44558</c:v>
                </c:pt>
                <c:pt idx="520">
                  <c:v>44559</c:v>
                </c:pt>
                <c:pt idx="521">
                  <c:v>44560</c:v>
                </c:pt>
                <c:pt idx="522">
                  <c:v>44561</c:v>
                </c:pt>
                <c:pt idx="523">
                  <c:v>44564</c:v>
                </c:pt>
                <c:pt idx="524">
                  <c:v>44565</c:v>
                </c:pt>
                <c:pt idx="525">
                  <c:v>44566</c:v>
                </c:pt>
                <c:pt idx="526">
                  <c:v>44567</c:v>
                </c:pt>
                <c:pt idx="527">
                  <c:v>44568</c:v>
                </c:pt>
                <c:pt idx="528">
                  <c:v>44571</c:v>
                </c:pt>
                <c:pt idx="529">
                  <c:v>44572</c:v>
                </c:pt>
                <c:pt idx="530">
                  <c:v>44573</c:v>
                </c:pt>
                <c:pt idx="531">
                  <c:v>44574</c:v>
                </c:pt>
                <c:pt idx="532">
                  <c:v>44575</c:v>
                </c:pt>
                <c:pt idx="533">
                  <c:v>44578</c:v>
                </c:pt>
                <c:pt idx="534">
                  <c:v>44579</c:v>
                </c:pt>
                <c:pt idx="535">
                  <c:v>44580</c:v>
                </c:pt>
                <c:pt idx="536">
                  <c:v>44581</c:v>
                </c:pt>
                <c:pt idx="537">
                  <c:v>44582</c:v>
                </c:pt>
                <c:pt idx="538">
                  <c:v>44585</c:v>
                </c:pt>
                <c:pt idx="539">
                  <c:v>44586</c:v>
                </c:pt>
                <c:pt idx="540">
                  <c:v>44587</c:v>
                </c:pt>
                <c:pt idx="541">
                  <c:v>44588</c:v>
                </c:pt>
                <c:pt idx="542">
                  <c:v>44589</c:v>
                </c:pt>
                <c:pt idx="543">
                  <c:v>44592</c:v>
                </c:pt>
                <c:pt idx="544">
                  <c:v>44593</c:v>
                </c:pt>
                <c:pt idx="545">
                  <c:v>44594</c:v>
                </c:pt>
                <c:pt idx="546">
                  <c:v>44595</c:v>
                </c:pt>
                <c:pt idx="547">
                  <c:v>44596</c:v>
                </c:pt>
                <c:pt idx="548">
                  <c:v>44599</c:v>
                </c:pt>
                <c:pt idx="549">
                  <c:v>44600</c:v>
                </c:pt>
                <c:pt idx="550">
                  <c:v>44601</c:v>
                </c:pt>
                <c:pt idx="551">
                  <c:v>44602</c:v>
                </c:pt>
                <c:pt idx="552">
                  <c:v>44603</c:v>
                </c:pt>
                <c:pt idx="553">
                  <c:v>44606</c:v>
                </c:pt>
                <c:pt idx="554">
                  <c:v>44607</c:v>
                </c:pt>
                <c:pt idx="555">
                  <c:v>44608</c:v>
                </c:pt>
                <c:pt idx="556">
                  <c:v>44609</c:v>
                </c:pt>
                <c:pt idx="557">
                  <c:v>44610</c:v>
                </c:pt>
                <c:pt idx="558">
                  <c:v>44613</c:v>
                </c:pt>
                <c:pt idx="559">
                  <c:v>44614</c:v>
                </c:pt>
                <c:pt idx="560">
                  <c:v>44615</c:v>
                </c:pt>
                <c:pt idx="561">
                  <c:v>44616</c:v>
                </c:pt>
                <c:pt idx="562">
                  <c:v>44617</c:v>
                </c:pt>
                <c:pt idx="563">
                  <c:v>44620</c:v>
                </c:pt>
                <c:pt idx="564">
                  <c:v>44621</c:v>
                </c:pt>
                <c:pt idx="565">
                  <c:v>44622</c:v>
                </c:pt>
                <c:pt idx="566">
                  <c:v>44623</c:v>
                </c:pt>
                <c:pt idx="567">
                  <c:v>44624</c:v>
                </c:pt>
                <c:pt idx="568">
                  <c:v>44627</c:v>
                </c:pt>
                <c:pt idx="569">
                  <c:v>44628</c:v>
                </c:pt>
                <c:pt idx="570">
                  <c:v>44629</c:v>
                </c:pt>
                <c:pt idx="571">
                  <c:v>44630</c:v>
                </c:pt>
                <c:pt idx="572">
                  <c:v>44631</c:v>
                </c:pt>
                <c:pt idx="573">
                  <c:v>44634</c:v>
                </c:pt>
                <c:pt idx="574">
                  <c:v>44635</c:v>
                </c:pt>
                <c:pt idx="575">
                  <c:v>44636</c:v>
                </c:pt>
                <c:pt idx="576">
                  <c:v>44637</c:v>
                </c:pt>
                <c:pt idx="577">
                  <c:v>44638</c:v>
                </c:pt>
                <c:pt idx="578">
                  <c:v>44641</c:v>
                </c:pt>
                <c:pt idx="579">
                  <c:v>44642</c:v>
                </c:pt>
                <c:pt idx="580">
                  <c:v>44643</c:v>
                </c:pt>
                <c:pt idx="581">
                  <c:v>44644</c:v>
                </c:pt>
                <c:pt idx="582">
                  <c:v>44645</c:v>
                </c:pt>
                <c:pt idx="583">
                  <c:v>44648</c:v>
                </c:pt>
                <c:pt idx="584">
                  <c:v>44649</c:v>
                </c:pt>
                <c:pt idx="585">
                  <c:v>44650</c:v>
                </c:pt>
                <c:pt idx="586">
                  <c:v>44651</c:v>
                </c:pt>
                <c:pt idx="587">
                  <c:v>44652</c:v>
                </c:pt>
                <c:pt idx="588">
                  <c:v>44655</c:v>
                </c:pt>
                <c:pt idx="589">
                  <c:v>44656</c:v>
                </c:pt>
                <c:pt idx="590">
                  <c:v>44657</c:v>
                </c:pt>
                <c:pt idx="591">
                  <c:v>44658</c:v>
                </c:pt>
                <c:pt idx="592">
                  <c:v>44659</c:v>
                </c:pt>
                <c:pt idx="593">
                  <c:v>44662</c:v>
                </c:pt>
                <c:pt idx="594">
                  <c:v>44663</c:v>
                </c:pt>
                <c:pt idx="595">
                  <c:v>44664</c:v>
                </c:pt>
                <c:pt idx="596">
                  <c:v>44665</c:v>
                </c:pt>
                <c:pt idx="597">
                  <c:v>44666</c:v>
                </c:pt>
                <c:pt idx="598">
                  <c:v>44669</c:v>
                </c:pt>
                <c:pt idx="599">
                  <c:v>44670</c:v>
                </c:pt>
                <c:pt idx="600">
                  <c:v>44671</c:v>
                </c:pt>
                <c:pt idx="601">
                  <c:v>44672</c:v>
                </c:pt>
                <c:pt idx="602">
                  <c:v>44673</c:v>
                </c:pt>
                <c:pt idx="603">
                  <c:v>44676</c:v>
                </c:pt>
                <c:pt idx="604">
                  <c:v>44677</c:v>
                </c:pt>
                <c:pt idx="605">
                  <c:v>44678</c:v>
                </c:pt>
                <c:pt idx="606">
                  <c:v>44679</c:v>
                </c:pt>
                <c:pt idx="607">
                  <c:v>44680</c:v>
                </c:pt>
                <c:pt idx="608">
                  <c:v>44683</c:v>
                </c:pt>
                <c:pt idx="609">
                  <c:v>44684</c:v>
                </c:pt>
                <c:pt idx="610">
                  <c:v>44685</c:v>
                </c:pt>
                <c:pt idx="611">
                  <c:v>44686</c:v>
                </c:pt>
                <c:pt idx="612">
                  <c:v>44687</c:v>
                </c:pt>
                <c:pt idx="613">
                  <c:v>44690</c:v>
                </c:pt>
                <c:pt idx="614">
                  <c:v>44691</c:v>
                </c:pt>
                <c:pt idx="615">
                  <c:v>44692</c:v>
                </c:pt>
                <c:pt idx="616">
                  <c:v>44693</c:v>
                </c:pt>
                <c:pt idx="617">
                  <c:v>44694</c:v>
                </c:pt>
                <c:pt idx="618">
                  <c:v>44697</c:v>
                </c:pt>
                <c:pt idx="619">
                  <c:v>44698</c:v>
                </c:pt>
                <c:pt idx="620">
                  <c:v>44699</c:v>
                </c:pt>
                <c:pt idx="621">
                  <c:v>44700</c:v>
                </c:pt>
                <c:pt idx="622">
                  <c:v>44701</c:v>
                </c:pt>
                <c:pt idx="623">
                  <c:v>44704</c:v>
                </c:pt>
                <c:pt idx="624">
                  <c:v>44705</c:v>
                </c:pt>
                <c:pt idx="625">
                  <c:v>44706</c:v>
                </c:pt>
                <c:pt idx="626">
                  <c:v>44707</c:v>
                </c:pt>
                <c:pt idx="627">
                  <c:v>44708</c:v>
                </c:pt>
                <c:pt idx="628">
                  <c:v>44711</c:v>
                </c:pt>
                <c:pt idx="629">
                  <c:v>44712</c:v>
                </c:pt>
                <c:pt idx="630">
                  <c:v>44713</c:v>
                </c:pt>
                <c:pt idx="631">
                  <c:v>44714</c:v>
                </c:pt>
                <c:pt idx="632">
                  <c:v>44715</c:v>
                </c:pt>
                <c:pt idx="633">
                  <c:v>44718</c:v>
                </c:pt>
                <c:pt idx="634">
                  <c:v>44719</c:v>
                </c:pt>
                <c:pt idx="635">
                  <c:v>44720</c:v>
                </c:pt>
                <c:pt idx="636">
                  <c:v>44721</c:v>
                </c:pt>
                <c:pt idx="637">
                  <c:v>44722</c:v>
                </c:pt>
                <c:pt idx="638">
                  <c:v>44725</c:v>
                </c:pt>
                <c:pt idx="639">
                  <c:v>44726</c:v>
                </c:pt>
                <c:pt idx="640">
                  <c:v>44727</c:v>
                </c:pt>
                <c:pt idx="641">
                  <c:v>44728</c:v>
                </c:pt>
                <c:pt idx="642">
                  <c:v>44729</c:v>
                </c:pt>
                <c:pt idx="643">
                  <c:v>44732</c:v>
                </c:pt>
                <c:pt idx="644">
                  <c:v>44733</c:v>
                </c:pt>
                <c:pt idx="645">
                  <c:v>44734</c:v>
                </c:pt>
                <c:pt idx="646">
                  <c:v>44735</c:v>
                </c:pt>
                <c:pt idx="647">
                  <c:v>44736</c:v>
                </c:pt>
                <c:pt idx="648">
                  <c:v>44739</c:v>
                </c:pt>
                <c:pt idx="649">
                  <c:v>44740</c:v>
                </c:pt>
                <c:pt idx="650">
                  <c:v>44741</c:v>
                </c:pt>
                <c:pt idx="651">
                  <c:v>44742</c:v>
                </c:pt>
                <c:pt idx="652">
                  <c:v>44743</c:v>
                </c:pt>
                <c:pt idx="653">
                  <c:v>44746</c:v>
                </c:pt>
                <c:pt idx="654">
                  <c:v>44747</c:v>
                </c:pt>
                <c:pt idx="655">
                  <c:v>44748</c:v>
                </c:pt>
                <c:pt idx="656">
                  <c:v>44749</c:v>
                </c:pt>
                <c:pt idx="657">
                  <c:v>44750</c:v>
                </c:pt>
                <c:pt idx="658">
                  <c:v>44753</c:v>
                </c:pt>
                <c:pt idx="659">
                  <c:v>44754</c:v>
                </c:pt>
                <c:pt idx="660">
                  <c:v>44755</c:v>
                </c:pt>
                <c:pt idx="661">
                  <c:v>44756</c:v>
                </c:pt>
                <c:pt idx="662">
                  <c:v>44757</c:v>
                </c:pt>
                <c:pt idx="663">
                  <c:v>44760</c:v>
                </c:pt>
                <c:pt idx="664">
                  <c:v>44761</c:v>
                </c:pt>
                <c:pt idx="665">
                  <c:v>44762</c:v>
                </c:pt>
                <c:pt idx="666">
                  <c:v>44763</c:v>
                </c:pt>
                <c:pt idx="667">
                  <c:v>44764</c:v>
                </c:pt>
                <c:pt idx="668">
                  <c:v>44767</c:v>
                </c:pt>
                <c:pt idx="669">
                  <c:v>44768</c:v>
                </c:pt>
                <c:pt idx="670">
                  <c:v>44769</c:v>
                </c:pt>
                <c:pt idx="671">
                  <c:v>44770</c:v>
                </c:pt>
                <c:pt idx="672">
                  <c:v>44771</c:v>
                </c:pt>
                <c:pt idx="673">
                  <c:v>44774</c:v>
                </c:pt>
                <c:pt idx="674">
                  <c:v>44775</c:v>
                </c:pt>
                <c:pt idx="675">
                  <c:v>44776</c:v>
                </c:pt>
                <c:pt idx="676">
                  <c:v>44777</c:v>
                </c:pt>
                <c:pt idx="677">
                  <c:v>44778</c:v>
                </c:pt>
                <c:pt idx="678">
                  <c:v>44781</c:v>
                </c:pt>
                <c:pt idx="679">
                  <c:v>44782</c:v>
                </c:pt>
                <c:pt idx="680">
                  <c:v>44783</c:v>
                </c:pt>
                <c:pt idx="681">
                  <c:v>44784</c:v>
                </c:pt>
                <c:pt idx="682">
                  <c:v>44785</c:v>
                </c:pt>
                <c:pt idx="683">
                  <c:v>44788</c:v>
                </c:pt>
                <c:pt idx="684">
                  <c:v>44789</c:v>
                </c:pt>
                <c:pt idx="685">
                  <c:v>44790</c:v>
                </c:pt>
                <c:pt idx="686">
                  <c:v>44791</c:v>
                </c:pt>
                <c:pt idx="687">
                  <c:v>44792</c:v>
                </c:pt>
                <c:pt idx="688">
                  <c:v>44795</c:v>
                </c:pt>
                <c:pt idx="689">
                  <c:v>44796</c:v>
                </c:pt>
                <c:pt idx="690">
                  <c:v>44797</c:v>
                </c:pt>
                <c:pt idx="691">
                  <c:v>44798</c:v>
                </c:pt>
                <c:pt idx="692">
                  <c:v>44799</c:v>
                </c:pt>
                <c:pt idx="693">
                  <c:v>44802</c:v>
                </c:pt>
                <c:pt idx="694">
                  <c:v>44803</c:v>
                </c:pt>
                <c:pt idx="695">
                  <c:v>44804</c:v>
                </c:pt>
                <c:pt idx="696">
                  <c:v>44805</c:v>
                </c:pt>
                <c:pt idx="697">
                  <c:v>44806</c:v>
                </c:pt>
                <c:pt idx="698">
                  <c:v>44809</c:v>
                </c:pt>
                <c:pt idx="699">
                  <c:v>44810</c:v>
                </c:pt>
                <c:pt idx="700">
                  <c:v>44811</c:v>
                </c:pt>
                <c:pt idx="701">
                  <c:v>44812</c:v>
                </c:pt>
                <c:pt idx="702">
                  <c:v>44813</c:v>
                </c:pt>
                <c:pt idx="703">
                  <c:v>44816</c:v>
                </c:pt>
                <c:pt idx="704">
                  <c:v>44817</c:v>
                </c:pt>
                <c:pt idx="705">
                  <c:v>44818</c:v>
                </c:pt>
                <c:pt idx="706">
                  <c:v>44819</c:v>
                </c:pt>
                <c:pt idx="707">
                  <c:v>44820</c:v>
                </c:pt>
              </c:numCache>
            </c:numRef>
          </c:cat>
          <c:val>
            <c:numRef>
              <c:f>Sheet1!$J$2:$J$971</c:f>
              <c:numCache>
                <c:formatCode>General</c:formatCode>
                <c:ptCount val="709"/>
                <c:pt idx="148" formatCode="0">
                  <c:v>6.4962900000000001</c:v>
                </c:pt>
                <c:pt idx="149" formatCode="0">
                  <c:v>6.6388400000000001</c:v>
                </c:pt>
                <c:pt idx="150" formatCode="0">
                  <c:v>6.6700400000000002</c:v>
                </c:pt>
                <c:pt idx="151" formatCode="0">
                  <c:v>6.8829200000000004</c:v>
                </c:pt>
                <c:pt idx="152" formatCode="0">
                  <c:v>6.95601</c:v>
                </c:pt>
                <c:pt idx="153" formatCode="0">
                  <c:v>6.9543699999999999</c:v>
                </c:pt>
                <c:pt idx="154" formatCode="0">
                  <c:v>6.9034599999999999</c:v>
                </c:pt>
                <c:pt idx="155" formatCode="0">
                  <c:v>6.7551600000000001</c:v>
                </c:pt>
                <c:pt idx="156" formatCode="0">
                  <c:v>6.7847100000000005</c:v>
                </c:pt>
                <c:pt idx="157" formatCode="0">
                  <c:v>6.9432200000000002</c:v>
                </c:pt>
                <c:pt idx="158" formatCode="0">
                  <c:v>6.877089999999999</c:v>
                </c:pt>
                <c:pt idx="159" formatCode="0">
                  <c:v>6.6816800000000001</c:v>
                </c:pt>
                <c:pt idx="160" formatCode="0">
                  <c:v>6.5717999999999996</c:v>
                </c:pt>
                <c:pt idx="161" formatCode="0">
                  <c:v>6.5230399999999999</c:v>
                </c:pt>
                <c:pt idx="162" formatCode="0">
                  <c:v>6.5388300000000008</c:v>
                </c:pt>
                <c:pt idx="163" formatCode="0">
                  <c:v>6.5132099999999999</c:v>
                </c:pt>
                <c:pt idx="164" formatCode="0">
                  <c:v>6.5629900000000001</c:v>
                </c:pt>
                <c:pt idx="165" formatCode="0">
                  <c:v>6.4362699999999995</c:v>
                </c:pt>
                <c:pt idx="166" formatCode="0">
                  <c:v>6.5664499999999997</c:v>
                </c:pt>
                <c:pt idx="167" formatCode="0">
                  <c:v>6.5139099999999992</c:v>
                </c:pt>
                <c:pt idx="168" formatCode="0">
                  <c:v>6.4580100000000007</c:v>
                </c:pt>
                <c:pt idx="169" formatCode="0">
                  <c:v>6.4478</c:v>
                </c:pt>
                <c:pt idx="170" formatCode="0">
                  <c:v>6.5232600000000005</c:v>
                </c:pt>
                <c:pt idx="171" formatCode="0">
                  <c:v>6.406130000000001</c:v>
                </c:pt>
                <c:pt idx="172" formatCode="0">
                  <c:v>6.3380299999999998</c:v>
                </c:pt>
                <c:pt idx="173" formatCode="0">
                  <c:v>6.3380299999999998</c:v>
                </c:pt>
                <c:pt idx="174" formatCode="0">
                  <c:v>6.2814899999999998</c:v>
                </c:pt>
                <c:pt idx="175" formatCode="0">
                  <c:v>6.2625900000000003</c:v>
                </c:pt>
                <c:pt idx="176" formatCode="0">
                  <c:v>6.4144100000000002</c:v>
                </c:pt>
                <c:pt idx="177" formatCode="0">
                  <c:v>6.4106399999999999</c:v>
                </c:pt>
                <c:pt idx="178" formatCode="0">
                  <c:v>6.4288599999999994</c:v>
                </c:pt>
                <c:pt idx="179" formatCode="0">
                  <c:v>6.5707699999999996</c:v>
                </c:pt>
                <c:pt idx="180" formatCode="0">
                  <c:v>6.5049599999999996</c:v>
                </c:pt>
                <c:pt idx="181" formatCode="0">
                  <c:v>6.5665399999999998</c:v>
                </c:pt>
                <c:pt idx="182" formatCode="0">
                  <c:v>6.6017700000000001</c:v>
                </c:pt>
                <c:pt idx="183" formatCode="0">
                  <c:v>6.6333099999999998</c:v>
                </c:pt>
                <c:pt idx="184" formatCode="0">
                  <c:v>6.5522299999999998</c:v>
                </c:pt>
                <c:pt idx="185" formatCode="0">
                  <c:v>6.4960500000000003</c:v>
                </c:pt>
                <c:pt idx="186" formatCode="0">
                  <c:v>6.6055600000000005</c:v>
                </c:pt>
                <c:pt idx="187" formatCode="0">
                  <c:v>6.6276900000000003</c:v>
                </c:pt>
                <c:pt idx="188" formatCode="0">
                  <c:v>7.0627399999999998</c:v>
                </c:pt>
                <c:pt idx="189" formatCode="0">
                  <c:v>7.0548900000000003</c:v>
                </c:pt>
                <c:pt idx="190" formatCode="0">
                  <c:v>7.1478399999999995</c:v>
                </c:pt>
                <c:pt idx="191" formatCode="0">
                  <c:v>7.2715200000000006</c:v>
                </c:pt>
                <c:pt idx="192" formatCode="0">
                  <c:v>7.2770200000000003</c:v>
                </c:pt>
                <c:pt idx="193" formatCode="0">
                  <c:v>7.2373299999999992</c:v>
                </c:pt>
                <c:pt idx="194" formatCode="0">
                  <c:v>7.3787000000000003</c:v>
                </c:pt>
                <c:pt idx="195" formatCode="0">
                  <c:v>7.3778599999999992</c:v>
                </c:pt>
                <c:pt idx="196" formatCode="0">
                  <c:v>7.3026800000000005</c:v>
                </c:pt>
                <c:pt idx="197" formatCode="0">
                  <c:v>7.3091699999999999</c:v>
                </c:pt>
                <c:pt idx="198" formatCode="0">
                  <c:v>7.1274600000000001</c:v>
                </c:pt>
                <c:pt idx="199" formatCode="0">
                  <c:v>7.1724100000000002</c:v>
                </c:pt>
                <c:pt idx="200" formatCode="0">
                  <c:v>7.0099900000000002</c:v>
                </c:pt>
                <c:pt idx="201" formatCode="0">
                  <c:v>6.9193299999999995</c:v>
                </c:pt>
                <c:pt idx="202" formatCode="0">
                  <c:v>6.6726199999999993</c:v>
                </c:pt>
                <c:pt idx="203" formatCode="0">
                  <c:v>6.6736400000000007</c:v>
                </c:pt>
                <c:pt idx="204" formatCode="0">
                  <c:v>6.8805300000000003</c:v>
                </c:pt>
                <c:pt idx="205" formatCode="0">
                  <c:v>7.0713199999999992</c:v>
                </c:pt>
                <c:pt idx="206" formatCode="0">
                  <c:v>7.1188699999999994</c:v>
                </c:pt>
                <c:pt idx="207" formatCode="0">
                  <c:v>7.0459500000000004</c:v>
                </c:pt>
                <c:pt idx="208" formatCode="0">
                  <c:v>7.0262199999999995</c:v>
                </c:pt>
                <c:pt idx="209" formatCode="0">
                  <c:v>7.1330200000000001</c:v>
                </c:pt>
                <c:pt idx="210" formatCode="0">
                  <c:v>7.2061999999999999</c:v>
                </c:pt>
                <c:pt idx="211" formatCode="0">
                  <c:v>7.2469600000000005</c:v>
                </c:pt>
                <c:pt idx="212" formatCode="0">
                  <c:v>7.2045199999999996</c:v>
                </c:pt>
                <c:pt idx="213" formatCode="0">
                  <c:v>7.3493300000000001</c:v>
                </c:pt>
                <c:pt idx="214" formatCode="0">
                  <c:v>7.1735000000000007</c:v>
                </c:pt>
                <c:pt idx="215" formatCode="0">
                  <c:v>7.2534299999999998</c:v>
                </c:pt>
                <c:pt idx="216" formatCode="0">
                  <c:v>7.1318899999999994</c:v>
                </c:pt>
                <c:pt idx="217" formatCode="0">
                  <c:v>6.9360499999999998</c:v>
                </c:pt>
                <c:pt idx="218" formatCode="0">
                  <c:v>6.8840399999999997</c:v>
                </c:pt>
                <c:pt idx="219" formatCode="0">
                  <c:v>6.6248100000000001</c:v>
                </c:pt>
                <c:pt idx="220" formatCode="0">
                  <c:v>6.5331500000000009</c:v>
                </c:pt>
                <c:pt idx="221" formatCode="0">
                  <c:v>6.26356</c:v>
                </c:pt>
                <c:pt idx="222" formatCode="0">
                  <c:v>6.3152099999999995</c:v>
                </c:pt>
                <c:pt idx="223" formatCode="0">
                  <c:v>5.96333</c:v>
                </c:pt>
                <c:pt idx="224" formatCode="0">
                  <c:v>5.9858200000000004</c:v>
                </c:pt>
                <c:pt idx="225" formatCode="0">
                  <c:v>5.89384</c:v>
                </c:pt>
                <c:pt idx="226" formatCode="0">
                  <c:v>5.9928599999999994</c:v>
                </c:pt>
                <c:pt idx="227" formatCode="0">
                  <c:v>5.9688199999999991</c:v>
                </c:pt>
                <c:pt idx="228" formatCode="0">
                  <c:v>5.8013699999999995</c:v>
                </c:pt>
                <c:pt idx="229" formatCode="0">
                  <c:v>5.8863500000000002</c:v>
                </c:pt>
                <c:pt idx="230" formatCode="0">
                  <c:v>5.87242</c:v>
                </c:pt>
                <c:pt idx="231" formatCode="0">
                  <c:v>5.9110500000000004</c:v>
                </c:pt>
                <c:pt idx="232" formatCode="0">
                  <c:v>5.8420399999999999</c:v>
                </c:pt>
                <c:pt idx="233" formatCode="0">
                  <c:v>5.6799800000000005</c:v>
                </c:pt>
                <c:pt idx="234" formatCode="0">
                  <c:v>5.40543</c:v>
                </c:pt>
                <c:pt idx="235" formatCode="0">
                  <c:v>5.4670000000000005</c:v>
                </c:pt>
                <c:pt idx="236" formatCode="0">
                  <c:v>5.4642600000000003</c:v>
                </c:pt>
                <c:pt idx="237" formatCode="0">
                  <c:v>5.5244299999999997</c:v>
                </c:pt>
                <c:pt idx="238" formatCode="0">
                  <c:v>5.5006200000000005</c:v>
                </c:pt>
                <c:pt idx="239" formatCode="0">
                  <c:v>5.2171599999999998</c:v>
                </c:pt>
                <c:pt idx="240" formatCode="0">
                  <c:v>5.1740899999999996</c:v>
                </c:pt>
                <c:pt idx="241" formatCode="0">
                  <c:v>5.17326</c:v>
                </c:pt>
                <c:pt idx="242" formatCode="0">
                  <c:v>4.9961599999999997</c:v>
                </c:pt>
                <c:pt idx="243" formatCode="0">
                  <c:v>5.05288</c:v>
                </c:pt>
                <c:pt idx="244" formatCode="0">
                  <c:v>5.0780700000000003</c:v>
                </c:pt>
                <c:pt idx="245" formatCode="0">
                  <c:v>5.0242399999999998</c:v>
                </c:pt>
                <c:pt idx="246" formatCode="0">
                  <c:v>5.0698299999999996</c:v>
                </c:pt>
                <c:pt idx="247" formatCode="0">
                  <c:v>5.13734</c:v>
                </c:pt>
                <c:pt idx="248" formatCode="0">
                  <c:v>5.0428500000000005</c:v>
                </c:pt>
                <c:pt idx="249" formatCode="0">
                  <c:v>5.0019</c:v>
                </c:pt>
                <c:pt idx="250" formatCode="0">
                  <c:v>4.9925899999999999</c:v>
                </c:pt>
                <c:pt idx="251" formatCode="0">
                  <c:v>5.0069299999999997</c:v>
                </c:pt>
                <c:pt idx="252" formatCode="0">
                  <c:v>5.0731000000000002</c:v>
                </c:pt>
                <c:pt idx="253" formatCode="0">
                  <c:v>5.1487999999999996</c:v>
                </c:pt>
                <c:pt idx="254" formatCode="0">
                  <c:v>5.1873900000000006</c:v>
                </c:pt>
                <c:pt idx="255" formatCode="0">
                  <c:v>5.11768</c:v>
                </c:pt>
                <c:pt idx="256" formatCode="0">
                  <c:v>5.1317700000000004</c:v>
                </c:pt>
                <c:pt idx="257" formatCode="0">
                  <c:v>5.1317700000000004</c:v>
                </c:pt>
                <c:pt idx="258" formatCode="0">
                  <c:v>5.1317700000000004</c:v>
                </c:pt>
                <c:pt idx="259" formatCode="0">
                  <c:v>5.1093999999999999</c:v>
                </c:pt>
                <c:pt idx="260" formatCode="0">
                  <c:v>5.0668800000000003</c:v>
                </c:pt>
                <c:pt idx="261" formatCode="0">
                  <c:v>5.06473</c:v>
                </c:pt>
                <c:pt idx="262" formatCode="0">
                  <c:v>5.06473</c:v>
                </c:pt>
                <c:pt idx="263" formatCode="0">
                  <c:v>4.98787</c:v>
                </c:pt>
                <c:pt idx="264" formatCode="0">
                  <c:v>5.0278299999999998</c:v>
                </c:pt>
                <c:pt idx="265" formatCode="0">
                  <c:v>4.9863200000000001</c:v>
                </c:pt>
                <c:pt idx="266" formatCode="0">
                  <c:v>4.8863099999999999</c:v>
                </c:pt>
                <c:pt idx="267" formatCode="0">
                  <c:v>4.8785500000000006</c:v>
                </c:pt>
                <c:pt idx="268" formatCode="0">
                  <c:v>4.9281199999999998</c:v>
                </c:pt>
                <c:pt idx="269" formatCode="0">
                  <c:v>5.1647400000000001</c:v>
                </c:pt>
                <c:pt idx="270" formatCode="0">
                  <c:v>5.0995200000000001</c:v>
                </c:pt>
                <c:pt idx="271" formatCode="0">
                  <c:v>5.0357599999999998</c:v>
                </c:pt>
                <c:pt idx="272" formatCode="0">
                  <c:v>5.1684799999999997</c:v>
                </c:pt>
                <c:pt idx="273" formatCode="0">
                  <c:v>5.1708299999999996</c:v>
                </c:pt>
                <c:pt idx="274" formatCode="0">
                  <c:v>5.1793399999999998</c:v>
                </c:pt>
                <c:pt idx="275" formatCode="0">
                  <c:v>5.1611400000000005</c:v>
                </c:pt>
                <c:pt idx="276" formatCode="0">
                  <c:v>5.0460799999999999</c:v>
                </c:pt>
                <c:pt idx="277" formatCode="0">
                  <c:v>5.0624500000000001</c:v>
                </c:pt>
                <c:pt idx="278" formatCode="0">
                  <c:v>5.0925000000000002</c:v>
                </c:pt>
                <c:pt idx="279" formatCode="0">
                  <c:v>5.1042200000000006</c:v>
                </c:pt>
                <c:pt idx="280" formatCode="0">
                  <c:v>5.2260799999999996</c:v>
                </c:pt>
                <c:pt idx="281" formatCode="0">
                  <c:v>5.2389400000000004</c:v>
                </c:pt>
                <c:pt idx="282" formatCode="0">
                  <c:v>5.1789700000000005</c:v>
                </c:pt>
                <c:pt idx="283" formatCode="0">
                  <c:v>5.1659299999999995</c:v>
                </c:pt>
                <c:pt idx="284" formatCode="0">
                  <c:v>5.0961699999999999</c:v>
                </c:pt>
                <c:pt idx="285" formatCode="0">
                  <c:v>5.0196800000000001</c:v>
                </c:pt>
                <c:pt idx="286" formatCode="0">
                  <c:v>4.9081700000000001</c:v>
                </c:pt>
                <c:pt idx="287" formatCode="0">
                  <c:v>4.7431299999999998</c:v>
                </c:pt>
                <c:pt idx="288" formatCode="0">
                  <c:v>4.8083800000000005</c:v>
                </c:pt>
                <c:pt idx="289" formatCode="0">
                  <c:v>4.9094099999999994</c:v>
                </c:pt>
                <c:pt idx="290" formatCode="0">
                  <c:v>5.0682</c:v>
                </c:pt>
                <c:pt idx="291" formatCode="0">
                  <c:v>4.9358499999999994</c:v>
                </c:pt>
                <c:pt idx="292" formatCode="0">
                  <c:v>4.8890599999999997</c:v>
                </c:pt>
                <c:pt idx="293" formatCode="0">
                  <c:v>4.9411399999999999</c:v>
                </c:pt>
                <c:pt idx="294" formatCode="0">
                  <c:v>5.00108</c:v>
                </c:pt>
                <c:pt idx="295" formatCode="0">
                  <c:v>5.1447400000000005</c:v>
                </c:pt>
                <c:pt idx="296" formatCode="0">
                  <c:v>5.0820600000000002</c:v>
                </c:pt>
                <c:pt idx="297" formatCode="0">
                  <c:v>5.0853900000000003</c:v>
                </c:pt>
                <c:pt idx="298" formatCode="0">
                  <c:v>5.2226999999999997</c:v>
                </c:pt>
                <c:pt idx="299" formatCode="0">
                  <c:v>5.26614</c:v>
                </c:pt>
                <c:pt idx="300" formatCode="0">
                  <c:v>5.1338199999999992</c:v>
                </c:pt>
                <c:pt idx="301" formatCode="0">
                  <c:v>5.1473100000000001</c:v>
                </c:pt>
                <c:pt idx="302" formatCode="0">
                  <c:v>5.4330400000000001</c:v>
                </c:pt>
                <c:pt idx="303" formatCode="0">
                  <c:v>5.2383199999999999</c:v>
                </c:pt>
                <c:pt idx="304" formatCode="0">
                  <c:v>5.2844100000000003</c:v>
                </c:pt>
                <c:pt idx="305" formatCode="0">
                  <c:v>5.2753999999999994</c:v>
                </c:pt>
                <c:pt idx="306" formatCode="0">
                  <c:v>5.3191700000000006</c:v>
                </c:pt>
                <c:pt idx="307" formatCode="0">
                  <c:v>5.4925499999999996</c:v>
                </c:pt>
                <c:pt idx="308" formatCode="0">
                  <c:v>5.6868299999999996</c:v>
                </c:pt>
                <c:pt idx="309" formatCode="0">
                  <c:v>5.6340200000000005</c:v>
                </c:pt>
                <c:pt idx="310" formatCode="0">
                  <c:v>5.5686499999999999</c:v>
                </c:pt>
                <c:pt idx="311" formatCode="0">
                  <c:v>5.2340300000000006</c:v>
                </c:pt>
                <c:pt idx="312" formatCode="0">
                  <c:v>5.2853999999999992</c:v>
                </c:pt>
                <c:pt idx="313" formatCode="0">
                  <c:v>5.2215800000000003</c:v>
                </c:pt>
                <c:pt idx="314" formatCode="0">
                  <c:v>5.1445500000000006</c:v>
                </c:pt>
                <c:pt idx="315" formatCode="0">
                  <c:v>5.1728300000000003</c:v>
                </c:pt>
                <c:pt idx="316" formatCode="0">
                  <c:v>5.1722099999999998</c:v>
                </c:pt>
                <c:pt idx="317" formatCode="0">
                  <c:v>5.1769500000000006</c:v>
                </c:pt>
                <c:pt idx="318" formatCode="0">
                  <c:v>5.2116800000000003</c:v>
                </c:pt>
                <c:pt idx="319" formatCode="0">
                  <c:v>5.2413099999999995</c:v>
                </c:pt>
                <c:pt idx="320" formatCode="0">
                  <c:v>5.2203999999999997</c:v>
                </c:pt>
                <c:pt idx="321" formatCode="0">
                  <c:v>5.2403300000000002</c:v>
                </c:pt>
                <c:pt idx="322" formatCode="0">
                  <c:v>5.2213199999999995</c:v>
                </c:pt>
                <c:pt idx="323" formatCode="0">
                  <c:v>5.2064500000000002</c:v>
                </c:pt>
                <c:pt idx="324" formatCode="0">
                  <c:v>5.4195700000000002</c:v>
                </c:pt>
                <c:pt idx="325" formatCode="0">
                  <c:v>5.38225</c:v>
                </c:pt>
                <c:pt idx="326" formatCode="0">
                  <c:v>5.63063</c:v>
                </c:pt>
                <c:pt idx="327" formatCode="0">
                  <c:v>5.63063</c:v>
                </c:pt>
                <c:pt idx="328" formatCode="0">
                  <c:v>5.63063</c:v>
                </c:pt>
                <c:pt idx="329" formatCode="0">
                  <c:v>5.7606100000000007</c:v>
                </c:pt>
                <c:pt idx="330" formatCode="0">
                  <c:v>5.5388300000000008</c:v>
                </c:pt>
                <c:pt idx="331" formatCode="0">
                  <c:v>5.5091999999999999</c:v>
                </c:pt>
                <c:pt idx="332" formatCode="0">
                  <c:v>5.5379200000000006</c:v>
                </c:pt>
                <c:pt idx="333" formatCode="0">
                  <c:v>5.7522000000000002</c:v>
                </c:pt>
                <c:pt idx="334" formatCode="0">
                  <c:v>5.6652499999999995</c:v>
                </c:pt>
                <c:pt idx="335" formatCode="0">
                  <c:v>5.5055300000000003</c:v>
                </c:pt>
                <c:pt idx="336" formatCode="0">
                  <c:v>5.5329499999999996</c:v>
                </c:pt>
                <c:pt idx="337" formatCode="0">
                  <c:v>5.3929200000000002</c:v>
                </c:pt>
                <c:pt idx="338" formatCode="0">
                  <c:v>5.3991600000000002</c:v>
                </c:pt>
                <c:pt idx="339" formatCode="0">
                  <c:v>5.5926999999999998</c:v>
                </c:pt>
                <c:pt idx="340" formatCode="0">
                  <c:v>5.5002999999999993</c:v>
                </c:pt>
                <c:pt idx="341" formatCode="0">
                  <c:v>5.2174199999999997</c:v>
                </c:pt>
                <c:pt idx="342" formatCode="0">
                  <c:v>5.1389700000000005</c:v>
                </c:pt>
                <c:pt idx="343" formatCode="0">
                  <c:v>5.23264</c:v>
                </c:pt>
                <c:pt idx="344" formatCode="0">
                  <c:v>5.3989399999999996</c:v>
                </c:pt>
                <c:pt idx="345" formatCode="0">
                  <c:v>5.44963</c:v>
                </c:pt>
                <c:pt idx="346" formatCode="0">
                  <c:v>5.4307799999999995</c:v>
                </c:pt>
                <c:pt idx="347" formatCode="0">
                  <c:v>5.4296500000000005</c:v>
                </c:pt>
                <c:pt idx="348" formatCode="0">
                  <c:v>5.4296500000000005</c:v>
                </c:pt>
                <c:pt idx="349" formatCode="0">
                  <c:v>5.5203700000000007</c:v>
                </c:pt>
                <c:pt idx="350" formatCode="0">
                  <c:v>5.4991899999999996</c:v>
                </c:pt>
                <c:pt idx="351" formatCode="0">
                  <c:v>5.4299900000000001</c:v>
                </c:pt>
                <c:pt idx="352" formatCode="0">
                  <c:v>5.2526999999999999</c:v>
                </c:pt>
                <c:pt idx="353" formatCode="0">
                  <c:v>5.1442399999999999</c:v>
                </c:pt>
                <c:pt idx="354" formatCode="0">
                  <c:v>5.2263099999999998</c:v>
                </c:pt>
                <c:pt idx="355" formatCode="0">
                  <c:v>5.2493299999999996</c:v>
                </c:pt>
                <c:pt idx="356" formatCode="0">
                  <c:v>5.2824400000000002</c:v>
                </c:pt>
                <c:pt idx="357" formatCode="0">
                  <c:v>5.2291699999999999</c:v>
                </c:pt>
                <c:pt idx="358" formatCode="0">
                  <c:v>5.2287400000000002</c:v>
                </c:pt>
                <c:pt idx="359" formatCode="0">
                  <c:v>5.1341299999999999</c:v>
                </c:pt>
                <c:pt idx="360" formatCode="0">
                  <c:v>5.1769600000000002</c:v>
                </c:pt>
                <c:pt idx="361" formatCode="0">
                  <c:v>5.0854200000000001</c:v>
                </c:pt>
                <c:pt idx="362" formatCode="0">
                  <c:v>4.9942200000000003</c:v>
                </c:pt>
                <c:pt idx="363" formatCode="0">
                  <c:v>4.9664999999999999</c:v>
                </c:pt>
                <c:pt idx="364" formatCode="0">
                  <c:v>4.9441899999999999</c:v>
                </c:pt>
                <c:pt idx="365" formatCode="0">
                  <c:v>4.9528500000000006</c:v>
                </c:pt>
                <c:pt idx="366" formatCode="0">
                  <c:v>4.9065699999999994</c:v>
                </c:pt>
                <c:pt idx="367" formatCode="0">
                  <c:v>4.9014100000000003</c:v>
                </c:pt>
                <c:pt idx="368" formatCode="0">
                  <c:v>4.9014100000000003</c:v>
                </c:pt>
                <c:pt idx="369" formatCode="0">
                  <c:v>4.7927100000000005</c:v>
                </c:pt>
                <c:pt idx="370" formatCode="0">
                  <c:v>4.7713799999999997</c:v>
                </c:pt>
                <c:pt idx="371" formatCode="0">
                  <c:v>4.8219600000000007</c:v>
                </c:pt>
                <c:pt idx="372" formatCode="0">
                  <c:v>4.9181999999999997</c:v>
                </c:pt>
                <c:pt idx="373" formatCode="0">
                  <c:v>4.8988499999999995</c:v>
                </c:pt>
                <c:pt idx="374" formatCode="0">
                  <c:v>4.8972699999999998</c:v>
                </c:pt>
                <c:pt idx="375" formatCode="0">
                  <c:v>4.9238900000000001</c:v>
                </c:pt>
                <c:pt idx="376" formatCode="0">
                  <c:v>4.9966800000000005</c:v>
                </c:pt>
                <c:pt idx="377" formatCode="0">
                  <c:v>4.9587000000000003</c:v>
                </c:pt>
                <c:pt idx="378" formatCode="0">
                  <c:v>4.9854000000000003</c:v>
                </c:pt>
                <c:pt idx="379" formatCode="0">
                  <c:v>5.0499700000000001</c:v>
                </c:pt>
                <c:pt idx="380" formatCode="0">
                  <c:v>4.9954099999999997</c:v>
                </c:pt>
                <c:pt idx="381" formatCode="0">
                  <c:v>5.17591</c:v>
                </c:pt>
                <c:pt idx="382" formatCode="0">
                  <c:v>5.2916400000000001</c:v>
                </c:pt>
                <c:pt idx="383" formatCode="0">
                  <c:v>5.2993800000000002</c:v>
                </c:pt>
                <c:pt idx="384" formatCode="0">
                  <c:v>5.4173900000000001</c:v>
                </c:pt>
                <c:pt idx="385" formatCode="0">
                  <c:v>5.3097500000000002</c:v>
                </c:pt>
                <c:pt idx="386" formatCode="0">
                  <c:v>5.2874300000000005</c:v>
                </c:pt>
                <c:pt idx="387" formatCode="0">
                  <c:v>5.2276400000000001</c:v>
                </c:pt>
                <c:pt idx="388" formatCode="0">
                  <c:v>5.2649900000000001</c:v>
                </c:pt>
                <c:pt idx="389" formatCode="0">
                  <c:v>5.1951999999999998</c:v>
                </c:pt>
                <c:pt idx="390" formatCode="0">
                  <c:v>5.1684599999999996</c:v>
                </c:pt>
                <c:pt idx="391" formatCode="0">
                  <c:v>5.1963499999999998</c:v>
                </c:pt>
                <c:pt idx="392" formatCode="0">
                  <c:v>5.1958099999999998</c:v>
                </c:pt>
                <c:pt idx="393" formatCode="0">
                  <c:v>5.1103899999999998</c:v>
                </c:pt>
                <c:pt idx="394" formatCode="0">
                  <c:v>5.2960500000000001</c:v>
                </c:pt>
                <c:pt idx="395" formatCode="0">
                  <c:v>5.3624099999999997</c:v>
                </c:pt>
                <c:pt idx="396" formatCode="0">
                  <c:v>5.4448699999999999</c:v>
                </c:pt>
                <c:pt idx="397" formatCode="0">
                  <c:v>5.26288</c:v>
                </c:pt>
                <c:pt idx="398" formatCode="0">
                  <c:v>5.2564000000000002</c:v>
                </c:pt>
                <c:pt idx="399" formatCode="0">
                  <c:v>5.1964499999999996</c:v>
                </c:pt>
                <c:pt idx="400" formatCode="0">
                  <c:v>5.2582199999999997</c:v>
                </c:pt>
                <c:pt idx="401" formatCode="0">
                  <c:v>5.3233100000000002</c:v>
                </c:pt>
                <c:pt idx="402" formatCode="0">
                  <c:v>5.2874400000000001</c:v>
                </c:pt>
                <c:pt idx="403" formatCode="0">
                  <c:v>5.4807199999999998</c:v>
                </c:pt>
                <c:pt idx="404" formatCode="0">
                  <c:v>5.4263599999999999</c:v>
                </c:pt>
                <c:pt idx="405" formatCode="0">
                  <c:v>5.3236300000000005</c:v>
                </c:pt>
                <c:pt idx="406" formatCode="0">
                  <c:v>5.4046699999999994</c:v>
                </c:pt>
                <c:pt idx="407" formatCode="0">
                  <c:v>5.3786199999999997</c:v>
                </c:pt>
                <c:pt idx="408" formatCode="0">
                  <c:v>5.4177</c:v>
                </c:pt>
                <c:pt idx="409" formatCode="0">
                  <c:v>5.6003800000000004</c:v>
                </c:pt>
                <c:pt idx="410" formatCode="0">
                  <c:v>5.5325099999999994</c:v>
                </c:pt>
                <c:pt idx="411" formatCode="0">
                  <c:v>5.4339599999999999</c:v>
                </c:pt>
                <c:pt idx="412" formatCode="0">
                  <c:v>5.4819899999999997</c:v>
                </c:pt>
                <c:pt idx="413" formatCode="0">
                  <c:v>5.4667999999999992</c:v>
                </c:pt>
                <c:pt idx="414" formatCode="0">
                  <c:v>5.4683200000000003</c:v>
                </c:pt>
                <c:pt idx="415" formatCode="0">
                  <c:v>5.4872500000000004</c:v>
                </c:pt>
                <c:pt idx="416" formatCode="0">
                  <c:v>5.4356399999999994</c:v>
                </c:pt>
                <c:pt idx="417" formatCode="0">
                  <c:v>5.3946000000000005</c:v>
                </c:pt>
                <c:pt idx="418" formatCode="0">
                  <c:v>5.3736500000000005</c:v>
                </c:pt>
                <c:pt idx="419" formatCode="0">
                  <c:v>5.3497199999999996</c:v>
                </c:pt>
                <c:pt idx="420" formatCode="0">
                  <c:v>5.4237300000000008</c:v>
                </c:pt>
                <c:pt idx="421" formatCode="0">
                  <c:v>5.30044</c:v>
                </c:pt>
                <c:pt idx="422" formatCode="0">
                  <c:v>5.3409400000000007</c:v>
                </c:pt>
                <c:pt idx="423" formatCode="0">
                  <c:v>5.3833900000000003</c:v>
                </c:pt>
                <c:pt idx="424" formatCode="0">
                  <c:v>5.38375</c:v>
                </c:pt>
                <c:pt idx="425" formatCode="0">
                  <c:v>5.3520399999999997</c:v>
                </c:pt>
                <c:pt idx="426" formatCode="0">
                  <c:v>5.4103099999999991</c:v>
                </c:pt>
                <c:pt idx="427" formatCode="0">
                  <c:v>5.3967799999999997</c:v>
                </c:pt>
                <c:pt idx="428" formatCode="0">
                  <c:v>5.3931199999999997</c:v>
                </c:pt>
                <c:pt idx="429" formatCode="0">
                  <c:v>5.3064499999999999</c:v>
                </c:pt>
                <c:pt idx="430" formatCode="0">
                  <c:v>5.1972299999999994</c:v>
                </c:pt>
                <c:pt idx="431" formatCode="0">
                  <c:v>5.2025100000000002</c:v>
                </c:pt>
                <c:pt idx="432" formatCode="0">
                  <c:v>5.16615</c:v>
                </c:pt>
                <c:pt idx="433" formatCode="0">
                  <c:v>5.16615</c:v>
                </c:pt>
                <c:pt idx="434" formatCode="0">
                  <c:v>5.0626899999999999</c:v>
                </c:pt>
                <c:pt idx="435" formatCode="0">
                  <c:v>5.0322399999999998</c:v>
                </c:pt>
                <c:pt idx="436" formatCode="0">
                  <c:v>5.0268100000000002</c:v>
                </c:pt>
                <c:pt idx="437" formatCode="0">
                  <c:v>4.99857</c:v>
                </c:pt>
                <c:pt idx="438" formatCode="0">
                  <c:v>4.9992899999999993</c:v>
                </c:pt>
                <c:pt idx="439" formatCode="0">
                  <c:v>4.9694799999999999</c:v>
                </c:pt>
                <c:pt idx="440" formatCode="0">
                  <c:v>5.0535800000000002</c:v>
                </c:pt>
                <c:pt idx="441" formatCode="0">
                  <c:v>5.1908399999999997</c:v>
                </c:pt>
                <c:pt idx="442" formatCode="0">
                  <c:v>5.0664499999999997</c:v>
                </c:pt>
                <c:pt idx="443" formatCode="0">
                  <c:v>5.0450799999999996</c:v>
                </c:pt>
                <c:pt idx="444" formatCode="0">
                  <c:v>5.0870299999999995</c:v>
                </c:pt>
                <c:pt idx="445" formatCode="0">
                  <c:v>4.9999099999999999</c:v>
                </c:pt>
                <c:pt idx="446" formatCode="0">
                  <c:v>4.9602499999999994</c:v>
                </c:pt>
                <c:pt idx="447" formatCode="0">
                  <c:v>5.0327700000000002</c:v>
                </c:pt>
                <c:pt idx="448" formatCode="0">
                  <c:v>5.2427099999999998</c:v>
                </c:pt>
                <c:pt idx="449" formatCode="0">
                  <c:v>5.1851199999999995</c:v>
                </c:pt>
                <c:pt idx="450" formatCode="0">
                  <c:v>5.3039700000000005</c:v>
                </c:pt>
                <c:pt idx="451" formatCode="0">
                  <c:v>5.1681500000000007</c:v>
                </c:pt>
                <c:pt idx="452" formatCode="0">
                  <c:v>5.3627500000000001</c:v>
                </c:pt>
                <c:pt idx="453" formatCode="0">
                  <c:v>5.40273</c:v>
                </c:pt>
                <c:pt idx="454" formatCode="0">
                  <c:v>5.5054600000000002</c:v>
                </c:pt>
                <c:pt idx="455" formatCode="0">
                  <c:v>5.4570299999999996</c:v>
                </c:pt>
                <c:pt idx="456" formatCode="0">
                  <c:v>5.5216600000000007</c:v>
                </c:pt>
                <c:pt idx="457" formatCode="0">
                  <c:v>5.6623999999999999</c:v>
                </c:pt>
                <c:pt idx="458" formatCode="0">
                  <c:v>5.6933900000000008</c:v>
                </c:pt>
                <c:pt idx="459" formatCode="0">
                  <c:v>5.66561</c:v>
                </c:pt>
                <c:pt idx="460" formatCode="0">
                  <c:v>5.6584699999999994</c:v>
                </c:pt>
                <c:pt idx="461" formatCode="0">
                  <c:v>5.4352800000000006</c:v>
                </c:pt>
                <c:pt idx="462" formatCode="0">
                  <c:v>5.3856899999999994</c:v>
                </c:pt>
                <c:pt idx="463" formatCode="0">
                  <c:v>5.4445000000000006</c:v>
                </c:pt>
                <c:pt idx="464" formatCode="0">
                  <c:v>5.4880800000000001</c:v>
                </c:pt>
                <c:pt idx="465" formatCode="0">
                  <c:v>5.3601300000000007</c:v>
                </c:pt>
                <c:pt idx="466" formatCode="0">
                  <c:v>5.2230699999999999</c:v>
                </c:pt>
                <c:pt idx="467" formatCode="0">
                  <c:v>5.1431399999999998</c:v>
                </c:pt>
                <c:pt idx="468" formatCode="0">
                  <c:v>5.21</c:v>
                </c:pt>
                <c:pt idx="469" formatCode="0">
                  <c:v>5.1787000000000001</c:v>
                </c:pt>
                <c:pt idx="470" formatCode="0">
                  <c:v>5.1279399999999997</c:v>
                </c:pt>
                <c:pt idx="471" formatCode="0">
                  <c:v>5.2007399999999997</c:v>
                </c:pt>
                <c:pt idx="472" formatCode="0">
                  <c:v>5.28592</c:v>
                </c:pt>
                <c:pt idx="473" formatCode="0">
                  <c:v>5.3336600000000001</c:v>
                </c:pt>
                <c:pt idx="474" formatCode="0">
                  <c:v>5.31792</c:v>
                </c:pt>
                <c:pt idx="475" formatCode="0">
                  <c:v>5.3886400000000005</c:v>
                </c:pt>
                <c:pt idx="476" formatCode="0">
                  <c:v>5.3294500000000005</c:v>
                </c:pt>
                <c:pt idx="477" formatCode="0">
                  <c:v>5.3606400000000001</c:v>
                </c:pt>
                <c:pt idx="478" formatCode="0">
                  <c:v>5.7368699999999997</c:v>
                </c:pt>
                <c:pt idx="479" formatCode="0">
                  <c:v>5.83162</c:v>
                </c:pt>
                <c:pt idx="480" formatCode="0">
                  <c:v>5.8224</c:v>
                </c:pt>
                <c:pt idx="481" formatCode="0">
                  <c:v>5.8078200000000004</c:v>
                </c:pt>
                <c:pt idx="482" formatCode="0">
                  <c:v>5.6635299999999997</c:v>
                </c:pt>
                <c:pt idx="483" formatCode="0">
                  <c:v>5.5465200000000001</c:v>
                </c:pt>
                <c:pt idx="484" formatCode="0">
                  <c:v>5.6282699999999997</c:v>
                </c:pt>
                <c:pt idx="485" formatCode="0">
                  <c:v>5.6344200000000004</c:v>
                </c:pt>
                <c:pt idx="486" formatCode="0">
                  <c:v>5.6911199999999997</c:v>
                </c:pt>
                <c:pt idx="487" formatCode="0">
                  <c:v>5.8538999999999994</c:v>
                </c:pt>
                <c:pt idx="488" formatCode="0">
                  <c:v>5.9955100000000003</c:v>
                </c:pt>
                <c:pt idx="489" formatCode="0">
                  <c:v>6.1247400000000001</c:v>
                </c:pt>
                <c:pt idx="490" formatCode="0">
                  <c:v>6.0911400000000002</c:v>
                </c:pt>
                <c:pt idx="491" formatCode="0">
                  <c:v>5.9939099999999996</c:v>
                </c:pt>
                <c:pt idx="492" formatCode="0">
                  <c:v>6.0405800000000003</c:v>
                </c:pt>
                <c:pt idx="493" formatCode="0">
                  <c:v>6.4445100000000002</c:v>
                </c:pt>
                <c:pt idx="494" formatCode="0">
                  <c:v>6.4887699999999997</c:v>
                </c:pt>
                <c:pt idx="495" formatCode="0">
                  <c:v>6.5496000000000008</c:v>
                </c:pt>
                <c:pt idx="496" formatCode="0">
                  <c:v>6.6421000000000001</c:v>
                </c:pt>
                <c:pt idx="497" formatCode="0">
                  <c:v>6.9462300000000008</c:v>
                </c:pt>
                <c:pt idx="498" formatCode="0">
                  <c:v>6.9512800000000006</c:v>
                </c:pt>
                <c:pt idx="499" formatCode="0">
                  <c:v>6.8729600000000008</c:v>
                </c:pt>
                <c:pt idx="500" formatCode="0">
                  <c:v>6.6875800000000005</c:v>
                </c:pt>
                <c:pt idx="501" formatCode="0">
                  <c:v>6.5464500000000001</c:v>
                </c:pt>
                <c:pt idx="502" formatCode="0">
                  <c:v>6.6030100000000003</c:v>
                </c:pt>
                <c:pt idx="503" formatCode="0">
                  <c:v>6.6259400000000008</c:v>
                </c:pt>
                <c:pt idx="504" formatCode="0">
                  <c:v>6.5704600000000006</c:v>
                </c:pt>
                <c:pt idx="505" formatCode="0">
                  <c:v>6.4992999999999999</c:v>
                </c:pt>
                <c:pt idx="506" formatCode="0">
                  <c:v>6.6247100000000003</c:v>
                </c:pt>
                <c:pt idx="507" formatCode="0">
                  <c:v>6.6476199999999999</c:v>
                </c:pt>
                <c:pt idx="508" formatCode="0">
                  <c:v>6.7269000000000005</c:v>
                </c:pt>
                <c:pt idx="509" formatCode="0">
                  <c:v>6.9599199999999994</c:v>
                </c:pt>
                <c:pt idx="510" formatCode="0">
                  <c:v>7.0831200000000001</c:v>
                </c:pt>
                <c:pt idx="511" formatCode="0">
                  <c:v>7.1393700000000004</c:v>
                </c:pt>
                <c:pt idx="512" formatCode="0">
                  <c:v>7.4545599999999999</c:v>
                </c:pt>
                <c:pt idx="513" formatCode="0">
                  <c:v>7.6363000000000003</c:v>
                </c:pt>
                <c:pt idx="514" formatCode="0">
                  <c:v>7.6052499999999998</c:v>
                </c:pt>
                <c:pt idx="515" formatCode="0">
                  <c:v>7.6637199999999996</c:v>
                </c:pt>
                <c:pt idx="516" formatCode="0">
                  <c:v>7.5285900000000003</c:v>
                </c:pt>
                <c:pt idx="517" formatCode="0">
                  <c:v>7.4879600000000002</c:v>
                </c:pt>
                <c:pt idx="518" formatCode="0">
                  <c:v>7.4879600000000002</c:v>
                </c:pt>
                <c:pt idx="519" formatCode="0">
                  <c:v>7.4879600000000002</c:v>
                </c:pt>
                <c:pt idx="520" formatCode="0">
                  <c:v>7.5138199999999991</c:v>
                </c:pt>
                <c:pt idx="521" formatCode="0">
                  <c:v>7.53606</c:v>
                </c:pt>
                <c:pt idx="522" formatCode="0">
                  <c:v>7.5278900000000002</c:v>
                </c:pt>
                <c:pt idx="523" formatCode="0">
                  <c:v>7.5278900000000002</c:v>
                </c:pt>
                <c:pt idx="524" formatCode="0">
                  <c:v>7.3698100000000002</c:v>
                </c:pt>
                <c:pt idx="525" formatCode="0">
                  <c:v>7.3377800000000004</c:v>
                </c:pt>
                <c:pt idx="526" formatCode="0">
                  <c:v>7.5526700000000009</c:v>
                </c:pt>
                <c:pt idx="527" formatCode="0">
                  <c:v>7.5819200000000002</c:v>
                </c:pt>
                <c:pt idx="528" formatCode="0">
                  <c:v>7.8123500000000003</c:v>
                </c:pt>
                <c:pt idx="529" formatCode="0">
                  <c:v>7.5037400000000005</c:v>
                </c:pt>
                <c:pt idx="530" formatCode="0">
                  <c:v>7.5304799999999998</c:v>
                </c:pt>
                <c:pt idx="531" formatCode="0">
                  <c:v>8.3096800000000002</c:v>
                </c:pt>
                <c:pt idx="532" formatCode="0">
                  <c:v>8.876710000000001</c:v>
                </c:pt>
                <c:pt idx="533" formatCode="0">
                  <c:v>8.9900800000000007</c:v>
                </c:pt>
                <c:pt idx="534" formatCode="0">
                  <c:v>8.707279999999999</c:v>
                </c:pt>
                <c:pt idx="535" formatCode="0">
                  <c:v>8.0910900000000012</c:v>
                </c:pt>
                <c:pt idx="536" formatCode="0">
                  <c:v>8.139800000000001</c:v>
                </c:pt>
                <c:pt idx="537" formatCode="0">
                  <c:v>8.0735100000000006</c:v>
                </c:pt>
                <c:pt idx="538" formatCode="0">
                  <c:v>8.8006600000000006</c:v>
                </c:pt>
                <c:pt idx="539" formatCode="0">
                  <c:v>9.0237300000000005</c:v>
                </c:pt>
                <c:pt idx="540" formatCode="0">
                  <c:v>8.9098299999999995</c:v>
                </c:pt>
                <c:pt idx="541" formatCode="0">
                  <c:v>8.166269999999999</c:v>
                </c:pt>
                <c:pt idx="542" formatCode="0">
                  <c:v>8.0826999999999991</c:v>
                </c:pt>
                <c:pt idx="543" formatCode="0">
                  <c:v>7.9361699999999997</c:v>
                </c:pt>
                <c:pt idx="544" formatCode="0">
                  <c:v>7.8940400000000004</c:v>
                </c:pt>
                <c:pt idx="545" formatCode="0">
                  <c:v>7.6877999999999993</c:v>
                </c:pt>
                <c:pt idx="546" formatCode="0">
                  <c:v>7.78878</c:v>
                </c:pt>
                <c:pt idx="547" formatCode="0">
                  <c:v>7.7104699999999999</c:v>
                </c:pt>
                <c:pt idx="548" formatCode="0">
                  <c:v>7.8446199999999999</c:v>
                </c:pt>
                <c:pt idx="549" formatCode="0">
                  <c:v>7.8110600000000003</c:v>
                </c:pt>
                <c:pt idx="550" formatCode="0">
                  <c:v>7.7248400000000004</c:v>
                </c:pt>
                <c:pt idx="551" formatCode="0">
                  <c:v>7.7171000000000003</c:v>
                </c:pt>
                <c:pt idx="552" formatCode="0">
                  <c:v>8.41404</c:v>
                </c:pt>
                <c:pt idx="553" formatCode="0">
                  <c:v>8.9269099999999995</c:v>
                </c:pt>
                <c:pt idx="554" formatCode="0">
                  <c:v>8.2611600000000003</c:v>
                </c:pt>
                <c:pt idx="555" formatCode="0">
                  <c:v>8.0788700000000002</c:v>
                </c:pt>
                <c:pt idx="556" formatCode="0">
                  <c:v>8.7302099999999996</c:v>
                </c:pt>
                <c:pt idx="557" formatCode="0">
                  <c:v>9.1355299999999993</c:v>
                </c:pt>
                <c:pt idx="558" formatCode="0">
                  <c:v>9.6859199999999994</c:v>
                </c:pt>
                <c:pt idx="559" formatCode="0">
                  <c:v>10.220839999999999</c:v>
                </c:pt>
                <c:pt idx="560" formatCode="0">
                  <c:v>12.851330000000001</c:v>
                </c:pt>
                <c:pt idx="561" formatCode="0">
                  <c:v>21.39359</c:v>
                </c:pt>
                <c:pt idx="562" formatCode="0">
                  <c:v>17.16488</c:v>
                </c:pt>
                <c:pt idx="563" formatCode="0">
                  <c:v>23.36121</c:v>
                </c:pt>
                <c:pt idx="564" formatCode="0">
                  <c:v>24.387600000000003</c:v>
                </c:pt>
                <c:pt idx="565" formatCode="0">
                  <c:v>29.176860000000001</c:v>
                </c:pt>
                <c:pt idx="566" formatCode="0">
                  <c:v>29.071919999999999</c:v>
                </c:pt>
                <c:pt idx="567" formatCode="0">
                  <c:v>37.338299999999997</c:v>
                </c:pt>
                <c:pt idx="568" formatCode="0">
                  <c:v>35.873080000000002</c:v>
                </c:pt>
                <c:pt idx="569" formatCode="0">
                  <c:v>30.992519999999999</c:v>
                </c:pt>
                <c:pt idx="570" formatCode="0">
                  <c:v>26.348139999999997</c:v>
                </c:pt>
                <c:pt idx="571" formatCode="0">
                  <c:v>26.88476</c:v>
                </c:pt>
                <c:pt idx="572" formatCode="0">
                  <c:v>27.023139999999998</c:v>
                </c:pt>
                <c:pt idx="573" formatCode="0">
                  <c:v>25.994989999999998</c:v>
                </c:pt>
                <c:pt idx="574" formatCode="0">
                  <c:v>25.314329999999998</c:v>
                </c:pt>
                <c:pt idx="575" formatCode="0">
                  <c:v>19.861810000000002</c:v>
                </c:pt>
                <c:pt idx="576" formatCode="0">
                  <c:v>20.967420000000001</c:v>
                </c:pt>
                <c:pt idx="577" formatCode="0">
                  <c:v>21.846880000000002</c:v>
                </c:pt>
                <c:pt idx="578" formatCode="0">
                  <c:v>22.052409999999998</c:v>
                </c:pt>
                <c:pt idx="579" formatCode="0">
                  <c:v>22.246709999999997</c:v>
                </c:pt>
                <c:pt idx="580" formatCode="0">
                  <c:v>22.516579999999998</c:v>
                </c:pt>
                <c:pt idx="581" formatCode="0">
                  <c:v>22.45252</c:v>
                </c:pt>
                <c:pt idx="582" formatCode="0">
                  <c:v>20.807919999999999</c:v>
                </c:pt>
                <c:pt idx="583" formatCode="0">
                  <c:v>20.161179999999998</c:v>
                </c:pt>
                <c:pt idx="584" formatCode="0">
                  <c:v>17.411709999999999</c:v>
                </c:pt>
                <c:pt idx="585" formatCode="0">
                  <c:v>18.360779999999998</c:v>
                </c:pt>
                <c:pt idx="586" formatCode="0">
                  <c:v>18.478960000000001</c:v>
                </c:pt>
                <c:pt idx="587" formatCode="0">
                  <c:v>18.621089999999999</c:v>
                </c:pt>
                <c:pt idx="588" formatCode="0">
                  <c:v>18.649010000000001</c:v>
                </c:pt>
                <c:pt idx="589" formatCode="0">
                  <c:v>18.729839999999999</c:v>
                </c:pt>
                <c:pt idx="590" formatCode="0">
                  <c:v>19.29814</c:v>
                </c:pt>
                <c:pt idx="591" formatCode="0">
                  <c:v>19.67098</c:v>
                </c:pt>
                <c:pt idx="592" formatCode="0">
                  <c:v>19.815540000000002</c:v>
                </c:pt>
                <c:pt idx="593" formatCode="0">
                  <c:v>20.058019999999999</c:v>
                </c:pt>
                <c:pt idx="594" formatCode="0">
                  <c:v>21.024229999999999</c:v>
                </c:pt>
                <c:pt idx="595" formatCode="0">
                  <c:v>20.628350000000001</c:v>
                </c:pt>
                <c:pt idx="596" formatCode="0">
                  <c:v>21.17109</c:v>
                </c:pt>
                <c:pt idx="597" formatCode="0">
                  <c:v>21.17109</c:v>
                </c:pt>
                <c:pt idx="598" formatCode="0">
                  <c:v>21.17109</c:v>
                </c:pt>
                <c:pt idx="599" formatCode="0">
                  <c:v>22.648110000000003</c:v>
                </c:pt>
                <c:pt idx="600" formatCode="0">
                  <c:v>22.876580000000001</c:v>
                </c:pt>
                <c:pt idx="601" formatCode="0">
                  <c:v>22.844949999999997</c:v>
                </c:pt>
                <c:pt idx="602" formatCode="0">
                  <c:v>23.24663</c:v>
                </c:pt>
                <c:pt idx="603" formatCode="0">
                  <c:v>23.645189999999999</c:v>
                </c:pt>
                <c:pt idx="604" formatCode="0">
                  <c:v>24.272080000000003</c:v>
                </c:pt>
                <c:pt idx="605" formatCode="0">
                  <c:v>24.170450000000002</c:v>
                </c:pt>
                <c:pt idx="606" formatCode="0">
                  <c:v>23.936120000000003</c:v>
                </c:pt>
                <c:pt idx="607" formatCode="0">
                  <c:v>23.82197</c:v>
                </c:pt>
                <c:pt idx="608" formatCode="0">
                  <c:v>23.614409999999999</c:v>
                </c:pt>
                <c:pt idx="609" formatCode="0">
                  <c:v>23.92849</c:v>
                </c:pt>
                <c:pt idx="610" formatCode="0">
                  <c:v>23.595230000000001</c:v>
                </c:pt>
                <c:pt idx="611" formatCode="0">
                  <c:v>22.838229999999999</c:v>
                </c:pt>
                <c:pt idx="612" formatCode="0">
                  <c:v>22.305810000000001</c:v>
                </c:pt>
                <c:pt idx="613" formatCode="0">
                  <c:v>22.631509999999999</c:v>
                </c:pt>
                <c:pt idx="614" formatCode="0">
                  <c:v>22.23875</c:v>
                </c:pt>
                <c:pt idx="615" formatCode="0">
                  <c:v>21.474899999999998</c:v>
                </c:pt>
                <c:pt idx="616" formatCode="0">
                  <c:v>21.545960000000001</c:v>
                </c:pt>
                <c:pt idx="617" formatCode="0">
                  <c:v>21.24325</c:v>
                </c:pt>
                <c:pt idx="618" formatCode="0">
                  <c:v>21.298119999999997</c:v>
                </c:pt>
                <c:pt idx="619" formatCode="0">
                  <c:v>20.765180000000001</c:v>
                </c:pt>
                <c:pt idx="620" formatCode="0">
                  <c:v>19.461349999999999</c:v>
                </c:pt>
                <c:pt idx="621" formatCode="0">
                  <c:v>19.78227</c:v>
                </c:pt>
                <c:pt idx="622" formatCode="0">
                  <c:v>19.97682</c:v>
                </c:pt>
                <c:pt idx="623" formatCode="0">
                  <c:v>20.37959</c:v>
                </c:pt>
                <c:pt idx="624" formatCode="0">
                  <c:v>20.969009999999997</c:v>
                </c:pt>
                <c:pt idx="625" formatCode="0">
                  <c:v>21.051149999999996</c:v>
                </c:pt>
                <c:pt idx="626" formatCode="0">
                  <c:v>21.084720000000001</c:v>
                </c:pt>
                <c:pt idx="627" formatCode="0">
                  <c:v>21.19313</c:v>
                </c:pt>
                <c:pt idx="628" formatCode="0">
                  <c:v>21.026120000000002</c:v>
                </c:pt>
                <c:pt idx="629" formatCode="0">
                  <c:v>21.18036</c:v>
                </c:pt>
                <c:pt idx="630" formatCode="0">
                  <c:v>21.13824</c:v>
                </c:pt>
                <c:pt idx="631" formatCode="0">
                  <c:v>21.13824</c:v>
                </c:pt>
                <c:pt idx="632" formatCode="0">
                  <c:v>21.13824</c:v>
                </c:pt>
                <c:pt idx="633" formatCode="0">
                  <c:v>21.016939999999998</c:v>
                </c:pt>
                <c:pt idx="634" formatCode="0">
                  <c:v>21.415509999999998</c:v>
                </c:pt>
                <c:pt idx="635" formatCode="0">
                  <c:v>21.629850000000001</c:v>
                </c:pt>
                <c:pt idx="636" formatCode="0">
                  <c:v>21.782049999999998</c:v>
                </c:pt>
                <c:pt idx="637" formatCode="0">
                  <c:v>21.780090000000001</c:v>
                </c:pt>
                <c:pt idx="638" formatCode="0">
                  <c:v>22.641460000000002</c:v>
                </c:pt>
                <c:pt idx="639" formatCode="0">
                  <c:v>22.91431</c:v>
                </c:pt>
                <c:pt idx="640" formatCode="0">
                  <c:v>23.22364</c:v>
                </c:pt>
                <c:pt idx="641" formatCode="0">
                  <c:v>23.687550000000002</c:v>
                </c:pt>
                <c:pt idx="642" formatCode="0">
                  <c:v>23.737489999999998</c:v>
                </c:pt>
                <c:pt idx="643" formatCode="0">
                  <c:v>23.806629999999998</c:v>
                </c:pt>
                <c:pt idx="644" formatCode="0">
                  <c:v>24.004250000000003</c:v>
                </c:pt>
                <c:pt idx="645" formatCode="0">
                  <c:v>24.186579999999999</c:v>
                </c:pt>
                <c:pt idx="646" formatCode="0">
                  <c:v>26.533429999999999</c:v>
                </c:pt>
                <c:pt idx="647" formatCode="0">
                  <c:v>27.391480000000001</c:v>
                </c:pt>
                <c:pt idx="648" formatCode="0">
                  <c:v>27.731939999999998</c:v>
                </c:pt>
                <c:pt idx="649" formatCode="0">
                  <c:v>28.592649999999999</c:v>
                </c:pt>
                <c:pt idx="650" formatCode="0">
                  <c:v>29.195949999999996</c:v>
                </c:pt>
                <c:pt idx="651" formatCode="0">
                  <c:v>29.929850000000002</c:v>
                </c:pt>
                <c:pt idx="652" formatCode="0">
                  <c:v>29.276149999999998</c:v>
                </c:pt>
                <c:pt idx="653" formatCode="0">
                  <c:v>29.40596</c:v>
                </c:pt>
                <c:pt idx="654" formatCode="0">
                  <c:v>30.291819999999998</c:v>
                </c:pt>
                <c:pt idx="655" formatCode="0">
                  <c:v>32.025309999999998</c:v>
                </c:pt>
                <c:pt idx="656" formatCode="0">
                  <c:v>33.369909999999997</c:v>
                </c:pt>
                <c:pt idx="657" formatCode="0">
                  <c:v>33.865230000000004</c:v>
                </c:pt>
                <c:pt idx="658" formatCode="0">
                  <c:v>34.659469999999999</c:v>
                </c:pt>
                <c:pt idx="659" formatCode="0">
                  <c:v>41.42792</c:v>
                </c:pt>
                <c:pt idx="660" formatCode="0">
                  <c:v>43.454210000000003</c:v>
                </c:pt>
                <c:pt idx="661" formatCode="0">
                  <c:v>39.246870000000001</c:v>
                </c:pt>
                <c:pt idx="662" formatCode="0">
                  <c:v>37.57226</c:v>
                </c:pt>
                <c:pt idx="663" formatCode="0">
                  <c:v>36.899969999999996</c:v>
                </c:pt>
                <c:pt idx="664" formatCode="0">
                  <c:v>41.858680000000007</c:v>
                </c:pt>
                <c:pt idx="665" formatCode="0">
                  <c:v>39.144890000000004</c:v>
                </c:pt>
                <c:pt idx="666" formatCode="0">
                  <c:v>39.100569999999998</c:v>
                </c:pt>
                <c:pt idx="667" formatCode="0">
                  <c:v>39.04365</c:v>
                </c:pt>
                <c:pt idx="668" formatCode="0">
                  <c:v>35.871929999999999</c:v>
                </c:pt>
                <c:pt idx="669" formatCode="0">
                  <c:v>36.761249999999997</c:v>
                </c:pt>
                <c:pt idx="670" formatCode="0">
                  <c:v>36.878309999999999</c:v>
                </c:pt>
                <c:pt idx="671" formatCode="0">
                  <c:v>36.769100000000002</c:v>
                </c:pt>
                <c:pt idx="672" formatCode="0">
                  <c:v>36.75714</c:v>
                </c:pt>
                <c:pt idx="673" formatCode="0">
                  <c:v>37.324860000000001</c:v>
                </c:pt>
                <c:pt idx="674" formatCode="0">
                  <c:v>38.194180000000003</c:v>
                </c:pt>
                <c:pt idx="675" formatCode="0">
                  <c:v>39.96837</c:v>
                </c:pt>
                <c:pt idx="676" formatCode="0">
                  <c:v>40.810680000000005</c:v>
                </c:pt>
                <c:pt idx="677" formatCode="0">
                  <c:v>40.911320000000003</c:v>
                </c:pt>
                <c:pt idx="678" formatCode="0">
                  <c:v>41.099589999999999</c:v>
                </c:pt>
                <c:pt idx="679" formatCode="0">
                  <c:v>40.68141</c:v>
                </c:pt>
                <c:pt idx="680" formatCode="0">
                  <c:v>39.993659999999998</c:v>
                </c:pt>
                <c:pt idx="681" formatCode="0">
                  <c:v>35.724330000000002</c:v>
                </c:pt>
                <c:pt idx="682" formatCode="0">
                  <c:v>34.198409999999996</c:v>
                </c:pt>
                <c:pt idx="683" formatCode="0">
                  <c:v>23.84638</c:v>
                </c:pt>
                <c:pt idx="684" formatCode="0">
                  <c:v>22.394940000000002</c:v>
                </c:pt>
                <c:pt idx="685" formatCode="0">
                  <c:v>23.09984</c:v>
                </c:pt>
                <c:pt idx="686" formatCode="0">
                  <c:v>23.540649999999999</c:v>
                </c:pt>
                <c:pt idx="687" formatCode="0">
                  <c:v>22.053440000000002</c:v>
                </c:pt>
                <c:pt idx="688" formatCode="0">
                  <c:v>23.42953</c:v>
                </c:pt>
                <c:pt idx="689" formatCode="0">
                  <c:v>22.064050000000002</c:v>
                </c:pt>
                <c:pt idx="690" formatCode="0">
                  <c:v>22.718499999999999</c:v>
                </c:pt>
                <c:pt idx="691" formatCode="0">
                  <c:v>24.069609999999997</c:v>
                </c:pt>
                <c:pt idx="692" formatCode="0">
                  <c:v>22.114729999999998</c:v>
                </c:pt>
                <c:pt idx="693" formatCode="0">
                  <c:v>22.061489999999999</c:v>
                </c:pt>
                <c:pt idx="694" formatCode="0">
                  <c:v>26.4298</c:v>
                </c:pt>
                <c:pt idx="695" formatCode="0">
                  <c:v>26.439910000000001</c:v>
                </c:pt>
                <c:pt idx="696" formatCode="0">
                  <c:v>28.46922</c:v>
                </c:pt>
                <c:pt idx="697" formatCode="0">
                  <c:v>26.93056</c:v>
                </c:pt>
                <c:pt idx="698" formatCode="0">
                  <c:v>25.50339</c:v>
                </c:pt>
                <c:pt idx="699" formatCode="0">
                  <c:v>26.696350000000002</c:v>
                </c:pt>
                <c:pt idx="700" formatCode="0">
                  <c:v>26.083400000000001</c:v>
                </c:pt>
                <c:pt idx="701" formatCode="0">
                  <c:v>27.206390000000003</c:v>
                </c:pt>
                <c:pt idx="702" formatCode="0">
                  <c:v>26.972080000000002</c:v>
                </c:pt>
                <c:pt idx="703" formatCode="0">
                  <c:v>24.089389999999998</c:v>
                </c:pt>
                <c:pt idx="704" formatCode="0">
                  <c:v>25.227350000000001</c:v>
                </c:pt>
                <c:pt idx="705" formatCode="0">
                  <c:v>22.900940000000002</c:v>
                </c:pt>
                <c:pt idx="706" formatCode="0">
                  <c:v>24.757020000000001</c:v>
                </c:pt>
                <c:pt idx="707" formatCode="0">
                  <c:v>25.062269999999998</c:v>
                </c:pt>
              </c:numCache>
            </c:numRef>
          </c:val>
          <c:smooth val="0"/>
          <c:extLst>
            <c:ext xmlns:c16="http://schemas.microsoft.com/office/drawing/2014/chart" uri="{C3380CC4-5D6E-409C-BE32-E72D297353CC}">
              <c16:uniqueId val="{00000008-F31E-4170-9322-6C48FF56580E}"/>
            </c:ext>
          </c:extLst>
        </c:ser>
        <c:dLbls>
          <c:showLegendKey val="0"/>
          <c:showVal val="0"/>
          <c:showCatName val="0"/>
          <c:showSerName val="0"/>
          <c:showPercent val="0"/>
          <c:showBubbleSize val="0"/>
        </c:dLbls>
        <c:marker val="1"/>
        <c:smooth val="0"/>
        <c:axId val="216969216"/>
        <c:axId val="216967424"/>
      </c:lineChart>
      <c:dateAx>
        <c:axId val="21696371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16965504"/>
        <c:crosses val="autoZero"/>
        <c:auto val="1"/>
        <c:lblOffset val="100"/>
        <c:baseTimeUnit val="days"/>
      </c:dateAx>
      <c:valAx>
        <c:axId val="216965504"/>
        <c:scaling>
          <c:orientation val="minMax"/>
          <c:max val="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տոկոսային կետ</a:t>
                </a:r>
                <a:endParaRPr lang="en-US" sz="900"/>
              </a:p>
            </c:rich>
          </c:tx>
          <c:layout>
            <c:manualLayout>
              <c:xMode val="edge"/>
              <c:yMode val="edge"/>
              <c:x val="0"/>
              <c:y val="0.229790165118249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963712"/>
        <c:crosses val="autoZero"/>
        <c:crossBetween val="between"/>
        <c:majorUnit val="5"/>
      </c:valAx>
      <c:valAx>
        <c:axId val="216967424"/>
        <c:scaling>
          <c:orientation val="minMax"/>
          <c:max val="100"/>
        </c:scaling>
        <c:delete val="0"/>
        <c:axPos val="r"/>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969216"/>
        <c:crosses val="max"/>
        <c:crossBetween val="between"/>
        <c:majorUnit val="20"/>
        <c:minorUnit val="5"/>
      </c:valAx>
      <c:dateAx>
        <c:axId val="216969216"/>
        <c:scaling>
          <c:orientation val="minMax"/>
        </c:scaling>
        <c:delete val="1"/>
        <c:axPos val="b"/>
        <c:numFmt formatCode="m\/d\/yyyy" sourceLinked="1"/>
        <c:majorTickMark val="out"/>
        <c:minorTickMark val="none"/>
        <c:tickLblPos val="nextTo"/>
        <c:crossAx val="216967424"/>
        <c:crosses val="autoZero"/>
        <c:auto val="1"/>
        <c:lblOffset val="100"/>
        <c:baseTimeUnit val="days"/>
      </c:dateAx>
      <c:spPr>
        <a:noFill/>
        <a:ln>
          <a:noFill/>
        </a:ln>
        <a:effectLst/>
      </c:spPr>
    </c:plotArea>
    <c:legend>
      <c:legendPos val="b"/>
      <c:layout>
        <c:manualLayout>
          <c:xMode val="edge"/>
          <c:yMode val="edge"/>
          <c:x val="0"/>
          <c:y val="0.83066432229951837"/>
          <c:w val="1"/>
          <c:h val="0.1693356777004816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Տնտեսական աճ</a:t>
            </a:r>
          </a:p>
        </c:rich>
      </c:tx>
      <c:layout>
        <c:manualLayout>
          <c:xMode val="edge"/>
          <c:yMode val="edge"/>
          <c:x val="0.27528598291433759"/>
          <c:y val="1.1352679854947461E-2"/>
        </c:manualLayout>
      </c:layout>
      <c:overlay val="0"/>
    </c:title>
    <c:autoTitleDeleted val="0"/>
    <c:plotArea>
      <c:layout>
        <c:manualLayout>
          <c:layoutTarget val="inner"/>
          <c:xMode val="edge"/>
          <c:yMode val="edge"/>
          <c:x val="0.28344707483273185"/>
          <c:y val="8.9927010007141331E-2"/>
          <c:w val="0.66577439825902196"/>
          <c:h val="0.62287267095146681"/>
        </c:manualLayout>
      </c:layout>
      <c:barChart>
        <c:barDir val="col"/>
        <c:grouping val="clustered"/>
        <c:varyColors val="0"/>
        <c:ser>
          <c:idx val="0"/>
          <c:order val="0"/>
          <c:tx>
            <c:strRef>
              <c:f>Sheet1!$B$1</c:f>
              <c:strCache>
                <c:ptCount val="1"/>
                <c:pt idx="0">
                  <c:v>Տնտեսական աճ</c:v>
                </c:pt>
              </c:strCache>
            </c:strRef>
          </c:tx>
          <c:spPr>
            <a:solidFill>
              <a:srgbClr val="5B9BD5"/>
            </a:solidFill>
            <a:ln>
              <a:noFill/>
            </a:ln>
            <a:effectLst/>
          </c:spPr>
          <c:invertIfNegative val="0"/>
          <c:dPt>
            <c:idx val="1"/>
            <c:invertIfNegative val="0"/>
            <c:bubble3D val="0"/>
            <c:extLst>
              <c:ext xmlns:c16="http://schemas.microsoft.com/office/drawing/2014/chart" uri="{C3380CC4-5D6E-409C-BE32-E72D297353CC}">
                <c16:uniqueId val="{00000000-0453-4454-AD9F-7E574F03B855}"/>
              </c:ext>
            </c:extLst>
          </c:dPt>
          <c:dPt>
            <c:idx val="2"/>
            <c:invertIfNegative val="0"/>
            <c:bubble3D val="0"/>
            <c:extLst>
              <c:ext xmlns:c16="http://schemas.microsoft.com/office/drawing/2014/chart" uri="{C3380CC4-5D6E-409C-BE32-E72D297353CC}">
                <c16:uniqueId val="{00000001-0453-4454-AD9F-7E574F03B855}"/>
              </c:ext>
            </c:extLst>
          </c:dPt>
          <c:dPt>
            <c:idx val="3"/>
            <c:invertIfNegative val="0"/>
            <c:bubble3D val="0"/>
            <c:extLst>
              <c:ext xmlns:c16="http://schemas.microsoft.com/office/drawing/2014/chart" uri="{C3380CC4-5D6E-409C-BE32-E72D297353CC}">
                <c16:uniqueId val="{00000002-0453-4454-AD9F-7E574F03B855}"/>
              </c:ext>
            </c:extLst>
          </c:dPt>
          <c:dPt>
            <c:idx val="4"/>
            <c:invertIfNegative val="0"/>
            <c:bubble3D val="0"/>
            <c:extLst>
              <c:ext xmlns:c16="http://schemas.microsoft.com/office/drawing/2014/chart" uri="{C3380CC4-5D6E-409C-BE32-E72D297353CC}">
                <c16:uniqueId val="{00000003-0453-4454-AD9F-7E574F03B855}"/>
              </c:ext>
            </c:extLst>
          </c:dPt>
          <c:dPt>
            <c:idx val="5"/>
            <c:invertIfNegative val="0"/>
            <c:bubble3D val="0"/>
            <c:spPr>
              <a:solidFill>
                <a:srgbClr val="C00000"/>
              </a:solidFill>
              <a:ln>
                <a:noFill/>
              </a:ln>
              <a:effectLst/>
            </c:spPr>
            <c:extLst>
              <c:ext xmlns:c16="http://schemas.microsoft.com/office/drawing/2014/chart" uri="{C3380CC4-5D6E-409C-BE32-E72D297353CC}">
                <c16:uniqueId val="{00000005-0453-4454-AD9F-7E574F03B855}"/>
              </c:ext>
            </c:extLst>
          </c:dPt>
          <c:dPt>
            <c:idx val="6"/>
            <c:invertIfNegative val="0"/>
            <c:bubble3D val="0"/>
            <c:spPr>
              <a:solidFill>
                <a:srgbClr val="C00000"/>
              </a:solidFill>
              <a:ln>
                <a:noFill/>
              </a:ln>
              <a:effectLst/>
            </c:spPr>
            <c:extLst>
              <c:ext xmlns:c16="http://schemas.microsoft.com/office/drawing/2014/chart" uri="{C3380CC4-5D6E-409C-BE32-E72D297353CC}">
                <c16:uniqueId val="{00000007-0453-4454-AD9F-7E574F03B855}"/>
              </c:ext>
            </c:extLst>
          </c:dPt>
          <c:dPt>
            <c:idx val="7"/>
            <c:invertIfNegative val="0"/>
            <c:bubble3D val="0"/>
            <c:spPr>
              <a:solidFill>
                <a:srgbClr val="C00000"/>
              </a:solidFill>
              <a:ln>
                <a:noFill/>
              </a:ln>
              <a:effectLst/>
            </c:spPr>
            <c:extLst>
              <c:ext xmlns:c16="http://schemas.microsoft.com/office/drawing/2014/chart" uri="{C3380CC4-5D6E-409C-BE32-E72D297353CC}">
                <c16:uniqueId val="{00000009-0453-4454-AD9F-7E574F03B8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2009</c:v>
                </c:pt>
                <c:pt idx="1">
                  <c:v>2010</c:v>
                </c:pt>
                <c:pt idx="2">
                  <c:v>2011</c:v>
                </c:pt>
                <c:pt idx="3">
                  <c:v>2020</c:v>
                </c:pt>
                <c:pt idx="4">
                  <c:v>2021</c:v>
                </c:pt>
                <c:pt idx="5">
                  <c:v>2022 (հունվ․)</c:v>
                </c:pt>
                <c:pt idx="6">
                  <c:v>2022 (ապր․)</c:v>
                </c:pt>
                <c:pt idx="7">
                  <c:v>2022 (հուլ․)</c:v>
                </c:pt>
              </c:strCache>
            </c:strRef>
          </c:cat>
          <c:val>
            <c:numRef>
              <c:f>Sheet1!$B$2:$B$9</c:f>
              <c:numCache>
                <c:formatCode>0.0</c:formatCode>
                <c:ptCount val="8"/>
                <c:pt idx="0">
                  <c:v>-9.4E-2</c:v>
                </c:pt>
                <c:pt idx="1">
                  <c:v>5.4370000000000003</c:v>
                </c:pt>
                <c:pt idx="2">
                  <c:v>4</c:v>
                </c:pt>
                <c:pt idx="3">
                  <c:v>-3.17</c:v>
                </c:pt>
                <c:pt idx="4">
                  <c:v>6.1</c:v>
                </c:pt>
                <c:pt idx="5">
                  <c:v>4.4000000000000004</c:v>
                </c:pt>
                <c:pt idx="6">
                  <c:v>3.6</c:v>
                </c:pt>
                <c:pt idx="7">
                  <c:v>3.2</c:v>
                </c:pt>
              </c:numCache>
            </c:numRef>
          </c:val>
          <c:extLst>
            <c:ext xmlns:c16="http://schemas.microsoft.com/office/drawing/2014/chart" uri="{C3380CC4-5D6E-409C-BE32-E72D297353CC}">
              <c16:uniqueId val="{0000000A-0453-4454-AD9F-7E574F03B855}"/>
            </c:ext>
          </c:extLst>
        </c:ser>
        <c:dLbls>
          <c:showLegendKey val="0"/>
          <c:showVal val="1"/>
          <c:showCatName val="0"/>
          <c:showSerName val="0"/>
          <c:showPercent val="0"/>
          <c:showBubbleSize val="0"/>
        </c:dLbls>
        <c:gapWidth val="219"/>
        <c:overlap val="-27"/>
        <c:axId val="240921216"/>
        <c:axId val="240925312"/>
      </c:barChart>
      <c:catAx>
        <c:axId val="2409212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25312"/>
        <c:crosses val="autoZero"/>
        <c:auto val="1"/>
        <c:lblAlgn val="ctr"/>
        <c:lblOffset val="100"/>
        <c:noMultiLvlLbl val="0"/>
      </c:catAx>
      <c:valAx>
        <c:axId val="24092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a:t>
                </a:r>
                <a:endParaRPr lang="hy-AM" sz="900">
                  <a:latin typeface="GHEA Grapalat" panose="02000506050000020003" pitchFamily="50" charset="0"/>
                </a:endParaRPr>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2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Բյուջեի հաշվեկշիռ</a:t>
            </a:r>
          </a:p>
        </c:rich>
      </c:tx>
      <c:layout>
        <c:manualLayout>
          <c:xMode val="edge"/>
          <c:yMode val="edge"/>
          <c:x val="0.17973059653624118"/>
          <c:y val="0"/>
        </c:manualLayout>
      </c:layout>
      <c:overlay val="0"/>
    </c:title>
    <c:autoTitleDeleted val="0"/>
    <c:plotArea>
      <c:layout>
        <c:manualLayout>
          <c:layoutTarget val="inner"/>
          <c:xMode val="edge"/>
          <c:yMode val="edge"/>
          <c:x val="0.24421469445889502"/>
          <c:y val="0.1019355796073194"/>
          <c:w val="0.6928381306409821"/>
          <c:h val="0.56309062073954541"/>
        </c:manualLayout>
      </c:layout>
      <c:barChart>
        <c:barDir val="col"/>
        <c:grouping val="clustered"/>
        <c:varyColors val="0"/>
        <c:ser>
          <c:idx val="0"/>
          <c:order val="0"/>
          <c:tx>
            <c:strRef>
              <c:f>Sheet1!$B$1</c:f>
              <c:strCache>
                <c:ptCount val="1"/>
                <c:pt idx="0">
                  <c:v>Բյուջեի հաշվեկշռի փոփոխություն</c:v>
                </c:pt>
              </c:strCache>
            </c:strRef>
          </c:tx>
          <c:spPr>
            <a:solidFill>
              <a:srgbClr val="5B9BD5"/>
            </a:solidFill>
            <a:ln>
              <a:noFill/>
            </a:ln>
            <a:effectLst/>
          </c:spPr>
          <c:invertIfNegative val="0"/>
          <c:dPt>
            <c:idx val="0"/>
            <c:invertIfNegative val="0"/>
            <c:bubble3D val="0"/>
            <c:extLst>
              <c:ext xmlns:c16="http://schemas.microsoft.com/office/drawing/2014/chart" uri="{C3380CC4-5D6E-409C-BE32-E72D297353CC}">
                <c16:uniqueId val="{00000000-29AC-45E5-9EEF-5C97A87E46FA}"/>
              </c:ext>
            </c:extLst>
          </c:dPt>
          <c:dPt>
            <c:idx val="2"/>
            <c:invertIfNegative val="0"/>
            <c:bubble3D val="0"/>
            <c:extLst>
              <c:ext xmlns:c16="http://schemas.microsoft.com/office/drawing/2014/chart" uri="{C3380CC4-5D6E-409C-BE32-E72D297353CC}">
                <c16:uniqueId val="{00000001-29AC-45E5-9EEF-5C97A87E46FA}"/>
              </c:ext>
            </c:extLst>
          </c:dPt>
          <c:dPt>
            <c:idx val="3"/>
            <c:invertIfNegative val="0"/>
            <c:bubble3D val="0"/>
            <c:extLst>
              <c:ext xmlns:c16="http://schemas.microsoft.com/office/drawing/2014/chart" uri="{C3380CC4-5D6E-409C-BE32-E72D297353CC}">
                <c16:uniqueId val="{00000002-29AC-45E5-9EEF-5C97A87E46FA}"/>
              </c:ext>
            </c:extLst>
          </c:dPt>
          <c:dPt>
            <c:idx val="5"/>
            <c:invertIfNegative val="0"/>
            <c:bubble3D val="0"/>
            <c:spPr>
              <a:solidFill>
                <a:srgbClr val="C00000"/>
              </a:solidFill>
              <a:ln>
                <a:noFill/>
              </a:ln>
              <a:effectLst/>
            </c:spPr>
            <c:extLst>
              <c:ext xmlns:c16="http://schemas.microsoft.com/office/drawing/2014/chart" uri="{C3380CC4-5D6E-409C-BE32-E72D297353CC}">
                <c16:uniqueId val="{00000004-29AC-45E5-9EEF-5C97A87E46FA}"/>
              </c:ext>
            </c:extLst>
          </c:dPt>
          <c:dPt>
            <c:idx val="6"/>
            <c:invertIfNegative val="0"/>
            <c:bubble3D val="0"/>
            <c:spPr>
              <a:solidFill>
                <a:srgbClr val="C00000"/>
              </a:solidFill>
              <a:ln>
                <a:noFill/>
              </a:ln>
              <a:effectLst/>
            </c:spPr>
            <c:extLst>
              <c:ext xmlns:c16="http://schemas.microsoft.com/office/drawing/2014/chart" uri="{C3380CC4-5D6E-409C-BE32-E72D297353CC}">
                <c16:uniqueId val="{00000006-29AC-45E5-9EEF-5C97A87E46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2009</c:v>
                </c:pt>
                <c:pt idx="1">
                  <c:v>2010</c:v>
                </c:pt>
                <c:pt idx="2">
                  <c:v>2011</c:v>
                </c:pt>
                <c:pt idx="3">
                  <c:v>2020</c:v>
                </c:pt>
                <c:pt idx="4">
                  <c:v>2021</c:v>
                </c:pt>
                <c:pt idx="5">
                  <c:v>2022 (հոկտ-21)</c:v>
                </c:pt>
                <c:pt idx="6">
                  <c:v>2022 (ապր․)</c:v>
                </c:pt>
              </c:strCache>
            </c:strRef>
          </c:cat>
          <c:val>
            <c:numRef>
              <c:f>Sheet1!$B$2:$B$8</c:f>
              <c:numCache>
                <c:formatCode>0.0</c:formatCode>
                <c:ptCount val="7"/>
                <c:pt idx="0">
                  <c:v>-7.3</c:v>
                </c:pt>
                <c:pt idx="1">
                  <c:v>-6</c:v>
                </c:pt>
                <c:pt idx="2">
                  <c:v>-4.5</c:v>
                </c:pt>
                <c:pt idx="3">
                  <c:v>-10.9</c:v>
                </c:pt>
                <c:pt idx="4">
                  <c:v>-9.9</c:v>
                </c:pt>
                <c:pt idx="5">
                  <c:v>-5.2</c:v>
                </c:pt>
                <c:pt idx="6">
                  <c:v>-6.4</c:v>
                </c:pt>
              </c:numCache>
            </c:numRef>
          </c:val>
          <c:extLst>
            <c:ext xmlns:c16="http://schemas.microsoft.com/office/drawing/2014/chart" uri="{C3380CC4-5D6E-409C-BE32-E72D297353CC}">
              <c16:uniqueId val="{00000007-29AC-45E5-9EEF-5C97A87E46FA}"/>
            </c:ext>
          </c:extLst>
        </c:ser>
        <c:dLbls>
          <c:showLegendKey val="0"/>
          <c:showVal val="0"/>
          <c:showCatName val="0"/>
          <c:showSerName val="0"/>
          <c:showPercent val="0"/>
          <c:showBubbleSize val="0"/>
        </c:dLbls>
        <c:gapWidth val="219"/>
        <c:overlap val="-27"/>
        <c:axId val="240937600"/>
        <c:axId val="240939392"/>
      </c:barChart>
      <c:catAx>
        <c:axId val="2409376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39392"/>
        <c:crosses val="autoZero"/>
        <c:auto val="1"/>
        <c:lblAlgn val="ctr"/>
        <c:lblOffset val="100"/>
        <c:noMultiLvlLbl val="0"/>
      </c:catAx>
      <c:valAx>
        <c:axId val="24093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a:t>
                </a:r>
                <a:endParaRPr lang="en-US" sz="900">
                  <a:latin typeface="GHEA Grapalat" panose="02000506050000020003" pitchFamily="50" charset="0"/>
                </a:endParaRPr>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3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800"/>
              <a:t>Պետական պարտքի փոփոխություն</a:t>
            </a:r>
          </a:p>
        </c:rich>
      </c:tx>
      <c:layout>
        <c:manualLayout>
          <c:xMode val="edge"/>
          <c:yMode val="edge"/>
          <c:x val="0.16464149925184582"/>
          <c:y val="3.2387530506055163E-3"/>
        </c:manualLayout>
      </c:layout>
      <c:overlay val="0"/>
    </c:title>
    <c:autoTitleDeleted val="0"/>
    <c:plotArea>
      <c:layout>
        <c:manualLayout>
          <c:layoutTarget val="inner"/>
          <c:xMode val="edge"/>
          <c:yMode val="edge"/>
          <c:x val="0.29254740353717468"/>
          <c:y val="0.11492464502007921"/>
          <c:w val="0.64379081119532955"/>
          <c:h val="0.54140879033230394"/>
        </c:manualLayout>
      </c:layout>
      <c:barChart>
        <c:barDir val="col"/>
        <c:grouping val="clustered"/>
        <c:varyColors val="0"/>
        <c:ser>
          <c:idx val="0"/>
          <c:order val="0"/>
          <c:tx>
            <c:strRef>
              <c:f>Sheet1!$B$1</c:f>
              <c:strCache>
                <c:ptCount val="1"/>
                <c:pt idx="0">
                  <c:v>Պետական պարտքի փոփոխություն</c:v>
                </c:pt>
              </c:strCache>
            </c:strRef>
          </c:tx>
          <c:spPr>
            <a:solidFill>
              <a:srgbClr val="5B9BD5"/>
            </a:solidFill>
            <a:ln>
              <a:noFill/>
            </a:ln>
            <a:effectLst/>
          </c:spPr>
          <c:invertIfNegative val="0"/>
          <c:dPt>
            <c:idx val="0"/>
            <c:invertIfNegative val="0"/>
            <c:bubble3D val="0"/>
            <c:extLst>
              <c:ext xmlns:c16="http://schemas.microsoft.com/office/drawing/2014/chart" uri="{C3380CC4-5D6E-409C-BE32-E72D297353CC}">
                <c16:uniqueId val="{00000000-8583-4768-9D1B-F95D5BFEF6D0}"/>
              </c:ext>
            </c:extLst>
          </c:dPt>
          <c:dPt>
            <c:idx val="2"/>
            <c:invertIfNegative val="0"/>
            <c:bubble3D val="0"/>
            <c:extLst>
              <c:ext xmlns:c16="http://schemas.microsoft.com/office/drawing/2014/chart" uri="{C3380CC4-5D6E-409C-BE32-E72D297353CC}">
                <c16:uniqueId val="{00000001-8583-4768-9D1B-F95D5BFEF6D0}"/>
              </c:ext>
            </c:extLst>
          </c:dPt>
          <c:dPt>
            <c:idx val="3"/>
            <c:invertIfNegative val="0"/>
            <c:bubble3D val="0"/>
            <c:extLst>
              <c:ext xmlns:c16="http://schemas.microsoft.com/office/drawing/2014/chart" uri="{C3380CC4-5D6E-409C-BE32-E72D297353CC}">
                <c16:uniqueId val="{00000002-8583-4768-9D1B-F95D5BFEF6D0}"/>
              </c:ext>
            </c:extLst>
          </c:dPt>
          <c:dPt>
            <c:idx val="5"/>
            <c:invertIfNegative val="0"/>
            <c:bubble3D val="0"/>
            <c:spPr>
              <a:solidFill>
                <a:srgbClr val="C00000"/>
              </a:solidFill>
              <a:ln>
                <a:noFill/>
              </a:ln>
              <a:effectLst/>
            </c:spPr>
            <c:extLst>
              <c:ext xmlns:c16="http://schemas.microsoft.com/office/drawing/2014/chart" uri="{C3380CC4-5D6E-409C-BE32-E72D297353CC}">
                <c16:uniqueId val="{00000004-8583-4768-9D1B-F95D5BFEF6D0}"/>
              </c:ext>
            </c:extLst>
          </c:dPt>
          <c:dPt>
            <c:idx val="6"/>
            <c:invertIfNegative val="0"/>
            <c:bubble3D val="0"/>
            <c:spPr>
              <a:solidFill>
                <a:srgbClr val="C00000"/>
              </a:solidFill>
              <a:ln>
                <a:noFill/>
              </a:ln>
              <a:effectLst/>
            </c:spPr>
            <c:extLst>
              <c:ext xmlns:c16="http://schemas.microsoft.com/office/drawing/2014/chart" uri="{C3380CC4-5D6E-409C-BE32-E72D297353CC}">
                <c16:uniqueId val="{00000006-8583-4768-9D1B-F95D5BFEF6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2009 GFC</c:v>
                </c:pt>
                <c:pt idx="1">
                  <c:v>2010</c:v>
                </c:pt>
                <c:pt idx="2">
                  <c:v>2011</c:v>
                </c:pt>
                <c:pt idx="3">
                  <c:v>2020 COVID-19</c:v>
                </c:pt>
                <c:pt idx="4">
                  <c:v>2021</c:v>
                </c:pt>
                <c:pt idx="5">
                  <c:v>2022 (հոկտ․-21)</c:v>
                </c:pt>
                <c:pt idx="6">
                  <c:v>2022 (ապր․)</c:v>
                </c:pt>
              </c:strCache>
            </c:strRef>
          </c:cat>
          <c:val>
            <c:numRef>
              <c:f>Sheet1!$B$2:$B$8</c:f>
              <c:numCache>
                <c:formatCode>General</c:formatCode>
                <c:ptCount val="7"/>
                <c:pt idx="0">
                  <c:v>10.400000000000006</c:v>
                </c:pt>
                <c:pt idx="1">
                  <c:v>2.2999999999999972</c:v>
                </c:pt>
                <c:pt idx="2">
                  <c:v>3.3999999999999915</c:v>
                </c:pt>
                <c:pt idx="3">
                  <c:v>13.299999999999997</c:v>
                </c:pt>
                <c:pt idx="4">
                  <c:v>-2.5999999999999943</c:v>
                </c:pt>
                <c:pt idx="5">
                  <c:v>0.89999999999999147</c:v>
                </c:pt>
                <c:pt idx="6">
                  <c:v>2.5999999999999943</c:v>
                </c:pt>
              </c:numCache>
            </c:numRef>
          </c:val>
          <c:extLst>
            <c:ext xmlns:c16="http://schemas.microsoft.com/office/drawing/2014/chart" uri="{C3380CC4-5D6E-409C-BE32-E72D297353CC}">
              <c16:uniqueId val="{00000007-8583-4768-9D1B-F95D5BFEF6D0}"/>
            </c:ext>
          </c:extLst>
        </c:ser>
        <c:dLbls>
          <c:showLegendKey val="0"/>
          <c:showVal val="1"/>
          <c:showCatName val="0"/>
          <c:showSerName val="0"/>
          <c:showPercent val="0"/>
          <c:showBubbleSize val="0"/>
        </c:dLbls>
        <c:gapWidth val="219"/>
        <c:overlap val="-27"/>
        <c:axId val="240990848"/>
        <c:axId val="240994560"/>
      </c:barChart>
      <c:catAx>
        <c:axId val="2409908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94560"/>
        <c:crosses val="autoZero"/>
        <c:auto val="1"/>
        <c:lblAlgn val="ctr"/>
        <c:lblOffset val="100"/>
        <c:noMultiLvlLbl val="0"/>
      </c:catAx>
      <c:valAx>
        <c:axId val="24099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a:latin typeface="GHEA Grapalat" panose="02000506050000020003" pitchFamily="50" charset="0"/>
                  </a:rPr>
                  <a:t> կետ</a:t>
                </a:r>
                <a:endParaRPr lang="en-US" sz="900">
                  <a:latin typeface="GHEA Grapalat" panose="02000506050000020003" pitchFamily="50"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99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0.62006</cdr:x>
      <cdr:y>0.00474</cdr:y>
    </cdr:from>
    <cdr:to>
      <cdr:x>1</cdr:x>
      <cdr:y>0.85714</cdr:y>
    </cdr:to>
    <cdr:sp macro="" textlink="">
      <cdr:nvSpPr>
        <cdr:cNvPr id="2" name="Rectangle 1"/>
        <cdr:cNvSpPr/>
      </cdr:nvSpPr>
      <cdr:spPr>
        <a:xfrm xmlns:a="http://schemas.openxmlformats.org/drawingml/2006/main">
          <a:off x="1943100" y="8759"/>
          <a:ext cx="1190625" cy="1575107"/>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0.71289</cdr:x>
      <cdr:y>0.02213</cdr:y>
    </cdr:from>
    <cdr:to>
      <cdr:x>0.97974</cdr:x>
      <cdr:y>0.82819</cdr:y>
    </cdr:to>
    <cdr:sp macro="" textlink="">
      <cdr:nvSpPr>
        <cdr:cNvPr id="5" name="Rectangle 4"/>
        <cdr:cNvSpPr/>
      </cdr:nvSpPr>
      <cdr:spPr>
        <a:xfrm xmlns:a="http://schemas.openxmlformats.org/drawingml/2006/main">
          <a:off x="2091845" y="50104"/>
          <a:ext cx="783043" cy="182526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0.2209</cdr:x>
      <cdr:y>0</cdr:y>
    </cdr:from>
    <cdr:to>
      <cdr:x>0.5992</cdr:x>
      <cdr:y>0.1122</cdr:y>
    </cdr:to>
    <cdr:sp macro="" textlink="">
      <cdr:nvSpPr>
        <cdr:cNvPr id="3" name="Text Box 2"/>
        <cdr:cNvSpPr txBox="1"/>
      </cdr:nvSpPr>
      <cdr:spPr>
        <a:xfrm xmlns:a="http://schemas.openxmlformats.org/drawingml/2006/main">
          <a:off x="673303" y="0"/>
          <a:ext cx="1153059"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0.75152</cdr:x>
      <cdr:y>0.00623</cdr:y>
    </cdr:from>
    <cdr:to>
      <cdr:x>0.98729</cdr:x>
      <cdr:y>0.83205</cdr:y>
    </cdr:to>
    <cdr:sp macro="" textlink="">
      <cdr:nvSpPr>
        <cdr:cNvPr id="4" name="Rectangle 3"/>
        <cdr:cNvSpPr/>
      </cdr:nvSpPr>
      <cdr:spPr>
        <a:xfrm xmlns:a="http://schemas.openxmlformats.org/drawingml/2006/main">
          <a:off x="2383680" y="12526"/>
          <a:ext cx="747826" cy="165969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0.19497</cdr:x>
      <cdr:y>0</cdr:y>
    </cdr:from>
    <cdr:to>
      <cdr:x>0.64951</cdr:x>
      <cdr:y>0.10455</cdr:y>
    </cdr:to>
    <cdr:sp macro="" textlink="">
      <cdr:nvSpPr>
        <cdr:cNvPr id="3" name="Text Box 2"/>
        <cdr:cNvSpPr txBox="1"/>
      </cdr:nvSpPr>
      <cdr:spPr>
        <a:xfrm xmlns:a="http://schemas.openxmlformats.org/drawingml/2006/main">
          <a:off x="633260" y="0"/>
          <a:ext cx="1476357" cy="231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0.72768</cdr:x>
      <cdr:y>0.03191</cdr:y>
    </cdr:from>
    <cdr:to>
      <cdr:x>0.97753</cdr:x>
      <cdr:y>0.87064</cdr:y>
    </cdr:to>
    <cdr:sp macro="" textlink="">
      <cdr:nvSpPr>
        <cdr:cNvPr id="4" name="Rectangle 3"/>
        <cdr:cNvSpPr/>
      </cdr:nvSpPr>
      <cdr:spPr>
        <a:xfrm xmlns:a="http://schemas.openxmlformats.org/drawingml/2006/main">
          <a:off x="2231378" y="64124"/>
          <a:ext cx="766144" cy="1685659"/>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0.7407</cdr:x>
      <cdr:y>0.16295</cdr:y>
    </cdr:from>
    <cdr:to>
      <cdr:x>0.98395</cdr:x>
      <cdr:y>0.76789</cdr:y>
    </cdr:to>
    <cdr:sp macro="" textlink="">
      <cdr:nvSpPr>
        <cdr:cNvPr id="2" name="Rectangle 1"/>
        <cdr:cNvSpPr/>
      </cdr:nvSpPr>
      <cdr:spPr>
        <a:xfrm xmlns:a="http://schemas.openxmlformats.org/drawingml/2006/main">
          <a:off x="2314575" y="386060"/>
          <a:ext cx="760106" cy="1433216"/>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16.xml><?xml version="1.0" encoding="utf-8"?>
<c:userShapes xmlns:c="http://schemas.openxmlformats.org/drawingml/2006/chart">
  <cdr:relSizeAnchor xmlns:cdr="http://schemas.openxmlformats.org/drawingml/2006/chartDrawing">
    <cdr:from>
      <cdr:x>0.71661</cdr:x>
      <cdr:y>0.00474</cdr:y>
    </cdr:from>
    <cdr:to>
      <cdr:x>1</cdr:x>
      <cdr:y>0.8033</cdr:y>
    </cdr:to>
    <cdr:sp macro="" textlink="">
      <cdr:nvSpPr>
        <cdr:cNvPr id="2" name="Rounded Rectangle 1"/>
        <cdr:cNvSpPr/>
      </cdr:nvSpPr>
      <cdr:spPr>
        <a:xfrm xmlns:a="http://schemas.openxmlformats.org/drawingml/2006/main">
          <a:off x="2115047" y="13545"/>
          <a:ext cx="836433" cy="2281885"/>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0.71876</cdr:x>
      <cdr:y>0</cdr:y>
    </cdr:from>
    <cdr:to>
      <cdr:x>1</cdr:x>
      <cdr:y>0.77724</cdr:y>
    </cdr:to>
    <cdr:sp macro="" textlink="">
      <cdr:nvSpPr>
        <cdr:cNvPr id="2" name="Rounded Rectangle 1"/>
        <cdr:cNvSpPr/>
      </cdr:nvSpPr>
      <cdr:spPr>
        <a:xfrm xmlns:a="http://schemas.openxmlformats.org/drawingml/2006/main">
          <a:off x="2121408" y="0"/>
          <a:ext cx="830072" cy="222096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0.71489</cdr:x>
      <cdr:y>4.00713E-7</cdr:y>
    </cdr:from>
    <cdr:to>
      <cdr:x>1</cdr:x>
      <cdr:y>0.75318</cdr:y>
    </cdr:to>
    <cdr:sp macro="" textlink="">
      <cdr:nvSpPr>
        <cdr:cNvPr id="2" name="Rounded Rectangle 1"/>
        <cdr:cNvSpPr/>
      </cdr:nvSpPr>
      <cdr:spPr>
        <a:xfrm xmlns:a="http://schemas.openxmlformats.org/drawingml/2006/main">
          <a:off x="4267200" y="1"/>
          <a:ext cx="1701800" cy="1879597"/>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0.70557</cdr:x>
      <cdr:y>3.70455E-7</cdr:y>
    </cdr:from>
    <cdr:to>
      <cdr:x>1</cdr:x>
      <cdr:y>0.72218</cdr:y>
    </cdr:to>
    <cdr:sp macro="" textlink="">
      <cdr:nvSpPr>
        <cdr:cNvPr id="2" name="Rounded Rectangle 1"/>
        <cdr:cNvSpPr/>
      </cdr:nvSpPr>
      <cdr:spPr>
        <a:xfrm xmlns:a="http://schemas.openxmlformats.org/drawingml/2006/main">
          <a:off x="2057400" y="1"/>
          <a:ext cx="858520" cy="1949441"/>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0.65014</cdr:x>
      <cdr:y>0</cdr:y>
    </cdr:from>
    <cdr:to>
      <cdr:x>0.88159</cdr:x>
      <cdr:y>0.83491</cdr:y>
    </cdr:to>
    <cdr:sp macro="" textlink="">
      <cdr:nvSpPr>
        <cdr:cNvPr id="2" name="Rectangle 1"/>
        <cdr:cNvSpPr/>
      </cdr:nvSpPr>
      <cdr:spPr>
        <a:xfrm xmlns:a="http://schemas.openxmlformats.org/drawingml/2006/main">
          <a:off x="1987826" y="0"/>
          <a:ext cx="707657" cy="15427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0.68417</cdr:x>
      <cdr:y>0</cdr:y>
    </cdr:from>
    <cdr:to>
      <cdr:x>1</cdr:x>
      <cdr:y>0.69631</cdr:y>
    </cdr:to>
    <cdr:sp macro="" textlink="">
      <cdr:nvSpPr>
        <cdr:cNvPr id="2" name="Rounded Rectangle 1"/>
        <cdr:cNvSpPr/>
      </cdr:nvSpPr>
      <cdr:spPr>
        <a:xfrm xmlns:a="http://schemas.openxmlformats.org/drawingml/2006/main">
          <a:off x="1994985" y="0"/>
          <a:ext cx="920935" cy="1879608"/>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0.13909</cdr:x>
      <cdr:y>0.26693</cdr:y>
    </cdr:from>
    <cdr:to>
      <cdr:x>0.85372</cdr:x>
      <cdr:y>0.27169</cdr:y>
    </cdr:to>
    <cdr:cxnSp macro="">
      <cdr:nvCxnSpPr>
        <cdr:cNvPr id="3" name="Straight Connector 2"/>
        <cdr:cNvCxnSpPr/>
      </cdr:nvCxnSpPr>
      <cdr:spPr>
        <a:xfrm xmlns:a="http://schemas.openxmlformats.org/drawingml/2006/main" flipH="1">
          <a:off x="400541" y="768673"/>
          <a:ext cx="2057938" cy="13708"/>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0.12891</cdr:x>
      <cdr:y>0.3423</cdr:y>
    </cdr:from>
    <cdr:to>
      <cdr:x>0.84354</cdr:x>
      <cdr:y>0.34706</cdr:y>
    </cdr:to>
    <cdr:cxnSp macro="">
      <cdr:nvCxnSpPr>
        <cdr:cNvPr id="4" name="Straight Connector 3"/>
        <cdr:cNvCxnSpPr/>
      </cdr:nvCxnSpPr>
      <cdr:spPr>
        <a:xfrm xmlns:a="http://schemas.openxmlformats.org/drawingml/2006/main" flipH="1">
          <a:off x="371234" y="985729"/>
          <a:ext cx="2057938" cy="13707"/>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0.67999</cdr:x>
      <cdr:y>0.18483</cdr:y>
    </cdr:from>
    <cdr:to>
      <cdr:x>0.87483</cdr:x>
      <cdr:y>0.68245</cdr:y>
    </cdr:to>
    <cdr:sp macro="" textlink="">
      <cdr:nvSpPr>
        <cdr:cNvPr id="2" name="Rectangle 1"/>
        <cdr:cNvSpPr/>
      </cdr:nvSpPr>
      <cdr:spPr>
        <a:xfrm xmlns:a="http://schemas.openxmlformats.org/drawingml/2006/main">
          <a:off x="1933575" y="532260"/>
          <a:ext cx="554030" cy="1433008"/>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2.xml><?xml version="1.0" encoding="utf-8"?>
<c:userShapes xmlns:c="http://schemas.openxmlformats.org/drawingml/2006/chart">
  <cdr:relSizeAnchor xmlns:cdr="http://schemas.openxmlformats.org/drawingml/2006/chartDrawing">
    <cdr:from>
      <cdr:x>0.44656</cdr:x>
      <cdr:y>0.21122</cdr:y>
    </cdr:from>
    <cdr:to>
      <cdr:x>0.62969</cdr:x>
      <cdr:y>0.88693</cdr:y>
    </cdr:to>
    <cdr:sp macro="" textlink="">
      <cdr:nvSpPr>
        <cdr:cNvPr id="2" name="Rectangle 1"/>
        <cdr:cNvSpPr/>
      </cdr:nvSpPr>
      <cdr:spPr>
        <a:xfrm xmlns:a="http://schemas.openxmlformats.org/drawingml/2006/main">
          <a:off x="1323975" y="609600"/>
          <a:ext cx="542936" cy="1950155"/>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0.66986</cdr:x>
      <cdr:y>0</cdr:y>
    </cdr:from>
    <cdr:to>
      <cdr:x>1</cdr:x>
      <cdr:y>0.71635</cdr:y>
    </cdr:to>
    <cdr:sp macro="" textlink="">
      <cdr:nvSpPr>
        <cdr:cNvPr id="2" name="Rectangle 1"/>
        <cdr:cNvSpPr/>
      </cdr:nvSpPr>
      <cdr:spPr>
        <a:xfrm xmlns:a="http://schemas.openxmlformats.org/drawingml/2006/main">
          <a:off x="1923482" y="0"/>
          <a:ext cx="947988" cy="141922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0.83458</cdr:x>
      <cdr:y>0</cdr:y>
    </cdr:from>
    <cdr:to>
      <cdr:x>0.90586</cdr:x>
      <cdr:y>0.87535</cdr:y>
    </cdr:to>
    <cdr:sp macro="" textlink="">
      <cdr:nvSpPr>
        <cdr:cNvPr id="2" name="Rectangle 1"/>
        <cdr:cNvSpPr/>
      </cdr:nvSpPr>
      <cdr:spPr>
        <a:xfrm xmlns:a="http://schemas.openxmlformats.org/drawingml/2006/main">
          <a:off x="2567634" y="0"/>
          <a:ext cx="219311" cy="164252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0.64143</cdr:x>
      <cdr:y>0</cdr:y>
    </cdr:from>
    <cdr:to>
      <cdr:x>0.98869</cdr:x>
      <cdr:y>0.71651</cdr:y>
    </cdr:to>
    <cdr:sp macro="" textlink="">
      <cdr:nvSpPr>
        <cdr:cNvPr id="2" name="Rectangle 1"/>
        <cdr:cNvSpPr/>
      </cdr:nvSpPr>
      <cdr:spPr>
        <a:xfrm xmlns:a="http://schemas.openxmlformats.org/drawingml/2006/main">
          <a:off x="1937981" y="0"/>
          <a:ext cx="1049177" cy="129078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0.62481</cdr:x>
      <cdr:y>0</cdr:y>
    </cdr:from>
    <cdr:to>
      <cdr:x>0.96722</cdr:x>
      <cdr:y>0.76567</cdr:y>
    </cdr:to>
    <cdr:sp macro="" textlink="">
      <cdr:nvSpPr>
        <cdr:cNvPr id="2" name="Rectangle 1"/>
        <cdr:cNvSpPr/>
      </cdr:nvSpPr>
      <cdr:spPr>
        <a:xfrm xmlns:a="http://schemas.openxmlformats.org/drawingml/2006/main">
          <a:off x="1951630" y="0"/>
          <a:ext cx="1069545" cy="1430402"/>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0.64026</cdr:x>
      <cdr:y>0.03501</cdr:y>
    </cdr:from>
    <cdr:to>
      <cdr:x>0.94714</cdr:x>
      <cdr:y>0.72003</cdr:y>
    </cdr:to>
    <cdr:sp macro="" textlink="">
      <cdr:nvSpPr>
        <cdr:cNvPr id="2" name="Rectangle 1"/>
        <cdr:cNvSpPr/>
      </cdr:nvSpPr>
      <cdr:spPr>
        <a:xfrm xmlns:a="http://schemas.openxmlformats.org/drawingml/2006/main">
          <a:off x="1992572" y="63293"/>
          <a:ext cx="955055" cy="123841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0.63307</cdr:x>
      <cdr:y>0</cdr:y>
    </cdr:from>
    <cdr:to>
      <cdr:x>0.93438</cdr:x>
      <cdr:y>0.72419</cdr:y>
    </cdr:to>
    <cdr:sp macro="" textlink="">
      <cdr:nvSpPr>
        <cdr:cNvPr id="2" name="Rectangle 1"/>
        <cdr:cNvSpPr/>
      </cdr:nvSpPr>
      <cdr:spPr>
        <a:xfrm xmlns:a="http://schemas.openxmlformats.org/drawingml/2006/main">
          <a:off x="1964160" y="0"/>
          <a:ext cx="934847" cy="1309223"/>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0.70766</cdr:x>
      <cdr:y>0.01456</cdr:y>
    </cdr:from>
    <cdr:to>
      <cdr:x>0.96238</cdr:x>
      <cdr:y>0.81039</cdr:y>
    </cdr:to>
    <cdr:sp macro="" textlink="">
      <cdr:nvSpPr>
        <cdr:cNvPr id="3" name="Rectangle 2"/>
        <cdr:cNvSpPr/>
      </cdr:nvSpPr>
      <cdr:spPr>
        <a:xfrm xmlns:a="http://schemas.openxmlformats.org/drawingml/2006/main">
          <a:off x="2204582" y="32976"/>
          <a:ext cx="793526" cy="18020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Աղյուսակ</b:Tag>
    <b:RefOrder>1</b:RefOrder>
  </b:Source>
  <b:Source>
    <b:Tag>Placeholder1</b:Tag>
    <b:SourceType>Book</b:SourceType>
    <b:Guid>{2AE0E246-06CA-492A-BE9E-19E05D9F8719}</b:Guid>
    <b:RefOrder>2</b:RefOrder>
  </b:Source>
</b:Sources>
</file>

<file path=customXml/itemProps1.xml><?xml version="1.0" encoding="utf-8"?>
<ds:datastoreItem xmlns:ds="http://schemas.openxmlformats.org/officeDocument/2006/customXml" ds:itemID="{9A9D6EDE-E077-4601-B80F-4D4EC1BA4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53</Pages>
  <Words>11149</Words>
  <Characters>83644</Characters>
  <Application>Microsoft Office Word</Application>
  <DocSecurity>0</DocSecurity>
  <Lines>697</Lines>
  <Paragraphs>189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Մ Ա Ս   I</vt:lpstr>
      <vt:lpstr>Մ Ա Ս   I</vt:lpstr>
    </vt:vector>
  </TitlesOfParts>
  <Company>Compass</Company>
  <LinksUpToDate>false</LinksUpToDate>
  <CharactersWithSpaces>94604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keywords>https:/mul2-minfin.gov.am/tasks/532159/oneclick/2.Uxerdz_bacatragir2023.docx?token=dc3278bb7cb832647899c3d9954ed6e5</cp:keywords>
  <cp:lastModifiedBy>Greta Adamyan</cp:lastModifiedBy>
  <cp:revision>4</cp:revision>
  <cp:lastPrinted>2022-11-30T06:12:00Z</cp:lastPrinted>
  <dcterms:created xsi:type="dcterms:W3CDTF">2024-05-03T07:05:00Z</dcterms:created>
  <dcterms:modified xsi:type="dcterms:W3CDTF">2024-05-06T11:35:00Z</dcterms:modified>
</cp:coreProperties>
</file>